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451" w:rsidRDefault="000060AD" w:rsidP="00DC226C">
      <w:pPr>
        <w:pStyle w:val="Heading3"/>
        <w:jc w:val="center"/>
        <w:rPr>
          <w:sz w:val="28"/>
          <w:szCs w:val="28"/>
          <w:u w:val="single"/>
        </w:rPr>
      </w:pPr>
      <w:bookmarkStart w:id="0" w:name="_GoBack"/>
      <w:bookmarkEnd w:id="0"/>
      <w:r w:rsidRPr="00DC226C">
        <w:rPr>
          <w:sz w:val="28"/>
          <w:szCs w:val="28"/>
          <w:u w:val="single"/>
        </w:rPr>
        <w:t>Request for Continued Examination Guidelines</w:t>
      </w:r>
    </w:p>
    <w:p w:rsidR="000060AD" w:rsidRPr="00DC226C" w:rsidRDefault="000060AD" w:rsidP="00CA7451">
      <w:pPr>
        <w:pStyle w:val="Heading3"/>
        <w:spacing w:before="120"/>
        <w:jc w:val="center"/>
        <w:rPr>
          <w:b w:val="0"/>
          <w:i/>
        </w:rPr>
      </w:pPr>
      <w:r w:rsidRPr="00DC226C">
        <w:rPr>
          <w:b w:val="0"/>
          <w:i/>
          <w:sz w:val="20"/>
          <w:szCs w:val="20"/>
        </w:rPr>
        <w:t xml:space="preserve">updated </w:t>
      </w:r>
      <w:r w:rsidR="00D655B1">
        <w:rPr>
          <w:b w:val="0"/>
          <w:i/>
          <w:sz w:val="20"/>
          <w:szCs w:val="20"/>
        </w:rPr>
        <w:t>May 12</w:t>
      </w:r>
      <w:r w:rsidR="00DC226C" w:rsidRPr="00DC226C">
        <w:rPr>
          <w:b w:val="0"/>
          <w:i/>
          <w:sz w:val="20"/>
          <w:szCs w:val="20"/>
        </w:rPr>
        <w:t>, 2008</w:t>
      </w:r>
    </w:p>
    <w:p w:rsidR="000060AD" w:rsidRDefault="000060AD">
      <w:pPr>
        <w:autoSpaceDE w:val="0"/>
        <w:autoSpaceDN w:val="0"/>
        <w:adjustRightInd w:val="0"/>
        <w:rPr>
          <w:rFonts w:ascii="Arial" w:hAnsi="Arial" w:cs="Arial"/>
          <w:sz w:val="20"/>
          <w:szCs w:val="20"/>
        </w:rPr>
      </w:pPr>
    </w:p>
    <w:p w:rsidR="000060AD" w:rsidRDefault="000060AD">
      <w:pPr>
        <w:autoSpaceDE w:val="0"/>
        <w:autoSpaceDN w:val="0"/>
        <w:adjustRightInd w:val="0"/>
        <w:rPr>
          <w:rFonts w:ascii="Arial" w:hAnsi="Arial" w:cs="Arial"/>
          <w:sz w:val="20"/>
          <w:szCs w:val="20"/>
        </w:rPr>
      </w:pPr>
      <w:r>
        <w:rPr>
          <w:rFonts w:ascii="Arial" w:hAnsi="Arial" w:cs="Arial"/>
          <w:sz w:val="20"/>
          <w:szCs w:val="20"/>
        </w:rPr>
        <w:t>An RCE is not a new application and filing an RCE will not result in an application being accorded a new filing date.</w:t>
      </w:r>
    </w:p>
    <w:p w:rsidR="000060AD" w:rsidRDefault="000060AD">
      <w:pPr>
        <w:autoSpaceDE w:val="0"/>
        <w:autoSpaceDN w:val="0"/>
        <w:adjustRightInd w:val="0"/>
        <w:rPr>
          <w:rFonts w:ascii="Arial" w:hAnsi="Arial" w:cs="Arial"/>
          <w:sz w:val="20"/>
          <w:szCs w:val="20"/>
        </w:rPr>
      </w:pPr>
    </w:p>
    <w:p w:rsidR="000060AD" w:rsidRDefault="000060AD">
      <w:pPr>
        <w:autoSpaceDE w:val="0"/>
        <w:autoSpaceDN w:val="0"/>
        <w:adjustRightInd w:val="0"/>
        <w:jc w:val="center"/>
        <w:rPr>
          <w:rFonts w:ascii="Arial" w:hAnsi="Arial" w:cs="Arial"/>
          <w:b/>
          <w:bCs/>
          <w:sz w:val="20"/>
          <w:szCs w:val="20"/>
        </w:rPr>
      </w:pPr>
      <w:r>
        <w:rPr>
          <w:rFonts w:ascii="Arial" w:hAnsi="Arial" w:cs="Arial"/>
          <w:b/>
          <w:bCs/>
          <w:sz w:val="20"/>
          <w:szCs w:val="20"/>
        </w:rPr>
        <w:t>Filing Qualifications:</w:t>
      </w:r>
    </w:p>
    <w:p w:rsidR="000060AD" w:rsidRDefault="000060AD">
      <w:pPr>
        <w:pStyle w:val="BodyText"/>
      </w:pPr>
      <w:r>
        <w:t>The application must be a utility or plant application filed on or after June 8, 1995. The application cannot be a provisional application, a utility or plant application filed before June 8, 1995, a design application, or a patent under reexamination. See 37 CFR 1.114(e).</w:t>
      </w:r>
    </w:p>
    <w:p w:rsidR="000060AD" w:rsidRDefault="000060AD">
      <w:pPr>
        <w:autoSpaceDE w:val="0"/>
        <w:autoSpaceDN w:val="0"/>
        <w:adjustRightInd w:val="0"/>
        <w:rPr>
          <w:rFonts w:ascii="Arial" w:hAnsi="Arial" w:cs="Arial"/>
          <w:sz w:val="18"/>
          <w:szCs w:val="18"/>
        </w:rPr>
      </w:pPr>
    </w:p>
    <w:p w:rsidR="000060AD" w:rsidRDefault="000060AD">
      <w:pPr>
        <w:autoSpaceDE w:val="0"/>
        <w:autoSpaceDN w:val="0"/>
        <w:adjustRightInd w:val="0"/>
        <w:jc w:val="center"/>
        <w:rPr>
          <w:rFonts w:ascii="Arial" w:hAnsi="Arial" w:cs="Arial"/>
          <w:b/>
          <w:bCs/>
          <w:sz w:val="20"/>
          <w:szCs w:val="18"/>
        </w:rPr>
      </w:pPr>
      <w:r>
        <w:rPr>
          <w:rFonts w:ascii="Arial" w:hAnsi="Arial" w:cs="Arial"/>
          <w:b/>
          <w:bCs/>
          <w:sz w:val="20"/>
          <w:szCs w:val="18"/>
        </w:rPr>
        <w:t>Filing Requirements:</w:t>
      </w:r>
    </w:p>
    <w:p w:rsidR="000060AD" w:rsidRDefault="000060AD">
      <w:pPr>
        <w:autoSpaceDE w:val="0"/>
        <w:autoSpaceDN w:val="0"/>
        <w:adjustRightInd w:val="0"/>
        <w:rPr>
          <w:rFonts w:ascii="Arial" w:hAnsi="Arial" w:cs="Arial"/>
          <w:sz w:val="20"/>
          <w:szCs w:val="18"/>
        </w:rPr>
      </w:pPr>
      <w:r>
        <w:rPr>
          <w:rFonts w:ascii="Arial" w:hAnsi="Arial" w:cs="Arial"/>
          <w:b/>
          <w:bCs/>
          <w:i/>
          <w:iCs/>
          <w:sz w:val="20"/>
          <w:szCs w:val="18"/>
        </w:rPr>
        <w:t xml:space="preserve">Prosecution in the application must be closed. </w:t>
      </w:r>
      <w:r>
        <w:rPr>
          <w:rFonts w:ascii="Arial" w:hAnsi="Arial" w:cs="Arial"/>
          <w:sz w:val="20"/>
          <w:szCs w:val="18"/>
        </w:rPr>
        <w:t xml:space="preserve">Prosecution is closed if the application is under appeal, or the last Office action is a final action, a notice of allowance, or an action that otherwise closes prosecution in the application (e.g., an Office action under </w:t>
      </w:r>
      <w:r>
        <w:rPr>
          <w:rFonts w:ascii="Arial" w:hAnsi="Arial" w:cs="Arial"/>
          <w:i/>
          <w:iCs/>
          <w:sz w:val="20"/>
          <w:szCs w:val="18"/>
        </w:rPr>
        <w:t>Ex parte Quayle</w:t>
      </w:r>
      <w:r>
        <w:rPr>
          <w:rFonts w:ascii="Arial" w:hAnsi="Arial" w:cs="Arial"/>
          <w:sz w:val="20"/>
          <w:szCs w:val="18"/>
        </w:rPr>
        <w:t>). See 37 CFR 1.114(b).</w:t>
      </w:r>
    </w:p>
    <w:p w:rsidR="000060AD" w:rsidRDefault="000060AD">
      <w:pPr>
        <w:autoSpaceDE w:val="0"/>
        <w:autoSpaceDN w:val="0"/>
        <w:adjustRightInd w:val="0"/>
        <w:rPr>
          <w:rFonts w:ascii="Arial" w:hAnsi="Arial" w:cs="Arial"/>
          <w:sz w:val="18"/>
          <w:szCs w:val="18"/>
        </w:rPr>
      </w:pPr>
    </w:p>
    <w:p w:rsidR="000060AD" w:rsidRDefault="000060AD">
      <w:pPr>
        <w:autoSpaceDE w:val="0"/>
        <w:autoSpaceDN w:val="0"/>
        <w:adjustRightInd w:val="0"/>
        <w:rPr>
          <w:rFonts w:ascii="Arial" w:hAnsi="Arial" w:cs="Arial"/>
          <w:sz w:val="20"/>
          <w:szCs w:val="20"/>
        </w:rPr>
      </w:pPr>
      <w:r>
        <w:rPr>
          <w:rFonts w:ascii="Arial" w:hAnsi="Arial" w:cs="Arial"/>
          <w:b/>
          <w:bCs/>
          <w:i/>
          <w:iCs/>
          <w:sz w:val="20"/>
          <w:szCs w:val="18"/>
        </w:rPr>
        <w:t xml:space="preserve">A submission and a fee are required at the time the RCE is filed. </w:t>
      </w:r>
      <w:r>
        <w:rPr>
          <w:rFonts w:ascii="Arial" w:hAnsi="Arial" w:cs="Arial"/>
          <w:sz w:val="20"/>
          <w:szCs w:val="18"/>
        </w:rPr>
        <w:t>If reply to an Office action under 35 U.S.C. 132 is outstanding (e.g., the application is under final rejection), the submission must meet the reply requirements of 37 CFR 1.111. If there is no outstanding Office action, the submission can be an information disclosure statement, an amendment, new arguments, or new evidence. See 37 CFR 1.114(c). The submission may be a previously filed amendment (e.g., an amendment after final rejection).</w:t>
      </w:r>
    </w:p>
    <w:p w:rsidR="000060AD" w:rsidRDefault="000060AD">
      <w:pPr>
        <w:rPr>
          <w:rFonts w:ascii="Arial" w:hAnsi="Arial" w:cs="Arial"/>
        </w:rPr>
      </w:pPr>
    </w:p>
    <w:p w:rsidR="000060AD" w:rsidRDefault="000060AD">
      <w:pPr>
        <w:rPr>
          <w:rFonts w:ascii="Arial" w:hAnsi="Arial" w:cs="Arial"/>
        </w:rPr>
      </w:pPr>
    </w:p>
    <w:p w:rsidR="000060AD" w:rsidRDefault="000060AD">
      <w:pPr>
        <w:autoSpaceDE w:val="0"/>
        <w:autoSpaceDN w:val="0"/>
        <w:adjustRightInd w:val="0"/>
        <w:jc w:val="center"/>
        <w:rPr>
          <w:rFonts w:ascii="Arial" w:hAnsi="Arial" w:cs="Arial"/>
          <w:b/>
          <w:bCs/>
        </w:rPr>
      </w:pPr>
      <w:r>
        <w:rPr>
          <w:rFonts w:ascii="Arial" w:hAnsi="Arial" w:cs="Arial"/>
          <w:b/>
          <w:bCs/>
        </w:rPr>
        <w:t>WARNINGS:</w:t>
      </w:r>
    </w:p>
    <w:p w:rsidR="000060AD" w:rsidRDefault="000060AD">
      <w:pPr>
        <w:autoSpaceDE w:val="0"/>
        <w:autoSpaceDN w:val="0"/>
        <w:adjustRightInd w:val="0"/>
        <w:rPr>
          <w:rFonts w:ascii="Arial" w:hAnsi="Arial" w:cs="Arial"/>
          <w:b/>
          <w:bCs/>
        </w:rPr>
      </w:pPr>
    </w:p>
    <w:p w:rsidR="000060AD" w:rsidRDefault="000060AD">
      <w:pPr>
        <w:autoSpaceDE w:val="0"/>
        <w:autoSpaceDN w:val="0"/>
        <w:adjustRightInd w:val="0"/>
        <w:jc w:val="center"/>
        <w:rPr>
          <w:rFonts w:ascii="Arial" w:hAnsi="Arial" w:cs="Arial"/>
          <w:b/>
          <w:bCs/>
          <w:sz w:val="20"/>
          <w:szCs w:val="20"/>
        </w:rPr>
      </w:pPr>
      <w:r>
        <w:rPr>
          <w:rFonts w:ascii="Arial" w:hAnsi="Arial" w:cs="Arial"/>
          <w:b/>
          <w:bCs/>
          <w:sz w:val="20"/>
          <w:szCs w:val="20"/>
        </w:rPr>
        <w:t>Request for Suspension of Action:</w:t>
      </w:r>
    </w:p>
    <w:p w:rsidR="000060AD" w:rsidRDefault="000060AD">
      <w:pPr>
        <w:autoSpaceDE w:val="0"/>
        <w:autoSpaceDN w:val="0"/>
        <w:adjustRightInd w:val="0"/>
        <w:rPr>
          <w:rFonts w:ascii="Arial" w:hAnsi="Arial" w:cs="Arial"/>
          <w:sz w:val="20"/>
          <w:szCs w:val="20"/>
        </w:rPr>
      </w:pPr>
      <w:r>
        <w:rPr>
          <w:rFonts w:ascii="Arial" w:hAnsi="Arial" w:cs="Arial"/>
          <w:sz w:val="20"/>
          <w:szCs w:val="20"/>
        </w:rPr>
        <w:t>All RCE filing requirements must be met before suspension of action is granted. A request for a suspension of action under 37 CFR 1.103(c) does not satisfy the submission requirement and does not permit the filing of the required submission to be suspended.</w:t>
      </w:r>
    </w:p>
    <w:p w:rsidR="000060AD" w:rsidRDefault="000060AD">
      <w:pPr>
        <w:autoSpaceDE w:val="0"/>
        <w:autoSpaceDN w:val="0"/>
        <w:adjustRightInd w:val="0"/>
        <w:rPr>
          <w:rFonts w:ascii="Arial" w:hAnsi="Arial" w:cs="Arial"/>
          <w:sz w:val="20"/>
          <w:szCs w:val="20"/>
        </w:rPr>
      </w:pPr>
    </w:p>
    <w:p w:rsidR="000060AD" w:rsidRDefault="000060AD">
      <w:pPr>
        <w:autoSpaceDE w:val="0"/>
        <w:autoSpaceDN w:val="0"/>
        <w:adjustRightInd w:val="0"/>
        <w:jc w:val="center"/>
        <w:rPr>
          <w:rFonts w:ascii="Arial" w:hAnsi="Arial" w:cs="Arial"/>
          <w:b/>
          <w:bCs/>
          <w:sz w:val="20"/>
          <w:szCs w:val="20"/>
        </w:rPr>
      </w:pPr>
      <w:r>
        <w:rPr>
          <w:rFonts w:ascii="Arial" w:hAnsi="Arial" w:cs="Arial"/>
          <w:b/>
          <w:bCs/>
          <w:sz w:val="20"/>
          <w:szCs w:val="20"/>
        </w:rPr>
        <w:t>Improper RCE will NOT toll Any Time Period:</w:t>
      </w:r>
    </w:p>
    <w:p w:rsidR="000060AD" w:rsidRDefault="000060AD">
      <w:pPr>
        <w:autoSpaceDE w:val="0"/>
        <w:autoSpaceDN w:val="0"/>
        <w:adjustRightInd w:val="0"/>
        <w:rPr>
          <w:rFonts w:ascii="Arial" w:hAnsi="Arial" w:cs="Arial"/>
          <w:sz w:val="20"/>
          <w:szCs w:val="20"/>
        </w:rPr>
      </w:pPr>
      <w:r>
        <w:rPr>
          <w:rFonts w:ascii="Arial" w:hAnsi="Arial" w:cs="Arial"/>
          <w:b/>
          <w:bCs/>
          <w:i/>
          <w:iCs/>
          <w:sz w:val="20"/>
          <w:szCs w:val="20"/>
        </w:rPr>
        <w:t xml:space="preserve">Before Appeal </w:t>
      </w:r>
      <w:r>
        <w:rPr>
          <w:rFonts w:ascii="Arial" w:hAnsi="Arial" w:cs="Arial"/>
          <w:b/>
          <w:bCs/>
          <w:sz w:val="20"/>
          <w:szCs w:val="20"/>
        </w:rPr>
        <w:t xml:space="preserve">- </w:t>
      </w:r>
      <w:r>
        <w:rPr>
          <w:rFonts w:ascii="Arial" w:hAnsi="Arial" w:cs="Arial"/>
          <w:sz w:val="20"/>
          <w:szCs w:val="20"/>
        </w:rPr>
        <w:t>If the RCE is improper (e.g., prosecution in the application is not closed or the submission or fee has not been filed) and the application is not under appeal, the time period set forth in the last Office action will continue to run and the application will be abandoned after the statutory time period has expired if a reply to the Office action is not timely filed. No additional time will be given to correct the improper RCE.</w:t>
      </w:r>
    </w:p>
    <w:p w:rsidR="000060AD" w:rsidRDefault="000060AD">
      <w:pPr>
        <w:autoSpaceDE w:val="0"/>
        <w:autoSpaceDN w:val="0"/>
        <w:adjustRightInd w:val="0"/>
        <w:rPr>
          <w:rFonts w:ascii="Arial" w:hAnsi="Arial" w:cs="Arial"/>
          <w:sz w:val="20"/>
          <w:szCs w:val="20"/>
        </w:rPr>
      </w:pPr>
    </w:p>
    <w:p w:rsidR="000060AD" w:rsidRDefault="000060AD">
      <w:pPr>
        <w:autoSpaceDE w:val="0"/>
        <w:autoSpaceDN w:val="0"/>
        <w:adjustRightInd w:val="0"/>
        <w:rPr>
          <w:rFonts w:ascii="Arial" w:hAnsi="Arial" w:cs="Arial"/>
          <w:sz w:val="20"/>
          <w:szCs w:val="20"/>
        </w:rPr>
      </w:pPr>
      <w:r>
        <w:rPr>
          <w:rFonts w:ascii="Arial" w:hAnsi="Arial" w:cs="Arial"/>
          <w:b/>
          <w:bCs/>
          <w:i/>
          <w:iCs/>
          <w:sz w:val="20"/>
          <w:szCs w:val="20"/>
        </w:rPr>
        <w:t xml:space="preserve">Under Appeal - </w:t>
      </w:r>
      <w:r>
        <w:rPr>
          <w:rFonts w:ascii="Arial" w:hAnsi="Arial" w:cs="Arial"/>
          <w:sz w:val="20"/>
          <w:szCs w:val="20"/>
        </w:rPr>
        <w:t xml:space="preserve">If the RCE is improper (e.g., the submission or the fee has not been filed) and the application is under appeal, the improper RCE is effective to withdraw the appeal. Withdrawal of the appeal results in the allowance or abandonment of the application depending on the status of the claims. If there are no allowed claims, the application is abandoned. If there is at least one allowed claim, the application will be passed to issue on the allowed claim(s). See MPEP </w:t>
      </w:r>
      <w:smartTag w:uri="urn:schemas-microsoft-com:office:smarttags" w:element="PlaceName">
        <w:smartTagPr>
          <w:attr w:name="USER_SIP_ADDR" w:val="1215.01"/>
        </w:smartTagPr>
        <w:r>
          <w:rPr>
            <w:rFonts w:ascii="Arial" w:hAnsi="Arial" w:cs="Arial"/>
            <w:sz w:val="20"/>
            <w:szCs w:val="20"/>
          </w:rPr>
          <w:t>1215.01</w:t>
        </w:r>
      </w:smartTag>
      <w:r>
        <w:rPr>
          <w:rFonts w:ascii="Arial" w:hAnsi="Arial" w:cs="Arial"/>
          <w:sz w:val="20"/>
          <w:szCs w:val="20"/>
        </w:rPr>
        <w:t>.</w:t>
      </w:r>
    </w:p>
    <w:p w:rsidR="000060AD" w:rsidRDefault="000060AD">
      <w:pPr>
        <w:autoSpaceDE w:val="0"/>
        <w:autoSpaceDN w:val="0"/>
        <w:adjustRightInd w:val="0"/>
        <w:rPr>
          <w:rFonts w:ascii="Arial" w:hAnsi="Arial" w:cs="Arial"/>
          <w:sz w:val="20"/>
          <w:szCs w:val="20"/>
        </w:rPr>
      </w:pPr>
      <w:r>
        <w:rPr>
          <w:rFonts w:ascii="Arial" w:hAnsi="Arial" w:cs="Arial"/>
          <w:b/>
          <w:bCs/>
          <w:sz w:val="20"/>
          <w:szCs w:val="20"/>
        </w:rPr>
        <w:t>See MPEP 706.07(h) for further information on the RCE practice.</w:t>
      </w:r>
    </w:p>
    <w:p w:rsidR="000060AD" w:rsidRDefault="000060AD"/>
    <w:p w:rsidR="000060AD" w:rsidRDefault="000060AD">
      <w:pPr>
        <w:sectPr w:rsidR="000060AD">
          <w:footerReference w:type="default" r:id="rId7"/>
          <w:pgSz w:w="12240" w:h="15840"/>
          <w:pgMar w:top="1440" w:right="1800" w:bottom="1440" w:left="1800" w:header="720" w:footer="720" w:gutter="0"/>
          <w:cols w:space="720"/>
          <w:noEndnote/>
        </w:sectPr>
      </w:pPr>
    </w:p>
    <w:p w:rsidR="000060AD" w:rsidRDefault="00855E94">
      <w:pPr>
        <w:pStyle w:val="Heading1"/>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-39370</wp:posOffset>
                </wp:positionV>
                <wp:extent cx="5486400" cy="262890"/>
                <wp:effectExtent l="9525" t="6985"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62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DFE2" id="Rectangle 2" o:spid="_x0000_s1026" style="position:absolute;margin-left:0;margin-top:-3.1pt;width:6in;height:20.7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K3eAIAAPs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" filled="f"/>
            </w:pict>
          </mc:Fallback>
        </mc:AlternateContent>
      </w:r>
      <w:r w:rsidR="000060AD">
        <w:rPr>
          <w:rFonts w:ascii="Arial" w:hAnsi="Arial" w:cs="Arial"/>
          <w:b/>
          <w:bCs/>
        </w:rPr>
        <w:t>Instructions for Request for Continued Examination</w:t>
      </w:r>
    </w:p>
    <w:p w:rsidR="000060AD" w:rsidRDefault="000060AD">
      <w:pPr>
        <w:pStyle w:val="Default"/>
        <w:jc w:val="center"/>
        <w:rPr>
          <w:sz w:val="14"/>
          <w:szCs w:val="14"/>
        </w:rPr>
      </w:pPr>
    </w:p>
    <w:p w:rsidR="000060AD" w:rsidRDefault="000060AD"/>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845"/>
      </w:tblGrid>
      <w:tr w:rsidR="000060AD">
        <w:tblPrEx>
          <w:tblCellMar>
            <w:top w:w="0" w:type="dxa"/>
            <w:bottom w:w="0" w:type="dxa"/>
          </w:tblCellMar>
        </w:tblPrEx>
        <w:trPr>
          <w:trHeight w:val="11213"/>
        </w:trPr>
        <w:tc>
          <w:tcPr>
            <w:tcW w:w="4695" w:type="dxa"/>
          </w:tcPr>
          <w:p w:rsidR="000060AD" w:rsidRDefault="000060AD" w:rsidP="008404CB">
            <w:pPr>
              <w:pStyle w:val="Heading3"/>
              <w:rPr>
                <w:sz w:val="24"/>
              </w:rPr>
            </w:pPr>
            <w:r>
              <w:rPr>
                <w:sz w:val="24"/>
              </w:rPr>
              <w:t>Contents</w:t>
            </w:r>
          </w:p>
          <w:p w:rsidR="000060AD" w:rsidRDefault="000060AD" w:rsidP="008404CB">
            <w:pPr>
              <w:numPr>
                <w:ilvl w:val="0"/>
                <w:numId w:val="3"/>
              </w:numPr>
              <w:rPr>
                <w:rFonts w:ascii="Arial" w:hAnsi="Arial" w:cs="Arial"/>
                <w:b/>
                <w:bCs/>
                <w:sz w:val="22"/>
              </w:rPr>
            </w:pPr>
            <w:r>
              <w:rPr>
                <w:rFonts w:ascii="Arial" w:hAnsi="Arial" w:cs="Arial"/>
                <w:b/>
                <w:bCs/>
                <w:sz w:val="22"/>
              </w:rPr>
              <w:t xml:space="preserve">PDF </w:t>
            </w:r>
            <w:r w:rsidR="002A3B6C">
              <w:rPr>
                <w:rFonts w:ascii="Arial" w:hAnsi="Arial" w:cs="Arial"/>
                <w:b/>
                <w:bCs/>
                <w:sz w:val="22"/>
              </w:rPr>
              <w:t>F</w:t>
            </w:r>
            <w:r>
              <w:rPr>
                <w:rFonts w:ascii="Arial" w:hAnsi="Arial" w:cs="Arial"/>
                <w:b/>
                <w:bCs/>
                <w:sz w:val="22"/>
              </w:rPr>
              <w:t xml:space="preserve">illable </w:t>
            </w:r>
            <w:r w:rsidR="002A3B6C">
              <w:rPr>
                <w:rFonts w:ascii="Arial" w:hAnsi="Arial" w:cs="Arial"/>
                <w:b/>
                <w:bCs/>
                <w:sz w:val="22"/>
              </w:rPr>
              <w:t xml:space="preserve">Form </w:t>
            </w:r>
            <w:r>
              <w:rPr>
                <w:rFonts w:ascii="Arial" w:hAnsi="Arial" w:cs="Arial"/>
                <w:b/>
                <w:bCs/>
                <w:sz w:val="22"/>
              </w:rPr>
              <w:t>Instructions</w:t>
            </w:r>
          </w:p>
          <w:p w:rsidR="000060AD" w:rsidRDefault="000060AD" w:rsidP="008404CB">
            <w:pPr>
              <w:rPr>
                <w:rFonts w:ascii="Arial" w:hAnsi="Arial" w:cs="Arial"/>
              </w:rPr>
            </w:pPr>
            <w:r>
              <w:rPr>
                <w:rFonts w:ascii="Arial" w:hAnsi="Arial" w:cs="Arial"/>
              </w:rPr>
              <w:t>_________________________________</w:t>
            </w:r>
          </w:p>
          <w:p w:rsidR="000060AD" w:rsidRDefault="000060AD" w:rsidP="008404CB">
            <w:pPr>
              <w:pStyle w:val="Heading3"/>
              <w:rPr>
                <w:rFonts w:eastAsia="Arial Unicode MS"/>
                <w:sz w:val="16"/>
              </w:rPr>
            </w:pPr>
            <w:r>
              <w:rPr>
                <w:sz w:val="28"/>
              </w:rPr>
              <w:t>1. Fillable Form Instructions</w:t>
            </w:r>
          </w:p>
          <w:p w:rsidR="000060AD" w:rsidRDefault="000060AD" w:rsidP="008404CB">
            <w:pPr>
              <w:rPr>
                <w:rFonts w:ascii="Arial" w:hAnsi="Arial" w:cs="Arial"/>
              </w:rPr>
            </w:pPr>
            <w:r>
              <w:rPr>
                <w:rStyle w:val="Strong"/>
                <w:rFonts w:ascii="Arial" w:hAnsi="Arial" w:cs="Arial"/>
              </w:rPr>
              <w:t>Overview</w:t>
            </w:r>
          </w:p>
          <w:p w:rsidR="000060AD" w:rsidRDefault="008404CB" w:rsidP="008404CB">
            <w:pPr>
              <w:pStyle w:val="BodyText2"/>
              <w:jc w:val="left"/>
            </w:pPr>
            <w:r>
              <w:t>EFS-Web</w:t>
            </w:r>
            <w:r w:rsidR="000060AD">
              <w:t xml:space="preserve"> fillable PDF forms use the features provided with</w:t>
            </w:r>
            <w:r>
              <w:t>in</w:t>
            </w:r>
            <w:r w:rsidR="000060AD">
              <w:t xml:space="preserve"> Adobe Acrobat products. There is some validation of the information you enter</w:t>
            </w:r>
            <w:r>
              <w:t>; however,</w:t>
            </w:r>
            <w:r w:rsidR="000060AD">
              <w:t xml:space="preserve"> you are responsible for entering all required information (instructions may require some information to be handwritten on the form).</w:t>
            </w:r>
          </w:p>
          <w:p w:rsidR="000060AD" w:rsidRDefault="000060AD" w:rsidP="008404CB">
            <w:pPr>
              <w:rPr>
                <w:rStyle w:val="Strong"/>
                <w:rFonts w:ascii="Arial" w:hAnsi="Arial" w:cs="Arial"/>
                <w:sz w:val="16"/>
              </w:rPr>
            </w:pPr>
          </w:p>
          <w:p w:rsidR="000060AD" w:rsidRDefault="000060AD" w:rsidP="008404CB">
            <w:pPr>
              <w:rPr>
                <w:rStyle w:val="Strong"/>
                <w:rFonts w:ascii="Arial" w:hAnsi="Arial" w:cs="Arial"/>
              </w:rPr>
            </w:pPr>
            <w:r>
              <w:rPr>
                <w:rStyle w:val="Strong"/>
                <w:rFonts w:ascii="Arial" w:hAnsi="Arial" w:cs="Arial"/>
              </w:rPr>
              <w:t>Versioning of the RCE form</w:t>
            </w:r>
          </w:p>
          <w:p w:rsidR="000060AD" w:rsidRDefault="000060AD" w:rsidP="008404CB">
            <w:pPr>
              <w:pStyle w:val="BodyText2"/>
              <w:jc w:val="left"/>
              <w:rPr>
                <w:rStyle w:val="Strong"/>
                <w:b w:val="0"/>
              </w:rPr>
            </w:pPr>
            <w:r>
              <w:rPr>
                <w:rStyle w:val="Strong"/>
                <w:b w:val="0"/>
              </w:rPr>
              <w:t xml:space="preserve">e-Filers must use the current version of the </w:t>
            </w:r>
            <w:hyperlink r:id="rId8" w:history="1">
              <w:r>
                <w:rPr>
                  <w:rStyle w:val="Hyperlink"/>
                </w:rPr>
                <w:t xml:space="preserve">RCE </w:t>
              </w:r>
              <w:r>
                <w:rPr>
                  <w:rStyle w:val="Hyperlink"/>
                </w:rPr>
                <w:t>f</w:t>
              </w:r>
              <w:r>
                <w:rPr>
                  <w:rStyle w:val="Hyperlink"/>
                </w:rPr>
                <w:t>orm</w:t>
              </w:r>
            </w:hyperlink>
            <w:r>
              <w:rPr>
                <w:rStyle w:val="Strong"/>
                <w:b w:val="0"/>
              </w:rPr>
              <w:t>.</w:t>
            </w:r>
          </w:p>
          <w:p w:rsidR="000060AD" w:rsidRDefault="000060AD" w:rsidP="008404CB">
            <w:pPr>
              <w:rPr>
                <w:rStyle w:val="Strong"/>
                <w:rFonts w:ascii="Arial" w:hAnsi="Arial" w:cs="Arial"/>
                <w:b w:val="0"/>
              </w:rPr>
            </w:pPr>
          </w:p>
          <w:p w:rsidR="000060AD" w:rsidRDefault="000060AD" w:rsidP="008404CB">
            <w:pPr>
              <w:rPr>
                <w:rFonts w:ascii="Arial" w:hAnsi="Arial" w:cs="Arial"/>
              </w:rPr>
            </w:pPr>
            <w:r>
              <w:rPr>
                <w:rStyle w:val="Strong"/>
                <w:rFonts w:ascii="Arial" w:hAnsi="Arial" w:cs="Arial"/>
              </w:rPr>
              <w:t>Software Requirements</w:t>
            </w:r>
          </w:p>
          <w:p w:rsidR="000060AD" w:rsidRDefault="000060AD" w:rsidP="008404CB">
            <w:pPr>
              <w:pStyle w:val="BodyText2"/>
              <w:jc w:val="left"/>
            </w:pPr>
            <w:r>
              <w:t xml:space="preserve">To view, complete and print USPTO fillable PDF forms you will need the free </w:t>
            </w:r>
            <w:hyperlink r:id="rId9" w:history="1">
              <w:r>
                <w:rPr>
                  <w:rStyle w:val="Hyperlink"/>
                </w:rPr>
                <w:t>Adobe Reader</w:t>
              </w:r>
            </w:hyperlink>
            <w:r>
              <w:t> software installed on your computer. Version 7.0.8, 7.0.9</w:t>
            </w:r>
            <w:r w:rsidR="00DC226C">
              <w:t>, 8.1.1 or 8.1.2</w:t>
            </w:r>
            <w:r>
              <w:t xml:space="preserve"> of Adobe Reader is required.</w:t>
            </w:r>
          </w:p>
          <w:p w:rsidR="000060AD" w:rsidRDefault="000060AD" w:rsidP="008404CB">
            <w:pPr>
              <w:pStyle w:val="BodyText2"/>
              <w:jc w:val="left"/>
            </w:pPr>
          </w:p>
          <w:p w:rsidR="000060AD" w:rsidRDefault="000060AD" w:rsidP="008404CB">
            <w:pPr>
              <w:rPr>
                <w:rFonts w:ascii="Arial" w:hAnsi="Arial" w:cs="Arial"/>
              </w:rPr>
            </w:pPr>
            <w:r>
              <w:rPr>
                <w:rStyle w:val="Strong"/>
                <w:rFonts w:ascii="Arial" w:hAnsi="Arial" w:cs="Arial"/>
              </w:rPr>
              <w:t>Opening the Form</w:t>
            </w:r>
          </w:p>
          <w:p w:rsidR="000060AD" w:rsidRDefault="000060AD" w:rsidP="008404CB">
            <w:pPr>
              <w:pStyle w:val="BodyText2"/>
              <w:jc w:val="left"/>
            </w:pPr>
            <w:r>
              <w:t>Your web browser may be configured with an Adobe Reader plug-in to automatically open the file within your browser's window upon download. To download the file directly to disk, right click the form title link then select "Save Target/Link As..." from the menu. Use Adobe Reader to open the file.</w:t>
            </w:r>
          </w:p>
          <w:p w:rsidR="000060AD" w:rsidRDefault="000060AD" w:rsidP="008404CB">
            <w:pPr>
              <w:rPr>
                <w:rFonts w:ascii="Arial" w:hAnsi="Arial" w:cs="Arial"/>
              </w:rPr>
            </w:pPr>
          </w:p>
        </w:tc>
        <w:tc>
          <w:tcPr>
            <w:tcW w:w="4845" w:type="dxa"/>
          </w:tcPr>
          <w:p w:rsidR="000060AD" w:rsidRDefault="000060AD">
            <w:pPr>
              <w:jc w:val="both"/>
              <w:rPr>
                <w:rStyle w:val="Strong"/>
                <w:rFonts w:ascii="Arial" w:hAnsi="Arial" w:cs="Arial"/>
              </w:rPr>
            </w:pPr>
          </w:p>
          <w:p w:rsidR="000060AD" w:rsidRDefault="000060AD" w:rsidP="008404CB">
            <w:pPr>
              <w:rPr>
                <w:rFonts w:ascii="Arial" w:hAnsi="Arial" w:cs="Arial"/>
              </w:rPr>
            </w:pPr>
            <w:r>
              <w:rPr>
                <w:rStyle w:val="Strong"/>
                <w:rFonts w:ascii="Arial" w:hAnsi="Arial" w:cs="Arial"/>
              </w:rPr>
              <w:t>Completing the Form</w:t>
            </w:r>
          </w:p>
          <w:p w:rsidR="000060AD" w:rsidRDefault="000060AD" w:rsidP="008404CB">
            <w:pPr>
              <w:pStyle w:val="BodyText2"/>
              <w:jc w:val="left"/>
            </w:pPr>
            <w:r>
              <w:t>When positioning the cursor on a fillable area or element, the cursor will change appearance. The I-beam pointer allows you to type text. The hand pointer allows you to select a check box or radio button.</w:t>
            </w:r>
          </w:p>
          <w:p w:rsidR="000060AD" w:rsidRDefault="000060AD" w:rsidP="008404CB">
            <w:pPr>
              <w:pStyle w:val="BodyText2"/>
              <w:jc w:val="left"/>
            </w:pPr>
            <w:r>
              <w:t>Enter the appropriate data in each box or field. To move from one field to the next, press the Tab key. You can also use your cursor to move from field to field. Place your cursor in the field you want to fill in, then left-click.</w:t>
            </w:r>
          </w:p>
          <w:p w:rsidR="000060AD" w:rsidRDefault="000060AD" w:rsidP="008404CB">
            <w:pPr>
              <w:pStyle w:val="BodyText2"/>
              <w:jc w:val="left"/>
            </w:pPr>
          </w:p>
          <w:p w:rsidR="000060AD" w:rsidRDefault="000060AD" w:rsidP="008404CB">
            <w:pPr>
              <w:pStyle w:val="BodyText2"/>
              <w:jc w:val="left"/>
            </w:pPr>
            <w:r>
              <w:t>Some fields limit the maximum number of characters you can enter and may automatically advance to the next field.</w:t>
            </w:r>
          </w:p>
          <w:p w:rsidR="000060AD" w:rsidRDefault="000060AD" w:rsidP="008404CB">
            <w:pPr>
              <w:pStyle w:val="BodyText2"/>
              <w:jc w:val="left"/>
            </w:pPr>
            <w:r>
              <w:t xml:space="preserve">For additional help with fill-in forms, see the Adobe Reader's online help information. </w:t>
            </w:r>
          </w:p>
          <w:p w:rsidR="000060AD" w:rsidRDefault="000060AD" w:rsidP="008404CB">
            <w:pPr>
              <w:pStyle w:val="BodyText"/>
            </w:pPr>
          </w:p>
          <w:p w:rsidR="000060AD" w:rsidRDefault="000060AD" w:rsidP="008404CB">
            <w:pPr>
              <w:pStyle w:val="Heading3"/>
              <w:rPr>
                <w:sz w:val="24"/>
              </w:rPr>
            </w:pPr>
            <w:r>
              <w:rPr>
                <w:sz w:val="24"/>
              </w:rPr>
              <w:t xml:space="preserve">Tips: </w:t>
            </w:r>
          </w:p>
          <w:p w:rsidR="000060AD" w:rsidRDefault="000060AD" w:rsidP="008404CB">
            <w:pPr>
              <w:numPr>
                <w:ilvl w:val="0"/>
                <w:numId w:val="2"/>
              </w:numPr>
              <w:rPr>
                <w:rFonts w:ascii="Arial" w:hAnsi="Arial" w:cs="Arial"/>
              </w:rPr>
            </w:pPr>
            <w:r>
              <w:rPr>
                <w:rFonts w:ascii="Arial" w:hAnsi="Arial" w:cs="Arial"/>
              </w:rPr>
              <w:t>Save a copy of your work to avoid loss</w:t>
            </w:r>
          </w:p>
          <w:p w:rsidR="000060AD" w:rsidRDefault="000060AD" w:rsidP="008404CB">
            <w:pPr>
              <w:numPr>
                <w:ilvl w:val="0"/>
                <w:numId w:val="2"/>
              </w:numPr>
              <w:rPr>
                <w:rFonts w:ascii="Arial" w:hAnsi="Arial" w:cs="Arial"/>
              </w:rPr>
            </w:pPr>
            <w:r>
              <w:rPr>
                <w:rFonts w:ascii="Arial" w:hAnsi="Arial" w:cs="Arial"/>
              </w:rPr>
              <w:t xml:space="preserve">The USPTO is only accepting certain types of applications electronically. Visit </w:t>
            </w:r>
            <w:hyperlink r:id="rId10" w:history="1">
              <w:r>
                <w:rPr>
                  <w:rStyle w:val="Hyperlink"/>
                  <w:rFonts w:ascii="Arial" w:hAnsi="Arial" w:cs="Arial"/>
                </w:rPr>
                <w:t>www.uspto.gov</w:t>
              </w:r>
            </w:hyperlink>
            <w:r>
              <w:rPr>
                <w:rFonts w:ascii="Arial" w:hAnsi="Arial" w:cs="Arial"/>
              </w:rPr>
              <w:t xml:space="preserve"> for more details</w:t>
            </w:r>
          </w:p>
        </w:tc>
      </w:tr>
    </w:tbl>
    <w:p w:rsidR="000060AD" w:rsidRDefault="000060AD"/>
    <w:sectPr w:rsidR="000060A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21D" w:rsidRDefault="00C0621D">
      <w:r>
        <w:separator/>
      </w:r>
    </w:p>
  </w:endnote>
  <w:endnote w:type="continuationSeparator" w:id="0">
    <w:p w:rsidR="00C0621D" w:rsidRDefault="00C0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51" w:rsidRPr="00CA7451" w:rsidRDefault="00CA7451" w:rsidP="00833856">
    <w:pPr>
      <w:pStyle w:val="Default"/>
      <w:jc w:val="center"/>
      <w:rPr>
        <w:sz w:val="20"/>
        <w:szCs w:val="20"/>
      </w:rPr>
    </w:pPr>
    <w:r w:rsidRPr="00CA7451">
      <w:rPr>
        <w:rStyle w:val="PageNumber"/>
        <w:rFonts w:ascii="Times New Roman" w:hAnsi="Times New Roman" w:cs="Times New Roman"/>
        <w:color w:val="auto"/>
        <w:sz w:val="20"/>
        <w:szCs w:val="20"/>
      </w:rPr>
      <w:fldChar w:fldCharType="begin"/>
    </w:r>
    <w:r w:rsidRPr="00CA7451">
      <w:rPr>
        <w:rStyle w:val="PageNumber"/>
        <w:rFonts w:ascii="Times New Roman" w:hAnsi="Times New Roman" w:cs="Times New Roman"/>
        <w:color w:val="auto"/>
        <w:sz w:val="20"/>
        <w:szCs w:val="20"/>
      </w:rPr>
      <w:instrText xml:space="preserve"> PAGE </w:instrText>
    </w:r>
    <w:r w:rsidRPr="00CA7451">
      <w:rPr>
        <w:rStyle w:val="PageNumber"/>
        <w:rFonts w:ascii="Times New Roman" w:hAnsi="Times New Roman" w:cs="Times New Roman"/>
        <w:color w:val="auto"/>
        <w:sz w:val="20"/>
        <w:szCs w:val="20"/>
      </w:rPr>
      <w:fldChar w:fldCharType="separate"/>
    </w:r>
    <w:r w:rsidR="00D655B1">
      <w:rPr>
        <w:rStyle w:val="PageNumber"/>
        <w:rFonts w:ascii="Times New Roman" w:hAnsi="Times New Roman" w:cs="Times New Roman"/>
        <w:noProof/>
        <w:color w:val="auto"/>
        <w:sz w:val="20"/>
        <w:szCs w:val="20"/>
      </w:rPr>
      <w:t>1</w:t>
    </w:r>
    <w:r w:rsidRPr="00CA7451">
      <w:rPr>
        <w:rStyle w:val="PageNumber"/>
        <w:rFonts w:ascii="Times New Roman" w:hAnsi="Times New Roman" w:cs="Times New Roman"/>
        <w:color w:val="auto"/>
        <w:sz w:val="20"/>
        <w:szCs w:val="20"/>
      </w:rPr>
      <w:fldChar w:fldCharType="end"/>
    </w:r>
  </w:p>
  <w:p w:rsidR="00CA7451" w:rsidRPr="00A96512" w:rsidRDefault="00CA7451" w:rsidP="00833856">
    <w:pPr>
      <w:pStyle w:val="Default"/>
      <w:jc w:val="center"/>
      <w:rPr>
        <w:sz w:val="14"/>
        <w:szCs w:val="14"/>
      </w:rPr>
    </w:pPr>
    <w:smartTag w:uri="urn:schemas-microsoft-com:office:smarttags" w:element="country-region">
      <w:r w:rsidRPr="00A96512">
        <w:rPr>
          <w:sz w:val="14"/>
          <w:szCs w:val="14"/>
        </w:rPr>
        <w:t>U.S.</w:t>
      </w:r>
    </w:smartTag>
    <w:r w:rsidRPr="00A96512">
      <w:rPr>
        <w:sz w:val="14"/>
        <w:szCs w:val="14"/>
      </w:rPr>
      <w:t xml:space="preserve"> Patent and Trademark Office; </w:t>
    </w:r>
    <w:smartTag w:uri="urn:schemas-microsoft-com:office:smarttags" w:element="place">
      <w:smartTag w:uri="urn:schemas-microsoft-com:office:smarttags" w:element="country-region">
        <w:r w:rsidRPr="00A96512">
          <w:rPr>
            <w:sz w:val="14"/>
            <w:szCs w:val="14"/>
          </w:rPr>
          <w:t>U.S.</w:t>
        </w:r>
      </w:smartTag>
    </w:smartTag>
    <w:r w:rsidRPr="00A96512">
      <w:rPr>
        <w:sz w:val="14"/>
        <w:szCs w:val="14"/>
      </w:rPr>
      <w:t xml:space="preserve">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21D" w:rsidRDefault="00C0621D">
      <w:r>
        <w:separator/>
      </w:r>
    </w:p>
  </w:footnote>
  <w:footnote w:type="continuationSeparator" w:id="0">
    <w:p w:rsidR="00C0621D" w:rsidRDefault="00C0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DCF"/>
    <w:multiLevelType w:val="hybridMultilevel"/>
    <w:tmpl w:val="87EE3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B84537"/>
    <w:multiLevelType w:val="hybridMultilevel"/>
    <w:tmpl w:val="19089B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7D5F76"/>
    <w:multiLevelType w:val="hybridMultilevel"/>
    <w:tmpl w:val="90ACBB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AD"/>
    <w:rsid w:val="000060AD"/>
    <w:rsid w:val="002A3B6C"/>
    <w:rsid w:val="00833856"/>
    <w:rsid w:val="008404CB"/>
    <w:rsid w:val="00855E94"/>
    <w:rsid w:val="00B00A72"/>
    <w:rsid w:val="00C0621D"/>
    <w:rsid w:val="00CA7451"/>
    <w:rsid w:val="00D655B1"/>
    <w:rsid w:val="00DC226C"/>
    <w:rsid w:val="00E7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1026" fill="f" fillcolor="white">
      <v:fill color="white" on="f"/>
    </o:shapedefaults>
    <o:shapelayout v:ext="edit">
      <o:idmap v:ext="edit" data="1"/>
    </o:shapelayout>
  </w:shapeDefaults>
  <w:decimalSymbol w:val="."/>
  <w:listSeparator w:val=","/>
  <w15:chartTrackingRefBased/>
  <w15:docId w15:val="{0BA8A933-C12D-463A-A021-417EC90A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pPr>
      <w:autoSpaceDE w:val="0"/>
      <w:autoSpaceDN w:val="0"/>
      <w:adjustRightInd w:val="0"/>
    </w:pPr>
    <w:rPr>
      <w:rFonts w:ascii="Arial" w:hAnsi="Arial" w:cs="Arial"/>
      <w:sz w:val="20"/>
      <w:szCs w:val="18"/>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BodyText2">
    <w:name w:val="Body Text 2"/>
    <w:basedOn w:val="Normal"/>
    <w:pPr>
      <w:jc w:val="both"/>
    </w:pPr>
    <w:rPr>
      <w:rFonts w:ascii="Arial" w:hAnsi="Arial" w:cs="Arial"/>
    </w:rPr>
  </w:style>
  <w:style w:type="character" w:styleId="FollowedHyperlink">
    <w:name w:val="FollowedHyperlink"/>
    <w:basedOn w:val="DefaultParagraphFont"/>
    <w:rPr>
      <w:color w:val="800080"/>
      <w:u w:val="single"/>
    </w:rPr>
  </w:style>
  <w:style w:type="paragraph" w:styleId="Header">
    <w:name w:val="header"/>
    <w:basedOn w:val="Normal"/>
    <w:rsid w:val="00833856"/>
    <w:pPr>
      <w:tabs>
        <w:tab w:val="center" w:pos="4320"/>
        <w:tab w:val="right" w:pos="8640"/>
      </w:tabs>
    </w:pPr>
  </w:style>
  <w:style w:type="paragraph" w:styleId="Footer">
    <w:name w:val="footer"/>
    <w:basedOn w:val="Normal"/>
    <w:rsid w:val="00833856"/>
    <w:pPr>
      <w:tabs>
        <w:tab w:val="center" w:pos="4320"/>
        <w:tab w:val="right" w:pos="8640"/>
      </w:tabs>
    </w:pPr>
  </w:style>
  <w:style w:type="character" w:styleId="PageNumber">
    <w:name w:val="page number"/>
    <w:basedOn w:val="DefaultParagraphFont"/>
    <w:rsid w:val="00CA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spto.gov/ebc/portal/forms.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spto.gov" TargetMode="External"/><Relationship Id="rId4" Type="http://schemas.openxmlformats.org/officeDocument/2006/relationships/webSettings" Target="webSettings.xml"/><Relationship Id="rId9" Type="http://schemas.openxmlformats.org/officeDocument/2006/relationships/hyperlink" Target="http://www.adobe.com/products/acrobat/readstep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USPTO</Company>
  <LinksUpToDate>false</LinksUpToDate>
  <CharactersWithSpaces>4713</CharactersWithSpaces>
  <SharedDoc>false</SharedDoc>
  <HLinks>
    <vt:vector size="18" baseType="variant">
      <vt:variant>
        <vt:i4>5242902</vt:i4>
      </vt:variant>
      <vt:variant>
        <vt:i4>6</vt:i4>
      </vt:variant>
      <vt:variant>
        <vt:i4>0</vt:i4>
      </vt:variant>
      <vt:variant>
        <vt:i4>5</vt:i4>
      </vt:variant>
      <vt:variant>
        <vt:lpwstr>http://www.uspto.gov/</vt:lpwstr>
      </vt:variant>
      <vt:variant>
        <vt:lpwstr/>
      </vt:variant>
      <vt:variant>
        <vt:i4>917513</vt:i4>
      </vt:variant>
      <vt:variant>
        <vt:i4>3</vt:i4>
      </vt:variant>
      <vt:variant>
        <vt:i4>0</vt:i4>
      </vt:variant>
      <vt:variant>
        <vt:i4>5</vt:i4>
      </vt:variant>
      <vt:variant>
        <vt:lpwstr>http://www.adobe.com/products/acrobat/readstep2.html</vt:lpwstr>
      </vt:variant>
      <vt:variant>
        <vt:lpwstr/>
      </vt:variant>
      <vt:variant>
        <vt:i4>4325388</vt:i4>
      </vt:variant>
      <vt:variant>
        <vt:i4>0</vt:i4>
      </vt:variant>
      <vt:variant>
        <vt:i4>0</vt:i4>
      </vt:variant>
      <vt:variant>
        <vt:i4>5</vt:i4>
      </vt:variant>
      <vt:variant>
        <vt:lpwstr>http://www.uspto.gov/ebc/portal/forms.htm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turanga</dc:creator>
  <cp:keywords/>
  <dc:description/>
  <cp:lastModifiedBy>Karthigairajan, Janaki (SAIC)</cp:lastModifiedBy>
  <cp:revision>2</cp:revision>
  <dcterms:created xsi:type="dcterms:W3CDTF">2025-06-11T17:31:00Z</dcterms:created>
  <dcterms:modified xsi:type="dcterms:W3CDTF">2025-06-11T17:31:00Z</dcterms:modified>
</cp:coreProperties>
</file>