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DA3" w:rsidRDefault="00D76DA3" w:rsidP="00D76DA3">
      <w:pPr>
        <w:tabs>
          <w:tab w:val="left" w:pos="0"/>
        </w:tabs>
        <w:jc w:val="center"/>
        <w:rPr>
          <w:b/>
          <w:bCs/>
          <w:lang w:val="fr-FR"/>
        </w:rPr>
      </w:pPr>
    </w:p>
    <w:p w:rsidR="00D76DA3" w:rsidRDefault="005B6C50" w:rsidP="000679E9">
      <w:pPr>
        <w:pStyle w:val="Heading1"/>
        <w:jc w:val="center"/>
      </w:pPr>
      <w:r>
        <w:t>Example from equation</w:t>
      </w:r>
      <w:r w:rsidR="000679E9">
        <w:t xml:space="preserve"> </w:t>
      </w:r>
      <w:r w:rsidR="00BE58D6">
        <w:t>editor</w:t>
      </w:r>
    </w:p>
    <w:p w:rsidR="00D76DA3" w:rsidRDefault="00D76DA3" w:rsidP="00D76DA3">
      <w:pPr>
        <w:jc w:val="center"/>
        <w:rPr>
          <w:b/>
          <w:bCs/>
        </w:rPr>
      </w:pPr>
    </w:p>
    <w:p w:rsidR="00D76DA3" w:rsidRDefault="00D76DA3" w:rsidP="00D76DA3">
      <w:pPr>
        <w:jc w:val="right"/>
      </w:pPr>
    </w:p>
    <w:p w:rsidR="00D76DA3" w:rsidRDefault="00D76DA3" w:rsidP="00D76DA3"/>
    <w:p w:rsidR="00D76DA3" w:rsidRDefault="00D76DA3" w:rsidP="00D76DA3">
      <w:r>
        <w:t xml:space="preserve">Application Number:  </w:t>
      </w:r>
      <w:fldSimple w:instr=" DOCPROPERTY &quot;OACSApplicationSerialNumber&quot; \* MERGEFORMAT ">
        <w:r>
          <w:t>11/179,189</w:t>
        </w:r>
      </w:fldSimple>
    </w:p>
    <w:p w:rsidR="00D76DA3" w:rsidRDefault="00D76DA3" w:rsidP="00D76DA3">
      <w:pPr>
        <w:ind w:right="720"/>
      </w:pPr>
      <w:r>
        <w:t xml:space="preserve">Filing Date: </w:t>
      </w:r>
      <w:fldSimple w:instr=" DOCPROPERTY &quot;OACSApplicationDate&quot; \* MERGEFORMAT ">
        <w:r>
          <w:t>July 12, 2005</w:t>
        </w:r>
      </w:fldSimple>
    </w:p>
    <w:p w:rsidR="00D76DA3" w:rsidRDefault="00D76DA3" w:rsidP="00D76DA3">
      <w:pPr>
        <w:ind w:right="720"/>
      </w:pPr>
      <w:r>
        <w:t xml:space="preserve">Appellants: </w:t>
      </w:r>
      <w:fldSimple w:instr=" DOCPROPERTY &quot;OACSApplicantName&quot;  \* MERGEFORMAT ">
        <w:r>
          <w:t>ELDRIDGE ET AL.</w:t>
        </w:r>
      </w:fldSimple>
    </w:p>
    <w:p w:rsidR="00D76DA3" w:rsidRDefault="00D76DA3" w:rsidP="00D76DA3"/>
    <w:p w:rsidR="00D76DA3" w:rsidRDefault="00D76DA3" w:rsidP="00D76DA3"/>
    <w:p w:rsidR="00D76DA3" w:rsidRDefault="00D76DA3" w:rsidP="00D76DA3">
      <w:pPr>
        <w:spacing w:line="480" w:lineRule="auto"/>
        <w:ind w:firstLine="720"/>
        <w:rPr>
          <w:rFonts w:cs="Arial"/>
          <w:szCs w:val="24"/>
        </w:rPr>
      </w:pPr>
      <w:r>
        <w:rPr>
          <w:rFonts w:cs="Arial"/>
          <w:szCs w:val="24"/>
        </w:rPr>
        <w:t xml:space="preserve">As per claim 3, </w:t>
      </w:r>
      <w:proofErr w:type="spellStart"/>
      <w:r>
        <w:rPr>
          <w:rFonts w:cs="Arial"/>
          <w:szCs w:val="24"/>
        </w:rPr>
        <w:t>Matyas</w:t>
      </w:r>
      <w:proofErr w:type="spellEnd"/>
      <w:r>
        <w:rPr>
          <w:rFonts w:cs="Arial"/>
          <w:szCs w:val="24"/>
        </w:rPr>
        <w:t>, Jr. further explains:</w:t>
      </w:r>
    </w:p>
    <w:p w:rsidR="00D76DA3" w:rsidRDefault="00D76DA3" w:rsidP="0021593B">
      <w:pPr>
        <w:spacing w:line="480" w:lineRule="auto"/>
        <w:ind w:firstLine="720"/>
        <w:rPr>
          <w:rFonts w:cs="Arial"/>
          <w:szCs w:val="24"/>
        </w:rPr>
      </w:pPr>
      <w:r>
        <w:rPr>
          <w:rFonts w:cs="Arial"/>
          <w:szCs w:val="24"/>
        </w:rPr>
        <w:t xml:space="preserve">wherein said seed comprises length which is less than a block size for said asymmetric private key (see column 3, lines 61-67; the random number seed </w:t>
      </w:r>
      <w:proofErr w:type="spellStart"/>
      <w:r>
        <w:rPr>
          <w:rFonts w:cs="Arial"/>
          <w:szCs w:val="24"/>
        </w:rPr>
        <w:t>Xp</w:t>
      </w:r>
      <w:proofErr w:type="spellEnd"/>
      <w:r>
        <w:rPr>
          <w:rFonts w:cs="Arial"/>
          <w:szCs w:val="24"/>
        </w:rPr>
        <w:t xml:space="preserve"> is such that it is greater than or equal to </w:t>
      </w:r>
      <w:r>
        <w:rPr>
          <w:rFonts w:cs="Arial"/>
          <w:position w:val="-12"/>
          <w:szCs w:val="24"/>
        </w:rPr>
        <w:object w:dxaOrig="1339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75pt;height:21pt" o:ole="">
            <v:imagedata r:id="rId9" o:title=""/>
          </v:shape>
          <o:OLEObject Type="Embed" ProgID="Equation.3" ShapeID="_x0000_i1025" DrawAspect="Content" ObjectID="_1475318193" r:id="rId10"/>
        </w:object>
      </w:r>
      <w:r>
        <w:rPr>
          <w:rFonts w:cs="Arial"/>
          <w:szCs w:val="24"/>
        </w:rPr>
        <w:t xml:space="preserve"> and less than or equal to </w:t>
      </w:r>
      <w:r>
        <w:rPr>
          <w:rFonts w:cs="Arial"/>
          <w:position w:val="-12"/>
          <w:szCs w:val="24"/>
        </w:rPr>
        <w:object w:dxaOrig="1239" w:dyaOrig="420">
          <v:shape id="_x0000_i1026" type="#_x0000_t75" style="width:62.25pt;height:21pt" o:ole="">
            <v:imagedata r:id="rId11" o:title=""/>
          </v:shape>
          <o:OLEObject Type="Embed" ProgID="Equation.3" ShapeID="_x0000_i1026" DrawAspect="Content" ObjectID="_1475318194" r:id="rId12"/>
        </w:object>
      </w:r>
      <w:r>
        <w:rPr>
          <w:rFonts w:cs="Arial"/>
          <w:szCs w:val="24"/>
        </w:rPr>
        <w:t xml:space="preserve">; see column 4, lines 12-13; the private signature exponent, d, is greater than </w:t>
      </w:r>
      <w:r>
        <w:rPr>
          <w:rFonts w:cs="Arial"/>
          <w:position w:val="-12"/>
          <w:szCs w:val="24"/>
        </w:rPr>
        <w:object w:dxaOrig="940" w:dyaOrig="420">
          <v:shape id="_x0000_i1027" type="#_x0000_t75" style="width:47.25pt;height:21pt" o:ole="">
            <v:imagedata r:id="rId13" o:title=""/>
          </v:shape>
          <o:OLEObject Type="Embed" ProgID="Equation.3" ShapeID="_x0000_i1027" DrawAspect="Content" ObjectID="_1475318195" r:id="rId14"/>
        </w:object>
      </w:r>
      <w:r>
        <w:rPr>
          <w:rFonts w:cs="Arial"/>
          <w:szCs w:val="24"/>
        </w:rPr>
        <w:t>).</w:t>
      </w:r>
      <w:r>
        <w:rPr>
          <w:rFonts w:cs="Arial"/>
          <w:szCs w:val="24"/>
        </w:rPr>
        <w:br/>
      </w:r>
    </w:p>
    <w:p w:rsidR="0021593B" w:rsidRPr="00826CDE" w:rsidRDefault="0021593B" w:rsidP="0021593B">
      <w:pPr>
        <w:spacing w:line="480" w:lineRule="auto"/>
        <w:rPr>
          <w:rFonts w:cs="Arial"/>
          <w:b/>
          <w:szCs w:val="24"/>
        </w:rPr>
      </w:pPr>
      <w:r w:rsidRPr="00826CDE">
        <w:rPr>
          <w:rFonts w:cs="Arial"/>
          <w:b/>
          <w:szCs w:val="24"/>
        </w:rPr>
        <w:t>My equation:</w:t>
      </w:r>
    </w:p>
    <w:p w:rsidR="0021593B" w:rsidRDefault="0021593B" w:rsidP="0021593B">
      <w:pPr>
        <w:spacing w:line="480" w:lineRule="auto"/>
        <w:rPr>
          <w:rFonts w:cs="Arial"/>
          <w:szCs w:val="24"/>
        </w:rPr>
      </w:pPr>
      <m:oMathPara>
        <m:oMath>
          <m:r>
            <w:rPr>
              <w:rFonts w:ascii="Cambria Math" w:hAnsi="Cambria Math" w:cs="Arial"/>
              <w:szCs w:val="24"/>
            </w:rPr>
            <m:t xml:space="preserve">x = </m:t>
          </m:r>
          <m:f>
            <m:fPr>
              <m:ctrlPr>
                <w:rPr>
                  <w:rFonts w:ascii="Cambria Math" w:hAnsi="Cambria Math" w:cs="Arial"/>
                  <w:i/>
                  <w:szCs w:val="24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Arial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Cs w:val="24"/>
                    </w:rPr>
                    <m:t xml:space="preserve">-b± 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Arial"/>
                          <w:i/>
                          <w:szCs w:val="24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Cs w:val="24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Cs w:val="24"/>
                        </w:rPr>
                        <m:t>-4ac</m:t>
                      </m:r>
                    </m:e>
                  </m:rad>
                </m:e>
              </m:d>
            </m:num>
            <m:den>
              <m:r>
                <w:rPr>
                  <w:rFonts w:ascii="Cambria Math" w:hAnsi="Cambria Math" w:cs="Arial"/>
                  <w:szCs w:val="24"/>
                </w:rPr>
                <m:t>2a</m:t>
              </m:r>
            </m:den>
          </m:f>
        </m:oMath>
      </m:oMathPara>
    </w:p>
    <w:p w:rsidR="00D76DA3" w:rsidRDefault="00D76DA3" w:rsidP="00D76DA3">
      <w:pPr>
        <w:spacing w:line="480" w:lineRule="auto"/>
        <w:rPr>
          <w:rFonts w:cs="Arial"/>
          <w:szCs w:val="24"/>
        </w:rPr>
      </w:pPr>
    </w:p>
    <w:p w:rsidR="00D76DA3" w:rsidRDefault="0021593B" w:rsidP="0021593B">
      <w:pPr>
        <w:spacing w:line="480" w:lineRule="auto"/>
        <w:rPr>
          <w:rFonts w:cs="Arial"/>
          <w:szCs w:val="24"/>
        </w:rPr>
      </w:pPr>
      <w:r>
        <w:rPr>
          <w:rFonts w:cs="Arial"/>
        </w:rPr>
        <w:t>End of my equation</w:t>
      </w:r>
      <w:r w:rsidR="00D76DA3">
        <w:rPr>
          <w:rFonts w:cs="Arial"/>
          <w:szCs w:val="24"/>
        </w:rPr>
        <w:t>.</w:t>
      </w:r>
    </w:p>
    <w:p w:rsidR="00DA1F54" w:rsidRDefault="00DA1F54" w:rsidP="0021593B">
      <w:pPr>
        <w:spacing w:line="480" w:lineRule="auto"/>
        <w:rPr>
          <w:rFonts w:cs="Arial"/>
          <w:szCs w:val="24"/>
        </w:rPr>
      </w:pPr>
    </w:p>
    <w:p w:rsidR="00DA1F54" w:rsidRDefault="00DA1F54" w:rsidP="00CE22D4">
      <w:pPr>
        <w:pStyle w:val="Heading2"/>
      </w:pPr>
      <w:r>
        <w:t>Text formula example from OA 10046224:</w:t>
      </w:r>
      <w:bookmarkStart w:id="0" w:name="_GoBack"/>
      <w:bookmarkEnd w:id="0"/>
    </w:p>
    <w:p w:rsidR="00DA1F54" w:rsidRDefault="00DA1F54" w:rsidP="00DA1F54">
      <w:pPr>
        <w:spacing w:line="480" w:lineRule="auto"/>
        <w:ind w:firstLine="720"/>
      </w:pPr>
      <w:r>
        <w:t>Claim 2 is objected to because of the following informalities:  “(q is a prime factor…)”, “(10</w:t>
      </w:r>
      <w:r>
        <w:rPr>
          <w:vertAlign w:val="superscript"/>
        </w:rPr>
        <w:t xml:space="preserve">k1+k2 </w:t>
      </w:r>
      <w:r>
        <w:t>…</w:t>
      </w:r>
      <w:proofErr w:type="gramStart"/>
      <w:r>
        <w:t>.&lt;</w:t>
      </w:r>
      <w:proofErr w:type="gramEnd"/>
      <w:r>
        <w:t>p)”, “(|</w:t>
      </w:r>
      <w:r>
        <w:rPr>
          <w:rFonts w:cs="Arial"/>
        </w:rPr>
        <w:t>α</w:t>
      </w:r>
      <w:r>
        <w:rPr>
          <w:rFonts w:cs="Arial"/>
          <w:vertAlign w:val="subscript"/>
        </w:rPr>
        <w:t>1</w:t>
      </w:r>
      <w:r>
        <w:rPr>
          <w:rFonts w:cs="Arial"/>
        </w:rPr>
        <w:t>| = k</w:t>
      </w:r>
      <w:r>
        <w:rPr>
          <w:rFonts w:cs="Arial"/>
          <w:vertAlign w:val="subscript"/>
        </w:rPr>
        <w:t xml:space="preserve">1 </w:t>
      </w:r>
      <w:r>
        <w:t>, |</w:t>
      </w:r>
      <w:r>
        <w:rPr>
          <w:rFonts w:cs="Arial"/>
        </w:rPr>
        <w:t>α</w:t>
      </w:r>
      <w:r>
        <w:rPr>
          <w:rFonts w:cs="Arial"/>
          <w:vertAlign w:val="subscript"/>
        </w:rPr>
        <w:t>2</w:t>
      </w:r>
      <w:r>
        <w:rPr>
          <w:rFonts w:cs="Arial"/>
        </w:rPr>
        <w:t>| = k</w:t>
      </w:r>
      <w:r>
        <w:rPr>
          <w:rFonts w:cs="Arial"/>
          <w:vertAlign w:val="subscript"/>
        </w:rPr>
        <w:t>2</w:t>
      </w:r>
      <w:r>
        <w:t xml:space="preserve">)”, “(|m| = </w:t>
      </w:r>
      <w:r>
        <w:rPr>
          <w:rFonts w:cs="Arial"/>
        </w:rPr>
        <w:t>k</w:t>
      </w:r>
      <w:r>
        <w:rPr>
          <w:rFonts w:cs="Arial"/>
          <w:vertAlign w:val="subscript"/>
        </w:rPr>
        <w:t xml:space="preserve">3 </w:t>
      </w:r>
      <w:r>
        <w:t>where…)”. The parenthesis should be removed for the limitation to be given patentable weight.  Appropriate correction is required.</w:t>
      </w:r>
    </w:p>
    <w:p w:rsidR="00DA1F54" w:rsidRDefault="00DA1F54" w:rsidP="00DA1F54">
      <w:pPr>
        <w:pStyle w:val="BodyTextIndent2"/>
        <w:ind w:firstLine="0"/>
      </w:pPr>
    </w:p>
    <w:p w:rsidR="00DA1F54" w:rsidRDefault="00DA1F54" w:rsidP="00DA1F54">
      <w:pPr>
        <w:pStyle w:val="BodyTextIndent2"/>
        <w:ind w:firstLine="0"/>
      </w:pPr>
      <w:r>
        <w:lastRenderedPageBreak/>
        <w:t xml:space="preserve">Regarding claim 1, Cramer et al. teach a public-key cryptographic scheme comprising: a key generation step of generating a secret-key: </w:t>
      </w:r>
    </w:p>
    <w:p w:rsidR="00DA1F54" w:rsidRDefault="00DA1F54" w:rsidP="00DA1F54">
      <w:pPr>
        <w:pStyle w:val="BodyTextIndent2"/>
        <w:numPr>
          <w:ilvl w:val="0"/>
          <w:numId w:val="2"/>
        </w:numPr>
        <w:ind w:firstLine="0"/>
      </w:pPr>
      <w:r>
        <w:t>x</w:t>
      </w:r>
      <w:r>
        <w:rPr>
          <w:vertAlign w:val="subscript"/>
        </w:rPr>
        <w:t>1</w:t>
      </w:r>
      <w:r>
        <w:t>, x</w:t>
      </w:r>
      <w:r>
        <w:rPr>
          <w:vertAlign w:val="subscript"/>
        </w:rPr>
        <w:t>2</w:t>
      </w:r>
      <w:r>
        <w:t>, y</w:t>
      </w:r>
      <w:r>
        <w:rPr>
          <w:vertAlign w:val="subscript"/>
        </w:rPr>
        <w:t>11</w:t>
      </w:r>
      <w:r>
        <w:t>, y</w:t>
      </w:r>
      <w:r>
        <w:rPr>
          <w:vertAlign w:val="subscript"/>
        </w:rPr>
        <w:t>12</w:t>
      </w:r>
      <w:r>
        <w:t>, y</w:t>
      </w:r>
      <w:r>
        <w:rPr>
          <w:vertAlign w:val="subscript"/>
        </w:rPr>
        <w:t>21</w:t>
      </w:r>
      <w:r>
        <w:t>, y</w:t>
      </w:r>
      <w:r>
        <w:rPr>
          <w:vertAlign w:val="subscript"/>
        </w:rPr>
        <w:t>22</w:t>
      </w:r>
      <w:r>
        <w:t xml:space="preserve">, z </w:t>
      </w:r>
      <w:r>
        <w:rPr>
          <w:rFonts w:ascii="Symbol" w:hAnsi="Symbol"/>
        </w:rPr>
        <w:t></w:t>
      </w:r>
      <w:r>
        <w:rPr>
          <w:rFonts w:ascii="Symbol" w:hAnsi="Symbol"/>
        </w:rPr>
        <w:t></w:t>
      </w:r>
      <w:proofErr w:type="spellStart"/>
      <w:r>
        <w:rPr>
          <w:rFonts w:cs="Arial"/>
        </w:rPr>
        <w:t>Z</w:t>
      </w:r>
      <w:r>
        <w:rPr>
          <w:vertAlign w:val="subscript"/>
        </w:rPr>
        <w:t>q</w:t>
      </w:r>
      <w:proofErr w:type="spellEnd"/>
      <w:r>
        <w:rPr>
          <w:vertAlign w:val="subscript"/>
        </w:rPr>
        <w:t xml:space="preserve"> </w:t>
      </w:r>
      <w:r>
        <w:t xml:space="preserve">(column 7, lines 10-19), and </w:t>
      </w:r>
    </w:p>
    <w:p w:rsidR="00DA1F54" w:rsidRDefault="00DA1F54" w:rsidP="00DA1F54">
      <w:pPr>
        <w:pStyle w:val="BodyTextIndent2"/>
        <w:numPr>
          <w:ilvl w:val="0"/>
          <w:numId w:val="2"/>
        </w:numPr>
        <w:ind w:firstLine="0"/>
      </w:pPr>
      <w:r>
        <w:t xml:space="preserve">a public-key: </w:t>
      </w:r>
    </w:p>
    <w:p w:rsidR="00DA1F54" w:rsidRDefault="00DA1F54" w:rsidP="00DA1F54">
      <w:pPr>
        <w:pStyle w:val="BodyTextIndent2"/>
        <w:numPr>
          <w:ilvl w:val="1"/>
          <w:numId w:val="2"/>
        </w:numPr>
        <w:ind w:firstLine="0"/>
      </w:pPr>
      <w:r>
        <w:t xml:space="preserve">G, G': finite (multiplicative) group G </w:t>
      </w:r>
      <w:r>
        <w:rPr>
          <w:rFonts w:ascii="Symbol" w:hAnsi="Symbol"/>
        </w:rPr>
        <w:t></w:t>
      </w:r>
      <w:r>
        <w:rPr>
          <w:rFonts w:ascii="Symbol" w:hAnsi="Symbol"/>
        </w:rPr>
        <w:t></w:t>
      </w:r>
      <w:proofErr w:type="spellStart"/>
      <w:r>
        <w:t>G</w:t>
      </w:r>
      <w:proofErr w:type="spellEnd"/>
      <w:r>
        <w:t xml:space="preserve">’, </w:t>
      </w:r>
    </w:p>
    <w:p w:rsidR="00DA1F54" w:rsidRDefault="00DA1F54" w:rsidP="00DA1F54">
      <w:pPr>
        <w:pStyle w:val="BodyTextIndent2"/>
        <w:numPr>
          <w:ilvl w:val="1"/>
          <w:numId w:val="2"/>
        </w:numPr>
        <w:ind w:firstLine="0"/>
      </w:pPr>
      <w:r>
        <w:t xml:space="preserve">q: prime number (the order of G), </w:t>
      </w:r>
    </w:p>
    <w:p w:rsidR="00DA1F54" w:rsidRDefault="00DA1F54" w:rsidP="00DA1F54">
      <w:pPr>
        <w:pStyle w:val="BodyTextIndent2"/>
        <w:numPr>
          <w:ilvl w:val="1"/>
          <w:numId w:val="2"/>
        </w:numPr>
        <w:ind w:firstLine="0"/>
      </w:pPr>
      <w:r>
        <w:t>g</w:t>
      </w:r>
      <w:r>
        <w:rPr>
          <w:vertAlign w:val="subscript"/>
        </w:rPr>
        <w:t>1</w:t>
      </w:r>
      <w:r>
        <w:t>,g</w:t>
      </w:r>
      <w:r>
        <w:rPr>
          <w:vertAlign w:val="subscript"/>
        </w:rPr>
        <w:t>2</w:t>
      </w:r>
      <w:r>
        <w:t xml:space="preserve"> </w:t>
      </w:r>
      <w:r>
        <w:rPr>
          <w:rFonts w:ascii="Symbol" w:hAnsi="Symbol"/>
        </w:rPr>
        <w:t></w:t>
      </w:r>
      <w:r>
        <w:rPr>
          <w:rFonts w:ascii="Symbol" w:hAnsi="Symbol"/>
        </w:rPr>
        <w:t></w:t>
      </w:r>
      <w:r>
        <w:t xml:space="preserve">G (column 6, lines 65-67, column 7, lines 1-10), </w:t>
      </w:r>
    </w:p>
    <w:p w:rsidR="00DA1F54" w:rsidRDefault="00DA1F54" w:rsidP="00DA1F54">
      <w:pPr>
        <w:pStyle w:val="BodyTextIndent2"/>
        <w:numPr>
          <w:ilvl w:val="1"/>
          <w:numId w:val="2"/>
        </w:numPr>
        <w:ind w:firstLine="0"/>
      </w:pPr>
      <w:r>
        <w:t>c= g</w:t>
      </w:r>
      <w:r>
        <w:rPr>
          <w:vertAlign w:val="subscript"/>
        </w:rPr>
        <w:t>1</w:t>
      </w:r>
      <w:r>
        <w:t>^x</w:t>
      </w:r>
      <w:r>
        <w:rPr>
          <w:vertAlign w:val="subscript"/>
        </w:rPr>
        <w:t xml:space="preserve">1 </w:t>
      </w:r>
      <w:r>
        <w:t>g</w:t>
      </w:r>
      <w:r>
        <w:rPr>
          <w:vertAlign w:val="subscript"/>
        </w:rPr>
        <w:t>2</w:t>
      </w:r>
      <w:r>
        <w:t>^x</w:t>
      </w:r>
      <w:r>
        <w:rPr>
          <w:vertAlign w:val="subscript"/>
        </w:rPr>
        <w:t>2</w:t>
      </w:r>
      <w:r>
        <w:t>, d</w:t>
      </w:r>
      <w:r>
        <w:rPr>
          <w:vertAlign w:val="subscript"/>
        </w:rPr>
        <w:t>1</w:t>
      </w:r>
      <w:r>
        <w:t>= g</w:t>
      </w:r>
      <w:r>
        <w:rPr>
          <w:vertAlign w:val="subscript"/>
        </w:rPr>
        <w:t>1</w:t>
      </w:r>
      <w:r>
        <w:t>^y</w:t>
      </w:r>
      <w:r>
        <w:rPr>
          <w:vertAlign w:val="subscript"/>
        </w:rPr>
        <w:t>11</w:t>
      </w:r>
      <w:r>
        <w:t xml:space="preserve"> g</w:t>
      </w:r>
      <w:r>
        <w:rPr>
          <w:vertAlign w:val="subscript"/>
        </w:rPr>
        <w:t>2</w:t>
      </w:r>
      <w:r>
        <w:t>^y</w:t>
      </w:r>
      <w:r>
        <w:rPr>
          <w:vertAlign w:val="subscript"/>
        </w:rPr>
        <w:t>12</w:t>
      </w:r>
      <w:r>
        <w:t>, d</w:t>
      </w:r>
      <w:r>
        <w:rPr>
          <w:vertAlign w:val="subscript"/>
        </w:rPr>
        <w:t>2</w:t>
      </w:r>
      <w:r>
        <w:t>= g</w:t>
      </w:r>
      <w:r>
        <w:rPr>
          <w:vertAlign w:val="subscript"/>
        </w:rPr>
        <w:t>1</w:t>
      </w:r>
      <w:r>
        <w:t>^y</w:t>
      </w:r>
      <w:r>
        <w:rPr>
          <w:vertAlign w:val="subscript"/>
        </w:rPr>
        <w:t>21</w:t>
      </w:r>
      <w:r>
        <w:t xml:space="preserve"> g</w:t>
      </w:r>
      <w:r>
        <w:rPr>
          <w:vertAlign w:val="subscript"/>
        </w:rPr>
        <w:t>2</w:t>
      </w:r>
      <w:r>
        <w:t>^y</w:t>
      </w:r>
      <w:r>
        <w:rPr>
          <w:vertAlign w:val="subscript"/>
        </w:rPr>
        <w:t>22</w:t>
      </w:r>
      <w:r>
        <w:t>, h= g</w:t>
      </w:r>
      <w:r>
        <w:rPr>
          <w:vertAlign w:val="subscript"/>
        </w:rPr>
        <w:t>1</w:t>
      </w:r>
      <w:r>
        <w:t xml:space="preserve">^z, </w:t>
      </w:r>
    </w:p>
    <w:p w:rsidR="00DA1F54" w:rsidRDefault="00DA1F54" w:rsidP="00DA1F54">
      <w:pPr>
        <w:pStyle w:val="BodyTextIndent2"/>
        <w:numPr>
          <w:ilvl w:val="1"/>
          <w:numId w:val="2"/>
        </w:numPr>
        <w:ind w:firstLine="0"/>
      </w:pPr>
      <w:r>
        <w:rPr>
          <w:rFonts w:cs="Arial"/>
        </w:rPr>
        <w:t>π</w:t>
      </w:r>
      <w:r>
        <w:t xml:space="preserve"> : X</w:t>
      </w:r>
      <w:r>
        <w:rPr>
          <w:vertAlign w:val="subscript"/>
        </w:rPr>
        <w:t>1</w:t>
      </w:r>
      <w:r>
        <w:t xml:space="preserve"> x X</w:t>
      </w:r>
      <w:r>
        <w:rPr>
          <w:vertAlign w:val="subscript"/>
        </w:rPr>
        <w:t xml:space="preserve">2 </w:t>
      </w:r>
      <w:r>
        <w:t xml:space="preserve">x M </w:t>
      </w:r>
      <w:r>
        <w:rPr>
          <w:rFonts w:cs="Arial"/>
        </w:rPr>
        <w:t xml:space="preserve">→ </w:t>
      </w:r>
      <w:r>
        <w:t>G’ : one-to-one mapping</w:t>
      </w:r>
    </w:p>
    <w:p w:rsidR="00DA1F54" w:rsidRDefault="00DA1F54" w:rsidP="00DA1F54">
      <w:pPr>
        <w:pStyle w:val="BodyTextIndent2"/>
        <w:numPr>
          <w:ilvl w:val="1"/>
          <w:numId w:val="2"/>
        </w:numPr>
        <w:ind w:firstLine="0"/>
      </w:pPr>
      <w:r>
        <w:rPr>
          <w:rFonts w:cs="Arial"/>
        </w:rPr>
        <w:t>π</w:t>
      </w:r>
      <w:r>
        <w:rPr>
          <w:rFonts w:cs="Arial"/>
          <w:vertAlign w:val="superscript"/>
        </w:rPr>
        <w:t>-1</w:t>
      </w:r>
      <w:r>
        <w:t xml:space="preserve"> : </w:t>
      </w:r>
      <w:proofErr w:type="spellStart"/>
      <w:r>
        <w:t>Im</w:t>
      </w:r>
      <w:proofErr w:type="spellEnd"/>
      <w:r>
        <w:t>(</w:t>
      </w:r>
      <w:r>
        <w:rPr>
          <w:rFonts w:cs="Arial"/>
        </w:rPr>
        <w:t>π</w:t>
      </w:r>
      <w:r>
        <w:t xml:space="preserve">) </w:t>
      </w:r>
      <w:r>
        <w:rPr>
          <w:rFonts w:cs="Arial"/>
        </w:rPr>
        <w:t xml:space="preserve">→ </w:t>
      </w:r>
      <w:r>
        <w:t>X</w:t>
      </w:r>
      <w:r>
        <w:rPr>
          <w:vertAlign w:val="subscript"/>
        </w:rPr>
        <w:t>1</w:t>
      </w:r>
      <w:r>
        <w:t xml:space="preserve"> x X</w:t>
      </w:r>
      <w:r>
        <w:rPr>
          <w:vertAlign w:val="subscript"/>
        </w:rPr>
        <w:t xml:space="preserve">2 </w:t>
      </w:r>
      <w:r>
        <w:t>x M (column 7, lines 20-27)</w:t>
      </w:r>
    </w:p>
    <w:p w:rsidR="00DA1F54" w:rsidRDefault="00DA1F54" w:rsidP="00DA1F54">
      <w:pPr>
        <w:spacing w:line="480" w:lineRule="auto"/>
      </w:pPr>
    </w:p>
    <w:p w:rsidR="00DA1F54" w:rsidRDefault="00DA1F54" w:rsidP="0021593B">
      <w:pPr>
        <w:spacing w:line="480" w:lineRule="auto"/>
        <w:rPr>
          <w:rFonts w:cs="Arial"/>
          <w:szCs w:val="24"/>
        </w:rPr>
      </w:pPr>
    </w:p>
    <w:p w:rsidR="00DA1F54" w:rsidRPr="00DA1F54" w:rsidRDefault="00DA1F54" w:rsidP="0021593B">
      <w:pPr>
        <w:spacing w:line="480" w:lineRule="auto"/>
        <w:rPr>
          <w:rFonts w:cs="Arial"/>
          <w:szCs w:val="24"/>
        </w:rPr>
      </w:pPr>
    </w:p>
    <w:sectPr w:rsidR="00DA1F54" w:rsidRPr="00DA1F54" w:rsidSect="00637D76">
      <w:headerReference w:type="default" r:id="rId15"/>
      <w:pgSz w:w="12240" w:h="15840"/>
      <w:pgMar w:top="1440" w:right="1440" w:bottom="1440" w:left="1440" w:header="108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F38" w:rsidRDefault="00E47F38">
      <w:r>
        <w:separator/>
      </w:r>
    </w:p>
  </w:endnote>
  <w:endnote w:type="continuationSeparator" w:id="0">
    <w:p w:rsidR="00E47F38" w:rsidRDefault="00E47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F38" w:rsidRDefault="00E47F38">
      <w:r>
        <w:separator/>
      </w:r>
    </w:p>
  </w:footnote>
  <w:footnote w:type="continuationSeparator" w:id="0">
    <w:p w:rsidR="00E47F38" w:rsidRDefault="00E47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0" w:type="dxa"/>
      <w:tblLayout w:type="fixed"/>
      <w:tblLook w:val="0000" w:firstRow="0" w:lastRow="0" w:firstColumn="0" w:lastColumn="0" w:noHBand="0" w:noVBand="0"/>
    </w:tblPr>
    <w:tblGrid>
      <w:gridCol w:w="6000"/>
      <w:gridCol w:w="3600"/>
    </w:tblGrid>
    <w:tr w:rsidR="004D7B5F" w:rsidRPr="00013C47" w:rsidTr="00013C47">
      <w:trPr>
        <w:trHeight w:val="360"/>
      </w:trPr>
      <w:tc>
        <w:tcPr>
          <w:tcW w:w="6000" w:type="dxa"/>
          <w:shd w:val="clear" w:color="auto" w:fill="auto"/>
          <w:vAlign w:val="bottom"/>
        </w:tcPr>
        <w:p w:rsidR="004D7B5F" w:rsidRPr="00013C47" w:rsidRDefault="00D76DA3" w:rsidP="00013C47">
          <w:pPr>
            <w:pStyle w:val="Header"/>
          </w:pPr>
          <w:bookmarkStart w:id="1" w:name="OA_header"/>
          <w:bookmarkEnd w:id="1"/>
          <w:r>
            <w:t xml:space="preserve">Application/Control Number: </w:t>
          </w:r>
          <w:fldSimple w:instr=" DOCPROPERTY &quot;OACSApplicationSerialNumber&quot;  \* MERGEFORMAT ">
            <w:r>
              <w:t>11/179,189</w:t>
            </w:r>
          </w:fldSimple>
        </w:p>
      </w:tc>
      <w:tc>
        <w:tcPr>
          <w:tcW w:w="3600" w:type="dxa"/>
          <w:shd w:val="clear" w:color="auto" w:fill="auto"/>
          <w:vAlign w:val="bottom"/>
        </w:tcPr>
        <w:p w:rsidR="004D7B5F" w:rsidRPr="00013C47" w:rsidRDefault="00D76DA3" w:rsidP="00013C47">
          <w:pPr>
            <w:pStyle w:val="Header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BE58D6">
            <w:rPr>
              <w:noProof/>
            </w:rPr>
            <w:t>2</w:t>
          </w:r>
          <w:r>
            <w:fldChar w:fldCharType="end"/>
          </w:r>
        </w:p>
      </w:tc>
    </w:tr>
    <w:tr w:rsidR="004D7B5F" w:rsidRPr="00013C47" w:rsidTr="00013C47">
      <w:trPr>
        <w:trHeight w:val="360"/>
      </w:trPr>
      <w:tc>
        <w:tcPr>
          <w:tcW w:w="6000" w:type="dxa"/>
          <w:shd w:val="clear" w:color="auto" w:fill="auto"/>
          <w:vAlign w:val="bottom"/>
        </w:tcPr>
        <w:p w:rsidR="004D7B5F" w:rsidRPr="00013C47" w:rsidRDefault="00D76DA3" w:rsidP="00013C47">
          <w:pPr>
            <w:pStyle w:val="Header"/>
          </w:pPr>
          <w:r>
            <w:t xml:space="preserve">Art Unit: </w:t>
          </w:r>
          <w:fldSimple w:instr=" DOCPROPERTY &quot;OACSArtUnit&quot;  \* MERGEFORMAT ">
            <w:r>
              <w:t>2438</w:t>
            </w:r>
          </w:fldSimple>
        </w:p>
      </w:tc>
      <w:tc>
        <w:tcPr>
          <w:tcW w:w="3600" w:type="dxa"/>
          <w:shd w:val="clear" w:color="auto" w:fill="auto"/>
          <w:vAlign w:val="bottom"/>
        </w:tcPr>
        <w:p w:rsidR="004D7B5F" w:rsidRPr="00013C47" w:rsidRDefault="00CE22D4" w:rsidP="00013C47">
          <w:pPr>
            <w:pStyle w:val="Header"/>
          </w:pPr>
        </w:p>
      </w:tc>
    </w:tr>
  </w:tbl>
  <w:p w:rsidR="004D7B5F" w:rsidRDefault="00CE22D4" w:rsidP="00013C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30576"/>
    <w:multiLevelType w:val="hybridMultilevel"/>
    <w:tmpl w:val="3AAC5D5A"/>
    <w:lvl w:ilvl="0" w:tplc="94F2892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F1F4BBB"/>
    <w:multiLevelType w:val="multilevel"/>
    <w:tmpl w:val="85EAC270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Restart w:val="0"/>
      <w:lvlText w:val="%2."/>
      <w:lvlJc w:val="left"/>
      <w:pPr>
        <w:tabs>
          <w:tab w:val="num" w:pos="1440"/>
        </w:tabs>
        <w:ind w:left="720" w:firstLine="0"/>
      </w:pPr>
      <w:rPr>
        <w:rFonts w:hint="default"/>
      </w:rPr>
    </w:lvl>
    <w:lvl w:ilvl="2">
      <w:start w:val="1"/>
      <w:numFmt w:val="lowerRoman"/>
      <w:lvlRestart w:val="0"/>
      <w:lvlText w:val="%3."/>
      <w:lvlJc w:val="left"/>
      <w:pPr>
        <w:tabs>
          <w:tab w:val="num" w:pos="2160"/>
        </w:tabs>
        <w:ind w:left="1440" w:firstLine="0"/>
      </w:pPr>
      <w:rPr>
        <w:rFonts w:hint="default"/>
      </w:rPr>
    </w:lvl>
    <w:lvl w:ilvl="3">
      <w:start w:val="1"/>
      <w:numFmt w:val="decimal"/>
      <w:lvlRestart w:val="0"/>
      <w:lvlText w:val="(%4)"/>
      <w:lvlJc w:val="left"/>
      <w:pPr>
        <w:tabs>
          <w:tab w:val="num" w:pos="2880"/>
        </w:tabs>
        <w:ind w:left="2160" w:firstLine="0"/>
      </w:pPr>
      <w:rPr>
        <w:rFonts w:hint="default"/>
      </w:rPr>
    </w:lvl>
    <w:lvl w:ilvl="4">
      <w:start w:val="1"/>
      <w:numFmt w:val="lowerLetter"/>
      <w:lvlRestart w:val="0"/>
      <w:lvlText w:val="(%5)"/>
      <w:lvlJc w:val="left"/>
      <w:pPr>
        <w:tabs>
          <w:tab w:val="num" w:pos="3600"/>
        </w:tabs>
        <w:ind w:left="2880" w:firstLine="0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4320"/>
        </w:tabs>
        <w:ind w:left="3600" w:firstLine="0"/>
      </w:pPr>
      <w:rPr>
        <w:rFonts w:hint="default"/>
      </w:rPr>
    </w:lvl>
    <w:lvl w:ilvl="6">
      <w:start w:val="1"/>
      <w:numFmt w:val="decimal"/>
      <w:lvlRestart w:val="0"/>
      <w:lvlText w:val="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Restart w:val="0"/>
      <w:lvlText w:val="%8)"/>
      <w:lvlJc w:val="left"/>
      <w:pPr>
        <w:tabs>
          <w:tab w:val="num" w:pos="5760"/>
        </w:tabs>
        <w:ind w:left="5040" w:firstLine="0"/>
      </w:pPr>
      <w:rPr>
        <w:rFonts w:hint="default"/>
      </w:rPr>
    </w:lvl>
    <w:lvl w:ilvl="8">
      <w:start w:val="1"/>
      <w:numFmt w:val="lowerRoman"/>
      <w:lvlRestart w:val="0"/>
      <w:lvlText w:val="%9)"/>
      <w:lvlJc w:val="left"/>
      <w:pPr>
        <w:tabs>
          <w:tab w:val="num" w:pos="6480"/>
        </w:tabs>
        <w:ind w:left="576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A3"/>
    <w:rsid w:val="000679E9"/>
    <w:rsid w:val="0021593B"/>
    <w:rsid w:val="00430E74"/>
    <w:rsid w:val="005B6C50"/>
    <w:rsid w:val="00826CDE"/>
    <w:rsid w:val="00B379D7"/>
    <w:rsid w:val="00BE58D6"/>
    <w:rsid w:val="00CE22D4"/>
    <w:rsid w:val="00D76DA3"/>
    <w:rsid w:val="00DA1F54"/>
    <w:rsid w:val="00E4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D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79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22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76D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76DA3"/>
    <w:rPr>
      <w:rFonts w:ascii="Times New Roman" w:eastAsia="Times New Roman" w:hAnsi="Times New Roman" w:cs="Times New Roman"/>
      <w:sz w:val="24"/>
      <w:szCs w:val="20"/>
    </w:rPr>
  </w:style>
  <w:style w:type="character" w:customStyle="1" w:styleId="emphi1">
    <w:name w:val="emphi1"/>
    <w:basedOn w:val="DefaultParagraphFont"/>
    <w:rsid w:val="00D76DA3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21593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93B"/>
    <w:rPr>
      <w:rFonts w:ascii="Tahoma" w:eastAsia="Times New Roman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semiHidden/>
    <w:rsid w:val="00DA1F54"/>
    <w:pPr>
      <w:spacing w:line="480" w:lineRule="auto"/>
      <w:ind w:firstLine="720"/>
    </w:pPr>
    <w:rPr>
      <w:rFonts w:ascii="Arial" w:hAnsi="Arial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DA1F54"/>
    <w:rPr>
      <w:rFonts w:ascii="Arial" w:eastAsia="Times New Roman" w:hAnsi="Arial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679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E22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D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79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22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76D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76DA3"/>
    <w:rPr>
      <w:rFonts w:ascii="Times New Roman" w:eastAsia="Times New Roman" w:hAnsi="Times New Roman" w:cs="Times New Roman"/>
      <w:sz w:val="24"/>
      <w:szCs w:val="20"/>
    </w:rPr>
  </w:style>
  <w:style w:type="character" w:customStyle="1" w:styleId="emphi1">
    <w:name w:val="emphi1"/>
    <w:basedOn w:val="DefaultParagraphFont"/>
    <w:rsid w:val="00D76DA3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21593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93B"/>
    <w:rPr>
      <w:rFonts w:ascii="Tahoma" w:eastAsia="Times New Roman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semiHidden/>
    <w:rsid w:val="00DA1F54"/>
    <w:pPr>
      <w:spacing w:line="480" w:lineRule="auto"/>
      <w:ind w:firstLine="720"/>
    </w:pPr>
    <w:rPr>
      <w:rFonts w:ascii="Arial" w:hAnsi="Arial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DA1F54"/>
    <w:rPr>
      <w:rFonts w:ascii="Arial" w:eastAsia="Times New Roman" w:hAnsi="Arial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679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E22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89757-186A-450B-BAD6-CAE5B7136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Patent and Trademark Office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USPTO</dc:creator>
  <cp:lastModifiedBy>Gera, Sunil K. (Octo Consulting)</cp:lastModifiedBy>
  <cp:revision>7</cp:revision>
  <dcterms:created xsi:type="dcterms:W3CDTF">2014-09-30T15:53:00Z</dcterms:created>
  <dcterms:modified xsi:type="dcterms:W3CDTF">2014-10-20T17:50:00Z</dcterms:modified>
</cp:coreProperties>
</file>