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2BA6B" w14:textId="1C92604F" w:rsidR="002027C6" w:rsidRPr="00FA6E64" w:rsidRDefault="00FA6E64" w:rsidP="00FA6E64">
      <w:pPr>
        <w:pStyle w:val="Title"/>
      </w:pPr>
      <w:r>
        <w:t xml:space="preserve">TMEP </w:t>
      </w:r>
      <w:r w:rsidR="00AE596B" w:rsidRPr="00FA6E64">
        <w:t xml:space="preserve">HIGHLIGHTS </w:t>
      </w:r>
      <w:r w:rsidR="002027C6" w:rsidRPr="00FA6E64">
        <w:t>–</w:t>
      </w:r>
      <w:r w:rsidR="00194905">
        <w:t xml:space="preserve"> OCTOBER</w:t>
      </w:r>
      <w:r w:rsidR="002961F3">
        <w:t xml:space="preserve"> 201</w:t>
      </w:r>
      <w:r w:rsidR="004E4D8B">
        <w:t>8</w:t>
      </w:r>
    </w:p>
    <w:p w14:paraId="6CD66C9E" w14:textId="77777777" w:rsidR="002027C6" w:rsidRPr="006245EE" w:rsidRDefault="002027C6" w:rsidP="00B76D17">
      <w:pPr>
        <w:rPr>
          <w:szCs w:val="22"/>
        </w:rPr>
      </w:pPr>
      <w:bookmarkStart w:id="0" w:name="_GoBack"/>
      <w:bookmarkEnd w:id="0"/>
    </w:p>
    <w:p w14:paraId="7911C9C1" w14:textId="6185C3B0" w:rsidR="002027C6" w:rsidRPr="00A91C44" w:rsidRDefault="002027C6" w:rsidP="00FE686B">
      <w:r w:rsidRPr="00A91C44">
        <w:t xml:space="preserve">This outline highlights </w:t>
      </w:r>
      <w:r w:rsidR="00FA6E64">
        <w:t xml:space="preserve">some of the </w:t>
      </w:r>
      <w:r w:rsidR="00BB5AB6">
        <w:t xml:space="preserve">clarifications and </w:t>
      </w:r>
      <w:r w:rsidRPr="00A91C44">
        <w:t xml:space="preserve">changes </w:t>
      </w:r>
      <w:r w:rsidR="00AE596B">
        <w:t>se</w:t>
      </w:r>
      <w:r w:rsidR="00F1090A">
        <w:t xml:space="preserve">t forth in the </w:t>
      </w:r>
      <w:r w:rsidR="00194905">
        <w:t xml:space="preserve">October </w:t>
      </w:r>
      <w:r w:rsidR="002961F3">
        <w:t>201</w:t>
      </w:r>
      <w:r w:rsidR="004E4D8B">
        <w:t>8</w:t>
      </w:r>
      <w:r w:rsidR="002961F3">
        <w:t xml:space="preserve"> version of the TMEP</w:t>
      </w:r>
      <w:r w:rsidR="00C50783">
        <w:t xml:space="preserve">. </w:t>
      </w:r>
      <w:r w:rsidR="00866A17">
        <w:t xml:space="preserve"> </w:t>
      </w:r>
      <w:r w:rsidRPr="00A91C44">
        <w:t xml:space="preserve">For a more complete listing, see </w:t>
      </w:r>
      <w:r w:rsidR="008417DD" w:rsidRPr="00A91C44">
        <w:t>the</w:t>
      </w:r>
      <w:r w:rsidR="00160D04" w:rsidRPr="00A91C44">
        <w:t xml:space="preserve"> </w:t>
      </w:r>
      <w:r w:rsidR="008417DD" w:rsidRPr="00A91C44">
        <w:t>“</w:t>
      </w:r>
      <w:r w:rsidR="002961F3">
        <w:t xml:space="preserve">Index to </w:t>
      </w:r>
      <w:r w:rsidR="00F1090A">
        <w:t xml:space="preserve">Changes </w:t>
      </w:r>
      <w:r w:rsidR="002961F3">
        <w:t>in</w:t>
      </w:r>
      <w:r w:rsidR="00F1090A">
        <w:t xml:space="preserve"> TMEP</w:t>
      </w:r>
      <w:r w:rsidR="00194905">
        <w:t xml:space="preserve"> October</w:t>
      </w:r>
      <w:r w:rsidR="002961F3">
        <w:t xml:space="preserve"> 201</w:t>
      </w:r>
      <w:r w:rsidR="004E4D8B">
        <w:t>8</w:t>
      </w:r>
      <w:r w:rsidR="008417DD" w:rsidRPr="00A91C44">
        <w:t xml:space="preserve">” document, which is posted as part of the TMEP. </w:t>
      </w:r>
    </w:p>
    <w:p w14:paraId="3A75E1BB" w14:textId="77777777" w:rsidR="00CC2628" w:rsidRDefault="00186A91" w:rsidP="00B76D17">
      <w:pPr>
        <w:rPr>
          <w:szCs w:val="22"/>
        </w:rPr>
      </w:pPr>
      <w:r>
        <w:rPr>
          <w:szCs w:val="22"/>
        </w:rPr>
        <w:t>_____________________________________________________________</w:t>
      </w:r>
    </w:p>
    <w:p w14:paraId="57619D12" w14:textId="77777777" w:rsidR="00BD297D" w:rsidRDefault="00BD297D" w:rsidP="00B76D17">
      <w:pPr>
        <w:rPr>
          <w:szCs w:val="22"/>
        </w:rPr>
      </w:pPr>
    </w:p>
    <w:p w14:paraId="386A7F20" w14:textId="63AE5E19" w:rsidR="00C24661" w:rsidRDefault="00312415" w:rsidP="00B76D17">
      <w:pPr>
        <w:rPr>
          <w:b/>
          <w:szCs w:val="22"/>
        </w:rPr>
      </w:pPr>
      <w:r w:rsidRPr="00C7230E">
        <w:rPr>
          <w:b/>
          <w:szCs w:val="22"/>
        </w:rPr>
        <w:t>SIGNATURE ON CORRESPONDENCE</w:t>
      </w:r>
    </w:p>
    <w:p w14:paraId="0B0E2335" w14:textId="77777777" w:rsidR="00C7230E" w:rsidRDefault="00C7230E" w:rsidP="00B76D17">
      <w:pPr>
        <w:rPr>
          <w:b/>
          <w:szCs w:val="22"/>
        </w:rPr>
      </w:pPr>
    </w:p>
    <w:p w14:paraId="0D6B409D" w14:textId="502E9F74" w:rsidR="00B06EF6" w:rsidRPr="00B06EF6" w:rsidRDefault="00BA757D" w:rsidP="00B76D17">
      <w:pPr>
        <w:rPr>
          <w:b/>
          <w:szCs w:val="22"/>
        </w:rPr>
      </w:pPr>
      <w:r>
        <w:rPr>
          <w:b/>
          <w:i/>
          <w:szCs w:val="22"/>
        </w:rPr>
        <w:t>Guidelines on Persons with Legal Authority to Bind Certain Juristic Entities</w:t>
      </w:r>
      <w:r w:rsidR="00C7230E" w:rsidRPr="00C7230E">
        <w:rPr>
          <w:b/>
          <w:i/>
          <w:szCs w:val="22"/>
        </w:rPr>
        <w:t xml:space="preserve"> </w:t>
      </w:r>
      <w:r w:rsidR="00C7230E">
        <w:rPr>
          <w:szCs w:val="22"/>
        </w:rPr>
        <w:t>(TMEP §6</w:t>
      </w:r>
      <w:r>
        <w:rPr>
          <w:szCs w:val="22"/>
        </w:rPr>
        <w:t>11</w:t>
      </w:r>
      <w:r w:rsidR="00C7230E">
        <w:rPr>
          <w:szCs w:val="22"/>
        </w:rPr>
        <w:t>.0</w:t>
      </w:r>
      <w:r>
        <w:rPr>
          <w:szCs w:val="22"/>
        </w:rPr>
        <w:t>6</w:t>
      </w:r>
      <w:r w:rsidR="00C24661" w:rsidRPr="00C24661">
        <w:rPr>
          <w:szCs w:val="22"/>
        </w:rPr>
        <w:t>)</w:t>
      </w:r>
    </w:p>
    <w:p w14:paraId="39C01087" w14:textId="77777777" w:rsidR="00B06EF6" w:rsidRDefault="00B06EF6" w:rsidP="00B76D17">
      <w:pPr>
        <w:rPr>
          <w:szCs w:val="22"/>
        </w:rPr>
      </w:pPr>
    </w:p>
    <w:p w14:paraId="7264EFE3" w14:textId="3E887501" w:rsidR="00C24661" w:rsidRPr="00F60A1C" w:rsidRDefault="00BA757D" w:rsidP="00C7230E">
      <w:pPr>
        <w:pStyle w:val="Text"/>
        <w:numPr>
          <w:ilvl w:val="0"/>
          <w:numId w:val="7"/>
        </w:numPr>
      </w:pPr>
      <w:r w:rsidRPr="00BA757D">
        <w:rPr>
          <w:lang w:val="en"/>
        </w:rPr>
        <w:t xml:space="preserve">When a document must be signed by a person with "legal authority to bind a juristic entity," the </w:t>
      </w:r>
      <w:r w:rsidRPr="006C1E3C">
        <w:rPr>
          <w:b/>
          <w:lang w:val="en"/>
        </w:rPr>
        <w:t>signatory must be someone who has the authority to bind that entity to any obligation and/or agreement</w:t>
      </w:r>
      <w:r w:rsidRPr="00BA757D">
        <w:rPr>
          <w:lang w:val="en"/>
        </w:rPr>
        <w:t xml:space="preserve"> whatsoever, and not solely with regard to trademark matters</w:t>
      </w:r>
      <w:r>
        <w:rPr>
          <w:lang w:val="en"/>
        </w:rPr>
        <w:t xml:space="preserve">. </w:t>
      </w:r>
    </w:p>
    <w:p w14:paraId="13FD7DFC" w14:textId="77777777" w:rsidR="00BA757D" w:rsidRDefault="00BA757D" w:rsidP="00B76D17">
      <w:pPr>
        <w:rPr>
          <w:szCs w:val="22"/>
        </w:rPr>
      </w:pPr>
    </w:p>
    <w:p w14:paraId="28C57256" w14:textId="5A5703D8" w:rsidR="00B06EF6" w:rsidRDefault="00B06EF6" w:rsidP="00B76D17">
      <w:pPr>
        <w:rPr>
          <w:szCs w:val="22"/>
        </w:rPr>
      </w:pPr>
      <w:r w:rsidRPr="00B06EF6">
        <w:rPr>
          <w:szCs w:val="22"/>
        </w:rPr>
        <w:t>_____________________________________________________________</w:t>
      </w:r>
    </w:p>
    <w:p w14:paraId="55780BCC" w14:textId="77777777" w:rsidR="009060EE" w:rsidRDefault="009060EE" w:rsidP="001109D0">
      <w:pPr>
        <w:pStyle w:val="Heading1"/>
        <w:rPr>
          <w:caps/>
        </w:rPr>
      </w:pPr>
    </w:p>
    <w:p w14:paraId="71E1D7CF" w14:textId="5E663885" w:rsidR="001109D0" w:rsidRPr="00A135BD" w:rsidRDefault="00312415" w:rsidP="001109D0">
      <w:pPr>
        <w:pStyle w:val="Heading1"/>
        <w:rPr>
          <w:caps/>
        </w:rPr>
      </w:pPr>
      <w:r>
        <w:rPr>
          <w:caps/>
        </w:rPr>
        <w:t>EVIDENCE</w:t>
      </w:r>
    </w:p>
    <w:p w14:paraId="00211970" w14:textId="77777777" w:rsidR="001109D0" w:rsidRDefault="001109D0" w:rsidP="001109D0">
      <w:pPr>
        <w:rPr>
          <w:caps/>
        </w:rPr>
      </w:pPr>
    </w:p>
    <w:p w14:paraId="55E2AE9F" w14:textId="6A98799C" w:rsidR="0059589C" w:rsidRDefault="00312415" w:rsidP="0059589C">
      <w:pPr>
        <w:rPr>
          <w:szCs w:val="22"/>
        </w:rPr>
      </w:pPr>
      <w:r>
        <w:rPr>
          <w:b/>
          <w:i/>
          <w:szCs w:val="22"/>
        </w:rPr>
        <w:t>Internet Evidence</w:t>
      </w:r>
      <w:r w:rsidR="0059589C">
        <w:rPr>
          <w:b/>
          <w:szCs w:val="22"/>
        </w:rPr>
        <w:t xml:space="preserve"> </w:t>
      </w:r>
      <w:r w:rsidR="0059589C">
        <w:rPr>
          <w:szCs w:val="22"/>
        </w:rPr>
        <w:t>(TMEP §7</w:t>
      </w:r>
      <w:r>
        <w:rPr>
          <w:szCs w:val="22"/>
        </w:rPr>
        <w:t>10.01(b)</w:t>
      </w:r>
      <w:r w:rsidR="0059589C">
        <w:rPr>
          <w:szCs w:val="22"/>
        </w:rPr>
        <w:t>)</w:t>
      </w:r>
    </w:p>
    <w:p w14:paraId="7451F97A" w14:textId="77777777" w:rsidR="0059589C" w:rsidRDefault="0059589C" w:rsidP="0059589C">
      <w:pPr>
        <w:rPr>
          <w:szCs w:val="22"/>
        </w:rPr>
      </w:pPr>
    </w:p>
    <w:p w14:paraId="57327288" w14:textId="18334975" w:rsidR="00312415" w:rsidRPr="00312415" w:rsidRDefault="00312415" w:rsidP="0059589C">
      <w:pPr>
        <w:pStyle w:val="ListParagraph"/>
        <w:numPr>
          <w:ilvl w:val="0"/>
          <w:numId w:val="21"/>
        </w:numPr>
        <w:rPr>
          <w:szCs w:val="22"/>
        </w:rPr>
      </w:pPr>
      <w:r>
        <w:rPr>
          <w:szCs w:val="22"/>
          <w:lang w:val="en"/>
        </w:rPr>
        <w:t>For internet evidence, applicants</w:t>
      </w:r>
      <w:r w:rsidR="00F33B28">
        <w:rPr>
          <w:szCs w:val="22"/>
          <w:lang w:val="en"/>
        </w:rPr>
        <w:t>, like</w:t>
      </w:r>
      <w:r>
        <w:rPr>
          <w:szCs w:val="22"/>
          <w:lang w:val="en"/>
        </w:rPr>
        <w:t xml:space="preserve"> </w:t>
      </w:r>
      <w:r w:rsidR="00F33B28">
        <w:rPr>
          <w:szCs w:val="22"/>
          <w:lang w:val="en"/>
        </w:rPr>
        <w:t xml:space="preserve">examining attorneys, </w:t>
      </w:r>
      <w:r>
        <w:rPr>
          <w:szCs w:val="22"/>
          <w:lang w:val="en"/>
        </w:rPr>
        <w:t>must</w:t>
      </w:r>
      <w:r w:rsidRPr="00312415">
        <w:rPr>
          <w:szCs w:val="22"/>
          <w:lang w:val="en"/>
        </w:rPr>
        <w:t xml:space="preserve"> (1) provide complete information as to the date the evidence was published or accessed from the Internet, and its source (e.g., the complete URL address of the website), and (2) download and attach the evidence to the Office action.</w:t>
      </w:r>
      <w:r>
        <w:rPr>
          <w:szCs w:val="22"/>
          <w:lang w:val="en"/>
        </w:rPr>
        <w:t xml:space="preserve"> If these requirements are not satisfied but a</w:t>
      </w:r>
      <w:r w:rsidR="009B2435">
        <w:rPr>
          <w:szCs w:val="22"/>
          <w:lang w:val="en"/>
        </w:rPr>
        <w:t>n</w:t>
      </w:r>
      <w:r>
        <w:rPr>
          <w:szCs w:val="22"/>
          <w:lang w:val="en"/>
        </w:rPr>
        <w:t xml:space="preserve"> objection is not timely raised, the </w:t>
      </w:r>
      <w:r w:rsidR="00F33B28">
        <w:rPr>
          <w:szCs w:val="22"/>
          <w:lang w:val="en"/>
        </w:rPr>
        <w:t>TTAB</w:t>
      </w:r>
      <w:r>
        <w:rPr>
          <w:szCs w:val="22"/>
          <w:lang w:val="en"/>
        </w:rPr>
        <w:t xml:space="preserve"> may consider the evidence for whatever probative value it may have. </w:t>
      </w:r>
    </w:p>
    <w:p w14:paraId="07DCB6DC" w14:textId="0F94ADF3" w:rsidR="0059589C" w:rsidRDefault="00312415" w:rsidP="0059589C">
      <w:pPr>
        <w:pStyle w:val="ListParagraph"/>
        <w:numPr>
          <w:ilvl w:val="0"/>
          <w:numId w:val="21"/>
        </w:numPr>
        <w:rPr>
          <w:szCs w:val="22"/>
        </w:rPr>
      </w:pPr>
      <w:r w:rsidRPr="003B5DE2">
        <w:t xml:space="preserve">Evidence from a </w:t>
      </w:r>
      <w:r w:rsidRPr="006C1E3C">
        <w:rPr>
          <w:b/>
        </w:rPr>
        <w:t>“cached” or stored website may be admissible</w:t>
      </w:r>
      <w:r w:rsidRPr="003B5DE2">
        <w:t xml:space="preserve"> if properly made of record and there is no evidence indicati</w:t>
      </w:r>
      <w:r>
        <w:t>ng that the website is inactive</w:t>
      </w:r>
      <w:r w:rsidR="0059589C" w:rsidRPr="00C7230E">
        <w:rPr>
          <w:szCs w:val="22"/>
        </w:rPr>
        <w:t xml:space="preserve">.  </w:t>
      </w:r>
    </w:p>
    <w:p w14:paraId="395FBB03" w14:textId="1F64680E" w:rsidR="0059589C" w:rsidRPr="00C7230E" w:rsidRDefault="00F33B28" w:rsidP="0059589C">
      <w:pPr>
        <w:pStyle w:val="ListParagraph"/>
        <w:numPr>
          <w:ilvl w:val="0"/>
          <w:numId w:val="21"/>
        </w:numPr>
        <w:rPr>
          <w:szCs w:val="22"/>
        </w:rPr>
      </w:pPr>
      <w:r>
        <w:rPr>
          <w:szCs w:val="22"/>
        </w:rPr>
        <w:t xml:space="preserve">The </w:t>
      </w:r>
      <w:r w:rsidRPr="006C1E3C">
        <w:rPr>
          <w:b/>
          <w:szCs w:val="22"/>
        </w:rPr>
        <w:t>TTAB</w:t>
      </w:r>
      <w:r w:rsidR="00312415" w:rsidRPr="006C1E3C">
        <w:rPr>
          <w:b/>
          <w:szCs w:val="22"/>
        </w:rPr>
        <w:t xml:space="preserve"> may consider Wikipedia® excerpts submitted with a denial of a request for reconsideration</w:t>
      </w:r>
      <w:r w:rsidR="00312415" w:rsidRPr="00312415">
        <w:rPr>
          <w:szCs w:val="22"/>
        </w:rPr>
        <w:t xml:space="preserve"> because an applicant has an opportunity to rebut entry of the excerpts by requesting remand to submit rebutting evidence.</w:t>
      </w:r>
    </w:p>
    <w:p w14:paraId="562DC95A" w14:textId="77777777" w:rsidR="002D6FD4" w:rsidRDefault="002D6FD4" w:rsidP="002D6FD4">
      <w:r w:rsidRPr="008A23D1">
        <w:t>_____________________________________________________________</w:t>
      </w:r>
    </w:p>
    <w:p w14:paraId="3592649A" w14:textId="77777777" w:rsidR="002D6FD4" w:rsidRDefault="002D6FD4" w:rsidP="002D6FD4"/>
    <w:p w14:paraId="377E2813" w14:textId="3132A675" w:rsidR="008C548B" w:rsidRPr="0059589C" w:rsidRDefault="009B2435" w:rsidP="008C548B">
      <w:pPr>
        <w:rPr>
          <w:b/>
        </w:rPr>
      </w:pPr>
      <w:r>
        <w:rPr>
          <w:b/>
        </w:rPr>
        <w:t>FINAL ACTION</w:t>
      </w:r>
    </w:p>
    <w:p w14:paraId="7372359D" w14:textId="257485FF" w:rsidR="008C548B" w:rsidRDefault="008C548B" w:rsidP="0059589C"/>
    <w:p w14:paraId="0CB95B56" w14:textId="0F7249AB" w:rsidR="0059589C" w:rsidRDefault="009B2435" w:rsidP="0059589C">
      <w:pPr>
        <w:rPr>
          <w:szCs w:val="22"/>
        </w:rPr>
      </w:pPr>
      <w:r>
        <w:rPr>
          <w:b/>
          <w:i/>
          <w:szCs w:val="22"/>
        </w:rPr>
        <w:t xml:space="preserve">Delineating New Issues Requiring Issuance of a Nonfinal Action </w:t>
      </w:r>
      <w:r w:rsidR="0059589C">
        <w:rPr>
          <w:szCs w:val="22"/>
        </w:rPr>
        <w:t>(TMEP §</w:t>
      </w:r>
      <w:r>
        <w:rPr>
          <w:szCs w:val="22"/>
        </w:rPr>
        <w:t>714.05(a)</w:t>
      </w:r>
      <w:r w:rsidR="0059589C">
        <w:rPr>
          <w:szCs w:val="22"/>
        </w:rPr>
        <w:t>)</w:t>
      </w:r>
    </w:p>
    <w:p w14:paraId="7A0EE4F6" w14:textId="77777777" w:rsidR="0059589C" w:rsidRDefault="0059589C" w:rsidP="00942988"/>
    <w:p w14:paraId="76E69333" w14:textId="2E0661F9" w:rsidR="009B2435" w:rsidRDefault="009B2435" w:rsidP="009B2435">
      <w:pPr>
        <w:pStyle w:val="ListParagraph"/>
        <w:numPr>
          <w:ilvl w:val="0"/>
          <w:numId w:val="26"/>
        </w:numPr>
      </w:pPr>
      <w:r>
        <w:t xml:space="preserve">A </w:t>
      </w:r>
      <w:r w:rsidRPr="009B2435">
        <w:rPr>
          <w:b/>
        </w:rPr>
        <w:t>new nonfinal action is not required</w:t>
      </w:r>
      <w:r>
        <w:t xml:space="preserve"> if f</w:t>
      </w:r>
      <w:r w:rsidRPr="00441221">
        <w:t xml:space="preserve">urther amendment to the identification of goods and/or services is </w:t>
      </w:r>
      <w:r>
        <w:t>needed</w:t>
      </w:r>
      <w:r w:rsidRPr="00441221">
        <w:t xml:space="preserve"> as to wording </w:t>
      </w:r>
      <w:r w:rsidRPr="00441221">
        <w:lastRenderedPageBreak/>
        <w:t>previously identified as indefinite in a non-final Office action (e.g., applicant responds to an identification requirement by submitting amended wording that is unacceptable).</w:t>
      </w:r>
    </w:p>
    <w:p w14:paraId="34C97CC0" w14:textId="77777777" w:rsidR="003A1090" w:rsidRDefault="003A1090" w:rsidP="003A1090"/>
    <w:p w14:paraId="27DB03CD" w14:textId="1B971E4E" w:rsidR="003A1090" w:rsidRPr="003A1090" w:rsidRDefault="009B2435" w:rsidP="003A1090">
      <w:pPr>
        <w:rPr>
          <w:b/>
          <w:i/>
          <w:szCs w:val="22"/>
        </w:rPr>
      </w:pPr>
      <w:r>
        <w:rPr>
          <w:b/>
          <w:i/>
          <w:szCs w:val="22"/>
        </w:rPr>
        <w:t>Amendment of Identification of Goods/Services</w:t>
      </w:r>
      <w:r w:rsidR="003A1090">
        <w:rPr>
          <w:b/>
          <w:i/>
          <w:szCs w:val="22"/>
        </w:rPr>
        <w:t xml:space="preserve"> </w:t>
      </w:r>
      <w:r w:rsidR="003A1090">
        <w:rPr>
          <w:szCs w:val="22"/>
        </w:rPr>
        <w:t>(TMEP §</w:t>
      </w:r>
      <w:r>
        <w:rPr>
          <w:szCs w:val="22"/>
        </w:rPr>
        <w:t>714.05(a)</w:t>
      </w:r>
      <w:r w:rsidR="003A1090" w:rsidRPr="0059589C">
        <w:rPr>
          <w:szCs w:val="22"/>
        </w:rPr>
        <w:t>(i</w:t>
      </w:r>
      <w:r w:rsidR="003A1090">
        <w:rPr>
          <w:szCs w:val="22"/>
        </w:rPr>
        <w:t>i</w:t>
      </w:r>
      <w:r w:rsidR="003A1090" w:rsidRPr="0059589C">
        <w:rPr>
          <w:szCs w:val="22"/>
        </w:rPr>
        <w:t>)</w:t>
      </w:r>
      <w:r w:rsidR="003A1090">
        <w:rPr>
          <w:szCs w:val="22"/>
        </w:rPr>
        <w:t>)</w:t>
      </w:r>
    </w:p>
    <w:p w14:paraId="182D99E1" w14:textId="77777777" w:rsidR="003A1090" w:rsidRDefault="003A1090" w:rsidP="003A1090"/>
    <w:p w14:paraId="7D512B0D" w14:textId="45E95CE2" w:rsidR="003A1090" w:rsidRDefault="009B2435" w:rsidP="009B2435">
      <w:pPr>
        <w:pStyle w:val="ListParagraph"/>
        <w:numPr>
          <w:ilvl w:val="0"/>
          <w:numId w:val="22"/>
        </w:numPr>
      </w:pPr>
      <w:r>
        <w:t xml:space="preserve">A </w:t>
      </w:r>
      <w:r w:rsidRPr="009B2435">
        <w:rPr>
          <w:b/>
        </w:rPr>
        <w:t>new nonfinal action is required</w:t>
      </w:r>
      <w:r>
        <w:t xml:space="preserve"> if</w:t>
      </w:r>
      <w:r w:rsidRPr="009B2435">
        <w:t xml:space="preserve"> </w:t>
      </w:r>
      <w:r>
        <w:t>f</w:t>
      </w:r>
      <w:r w:rsidRPr="009B2435">
        <w:t xml:space="preserve">urther amendment to the identification of goods and/or services is </w:t>
      </w:r>
      <w:r>
        <w:t>needed</w:t>
      </w:r>
      <w:r w:rsidRPr="009B2435">
        <w:t xml:space="preserve"> as to issues not previously raised by the examining attorney (e.g., applicant properly responds to an identification requirement in a first non-final Office action and the examining attorney subsequently requires that other goods and/or services in the original identification be amended)</w:t>
      </w:r>
      <w:r w:rsidR="003A1090" w:rsidRPr="003A1090">
        <w:t>.</w:t>
      </w:r>
    </w:p>
    <w:p w14:paraId="3D5012AA" w14:textId="77777777" w:rsidR="00B02E24" w:rsidRDefault="00B02E24" w:rsidP="00942988">
      <w:r>
        <w:t>_____________________________________________________________</w:t>
      </w:r>
    </w:p>
    <w:p w14:paraId="43E8E9BC" w14:textId="77777777" w:rsidR="00B02E24" w:rsidRDefault="00B02E24" w:rsidP="00B02E24">
      <w:pPr>
        <w:pStyle w:val="Heading1"/>
      </w:pPr>
    </w:p>
    <w:p w14:paraId="083BB49E" w14:textId="3E939C07" w:rsidR="002A2353" w:rsidRDefault="00887EA5" w:rsidP="00B02E24">
      <w:pPr>
        <w:pStyle w:val="Heading1"/>
      </w:pPr>
      <w:r>
        <w:t>FILING BASIS</w:t>
      </w:r>
    </w:p>
    <w:p w14:paraId="659817A0" w14:textId="77777777" w:rsidR="002A2353" w:rsidRDefault="002A2353" w:rsidP="002A2353"/>
    <w:p w14:paraId="3F85AF55" w14:textId="08ECE163" w:rsidR="00146DF4" w:rsidRDefault="009B2435" w:rsidP="009E780C">
      <w:r>
        <w:rPr>
          <w:b/>
          <w:i/>
        </w:rPr>
        <w:t>Procedure for Asserting More Than One Basis</w:t>
      </w:r>
      <w:r w:rsidR="009E780C">
        <w:t xml:space="preserve"> (TMEP §</w:t>
      </w:r>
      <w:r>
        <w:t>806.02(a)</w:t>
      </w:r>
      <w:r w:rsidR="009E780C">
        <w:t>)</w:t>
      </w:r>
    </w:p>
    <w:p w14:paraId="1C327F90" w14:textId="77777777" w:rsidR="009E780C" w:rsidRDefault="009E780C" w:rsidP="009E780C"/>
    <w:p w14:paraId="585466AB" w14:textId="582034C7" w:rsidR="009E780C" w:rsidRPr="002C13AB" w:rsidRDefault="009B2435" w:rsidP="009E780C">
      <w:pPr>
        <w:pStyle w:val="ListParagraph"/>
        <w:numPr>
          <w:ilvl w:val="0"/>
          <w:numId w:val="22"/>
        </w:numPr>
      </w:pPr>
      <w:r w:rsidRPr="009B2435">
        <w:rPr>
          <w:b/>
          <w:lang w:val="en"/>
        </w:rPr>
        <w:t>Basis notations are not required</w:t>
      </w:r>
      <w:r w:rsidRPr="009B2435">
        <w:rPr>
          <w:lang w:val="en"/>
        </w:rPr>
        <w:t xml:space="preserve"> </w:t>
      </w:r>
      <w:r>
        <w:rPr>
          <w:lang w:val="en"/>
        </w:rPr>
        <w:t>in a multiple-basis, multiple-class application if it</w:t>
      </w:r>
      <w:r w:rsidRPr="009B2435">
        <w:rPr>
          <w:lang w:val="en"/>
        </w:rPr>
        <w:t xml:space="preserve"> has only §1(a) and §1(b) bases, and each class within the application has either a §1(a) or §1(b) basis (i.e., there are no dual bases within any class)</w:t>
      </w:r>
      <w:r w:rsidR="009E780C" w:rsidRPr="009E780C">
        <w:t>.</w:t>
      </w:r>
    </w:p>
    <w:p w14:paraId="3E4D4F50" w14:textId="59F6D157" w:rsidR="007C2A0C" w:rsidRDefault="007C2A0C" w:rsidP="007C2A0C">
      <w:r>
        <w:t>_____________________________________________________________</w:t>
      </w:r>
    </w:p>
    <w:p w14:paraId="33DFCE99" w14:textId="77777777" w:rsidR="007F6BCE" w:rsidRDefault="007F6BCE" w:rsidP="007F6BCE"/>
    <w:p w14:paraId="2C058452" w14:textId="09856BF6" w:rsidR="007F6BCE" w:rsidRDefault="00C405BC" w:rsidP="007F6BCE">
      <w:pPr>
        <w:pStyle w:val="Heading1"/>
      </w:pPr>
      <w:r w:rsidRPr="00C405BC">
        <w:t xml:space="preserve">IDENTIFICATION OF GOODS AND SERVICES </w:t>
      </w:r>
    </w:p>
    <w:p w14:paraId="6AB2153A" w14:textId="77777777" w:rsidR="007F6BCE" w:rsidRDefault="007F6BCE" w:rsidP="007F6BCE"/>
    <w:p w14:paraId="7A77222C" w14:textId="1879AF6C" w:rsidR="007F6BCE" w:rsidRDefault="009B2435" w:rsidP="007F6BCE">
      <w:r>
        <w:rPr>
          <w:b/>
          <w:i/>
        </w:rPr>
        <w:t>Identification and Classification of Goods/Services</w:t>
      </w:r>
      <w:r w:rsidR="007F6BCE">
        <w:t xml:space="preserve"> (TMEP §</w:t>
      </w:r>
      <w:r>
        <w:t>819.01(g)</w:t>
      </w:r>
      <w:r w:rsidR="007F6BCE">
        <w:t>)</w:t>
      </w:r>
    </w:p>
    <w:p w14:paraId="4766EED1" w14:textId="77777777" w:rsidR="007F6BCE" w:rsidRDefault="007F6BCE" w:rsidP="007F6BCE"/>
    <w:p w14:paraId="665F0BBA" w14:textId="0295D584" w:rsidR="009B2435" w:rsidRDefault="009D34AF" w:rsidP="009B2435">
      <w:pPr>
        <w:pStyle w:val="ListParagraph"/>
        <w:numPr>
          <w:ilvl w:val="0"/>
          <w:numId w:val="11"/>
        </w:numPr>
      </w:pPr>
      <w:r w:rsidRPr="009D34AF">
        <w:t>For TEAS Plus applications,</w:t>
      </w:r>
      <w:r>
        <w:rPr>
          <w:b/>
        </w:rPr>
        <w:t xml:space="preserve"> n</w:t>
      </w:r>
      <w:r w:rsidR="009B2435" w:rsidRPr="009B2435">
        <w:rPr>
          <w:b/>
        </w:rPr>
        <w:t>o additional fee is required</w:t>
      </w:r>
      <w:r w:rsidR="009B2435" w:rsidRPr="009B2435">
        <w:t xml:space="preserve"> if the identification of goods/services has a fill-in-the-blank element and the applicant inserts information that is a reasonable attempt to supply the required information in accordance with the instructions, but requires amendment </w:t>
      </w:r>
      <w:r w:rsidR="009B2435" w:rsidRPr="00F33B28">
        <w:rPr>
          <w:b/>
        </w:rPr>
        <w:t>because the inserted information includes indefinite wording from the parenthetical guidance</w:t>
      </w:r>
      <w:r w:rsidR="009B2435" w:rsidRPr="009B2435">
        <w:t xml:space="preserve"> provided for instructional purposes (e.g., “specify,” “indicate,” “etc.”).</w:t>
      </w:r>
    </w:p>
    <w:p w14:paraId="51BAAD13" w14:textId="77777777" w:rsidR="00C405BC" w:rsidRPr="009B2435" w:rsidRDefault="00C405BC" w:rsidP="00C405BC">
      <w:pPr>
        <w:pStyle w:val="ListParagraph"/>
      </w:pPr>
    </w:p>
    <w:p w14:paraId="7692CFE4" w14:textId="77777777" w:rsidR="00C405BC" w:rsidRPr="003C1112" w:rsidRDefault="00C405BC" w:rsidP="00C405BC">
      <w:r w:rsidRPr="000213F0">
        <w:rPr>
          <w:b/>
          <w:i/>
          <w:lang w:val="en"/>
        </w:rPr>
        <w:t>Entitlement to Filing Date With Respect to Identification of Goods and Services</w:t>
      </w:r>
      <w:r w:rsidRPr="000213F0">
        <w:rPr>
          <w:b/>
          <w:i/>
        </w:rPr>
        <w:t xml:space="preserve"> </w:t>
      </w:r>
      <w:r>
        <w:t>(TMEP §1402.02)</w:t>
      </w:r>
    </w:p>
    <w:p w14:paraId="793E545D" w14:textId="77777777" w:rsidR="00C405BC" w:rsidRDefault="00C405BC" w:rsidP="00C405BC">
      <w:pPr>
        <w:rPr>
          <w:b/>
        </w:rPr>
      </w:pPr>
    </w:p>
    <w:p w14:paraId="67375B69" w14:textId="77777777" w:rsidR="00C405BC" w:rsidRDefault="00C405BC" w:rsidP="00C405BC">
      <w:pPr>
        <w:pStyle w:val="ListParagraph"/>
        <w:numPr>
          <w:ilvl w:val="0"/>
          <w:numId w:val="11"/>
        </w:numPr>
      </w:pPr>
      <w:r>
        <w:t xml:space="preserve">The terms </w:t>
      </w:r>
      <w:r w:rsidRPr="00591552">
        <w:rPr>
          <w:b/>
        </w:rPr>
        <w:t>“products” and “equipment” fail, by themselves, to identify recognizable goods/services</w:t>
      </w:r>
      <w:r>
        <w:t xml:space="preserve"> for purposes of entitlement to a filing date.</w:t>
      </w:r>
    </w:p>
    <w:p w14:paraId="4CE5514C" w14:textId="5AEE94C7" w:rsidR="007F6BCE" w:rsidRPr="00FD2A34" w:rsidRDefault="007F6BCE" w:rsidP="009B2435"/>
    <w:p w14:paraId="146CBAC9" w14:textId="77777777" w:rsidR="007F6BCE" w:rsidRDefault="007F6BCE" w:rsidP="007F6BCE">
      <w:r>
        <w:t>_____________________________________________________________</w:t>
      </w:r>
    </w:p>
    <w:p w14:paraId="2E944014" w14:textId="77777777" w:rsidR="00DA229D" w:rsidRDefault="00DA229D" w:rsidP="00DA229D"/>
    <w:p w14:paraId="29DE39D1" w14:textId="77777777" w:rsidR="000F2049" w:rsidRDefault="000F2049" w:rsidP="002C36D0"/>
    <w:p w14:paraId="23C3D929" w14:textId="77777777" w:rsidR="006C4963" w:rsidRDefault="006C4963" w:rsidP="00874D56">
      <w:pPr>
        <w:rPr>
          <w:b/>
        </w:rPr>
      </w:pPr>
    </w:p>
    <w:p w14:paraId="2B6EC187" w14:textId="77777777" w:rsidR="006C4963" w:rsidRDefault="006C4963" w:rsidP="00874D56">
      <w:pPr>
        <w:rPr>
          <w:b/>
        </w:rPr>
      </w:pPr>
    </w:p>
    <w:p w14:paraId="1A639DA3" w14:textId="374C9C12" w:rsidR="00874D56" w:rsidRDefault="000213F0" w:rsidP="00874D56">
      <w:pPr>
        <w:rPr>
          <w:b/>
        </w:rPr>
      </w:pPr>
      <w:r>
        <w:rPr>
          <w:b/>
        </w:rPr>
        <w:lastRenderedPageBreak/>
        <w:t>IDENTIFYING THE APPLICANT IN THE APPLICATION</w:t>
      </w:r>
    </w:p>
    <w:p w14:paraId="7AA335AD" w14:textId="77777777" w:rsidR="00874D56" w:rsidRDefault="00874D56" w:rsidP="00874D56">
      <w:pPr>
        <w:rPr>
          <w:b/>
        </w:rPr>
      </w:pPr>
    </w:p>
    <w:p w14:paraId="624F2847" w14:textId="0521ACA7" w:rsidR="00874D56" w:rsidRPr="003C1112" w:rsidRDefault="000213F0" w:rsidP="00874D56">
      <w:r>
        <w:rPr>
          <w:b/>
          <w:i/>
        </w:rPr>
        <w:t>Correcting Errors in How the Applicant is Identified</w:t>
      </w:r>
      <w:r>
        <w:t xml:space="preserve"> (TMEP §1201.02(c</w:t>
      </w:r>
      <w:r w:rsidR="00874D56">
        <w:t>))</w:t>
      </w:r>
    </w:p>
    <w:p w14:paraId="11C92481" w14:textId="77777777" w:rsidR="00874D56" w:rsidRDefault="00874D56" w:rsidP="00874D56">
      <w:pPr>
        <w:rPr>
          <w:b/>
        </w:rPr>
      </w:pPr>
    </w:p>
    <w:p w14:paraId="4C046023" w14:textId="669C14D9" w:rsidR="000213F0" w:rsidRPr="000213F0" w:rsidRDefault="000213F0" w:rsidP="00407A6D">
      <w:pPr>
        <w:pStyle w:val="ListParagraph"/>
        <w:numPr>
          <w:ilvl w:val="0"/>
          <w:numId w:val="11"/>
        </w:numPr>
        <w:rPr>
          <w:lang w:val="en"/>
        </w:rPr>
      </w:pPr>
      <w:r w:rsidRPr="000213F0">
        <w:t xml:space="preserve">If an </w:t>
      </w:r>
      <w:r w:rsidRPr="00591552">
        <w:rPr>
          <w:b/>
        </w:rPr>
        <w:t>application owned by joint applicants is filed in the name of one of the owners and another party who is not the joint owner</w:t>
      </w:r>
      <w:r>
        <w:t xml:space="preserve">, this </w:t>
      </w:r>
      <w:r w:rsidRPr="00591552">
        <w:rPr>
          <w:b/>
        </w:rPr>
        <w:t>is a non-correctable error</w:t>
      </w:r>
      <w:r>
        <w:t xml:space="preserve"> and the </w:t>
      </w:r>
      <w:r w:rsidRPr="000213F0">
        <w:t xml:space="preserve">application is void as filed because the listed parties did not own the mark as joint applicants.  </w:t>
      </w:r>
    </w:p>
    <w:p w14:paraId="2C0420B5" w14:textId="77777777" w:rsidR="000213F0" w:rsidRPr="000213F0" w:rsidRDefault="000213F0" w:rsidP="000213F0">
      <w:pPr>
        <w:ind w:left="360"/>
        <w:rPr>
          <w:lang w:val="en"/>
        </w:rPr>
      </w:pPr>
    </w:p>
    <w:p w14:paraId="6463A2A1" w14:textId="19EBC7BC" w:rsidR="00874D56" w:rsidRDefault="00874D56" w:rsidP="002C36D0">
      <w:r w:rsidRPr="00B06EF6">
        <w:t>_______________________________________________________</w:t>
      </w:r>
      <w:r>
        <w:t>______</w:t>
      </w:r>
    </w:p>
    <w:p w14:paraId="38F9A51E" w14:textId="77777777" w:rsidR="00874D56" w:rsidRDefault="00874D56" w:rsidP="002C36D0"/>
    <w:p w14:paraId="499E7900" w14:textId="1B5C5A6A" w:rsidR="00874D56" w:rsidRDefault="000213F0" w:rsidP="00874D56">
      <w:pPr>
        <w:rPr>
          <w:b/>
        </w:rPr>
      </w:pPr>
      <w:r>
        <w:rPr>
          <w:b/>
        </w:rPr>
        <w:t>D</w:t>
      </w:r>
      <w:r w:rsidR="00887EA5">
        <w:rPr>
          <w:b/>
        </w:rPr>
        <w:t>ESIGNATION</w:t>
      </w:r>
      <w:r>
        <w:rPr>
          <w:b/>
        </w:rPr>
        <w:t xml:space="preserve"> OF </w:t>
      </w:r>
      <w:r w:rsidR="00887EA5">
        <w:rPr>
          <w:b/>
        </w:rPr>
        <w:t xml:space="preserve">A </w:t>
      </w:r>
      <w:r>
        <w:rPr>
          <w:b/>
        </w:rPr>
        <w:t>U.S. GOVERNMENT AGENCY OR INSTRUMENTALITY</w:t>
      </w:r>
    </w:p>
    <w:p w14:paraId="5F94DF9F" w14:textId="77777777" w:rsidR="00874D56" w:rsidRDefault="00874D56" w:rsidP="00874D56">
      <w:pPr>
        <w:rPr>
          <w:b/>
        </w:rPr>
      </w:pPr>
    </w:p>
    <w:p w14:paraId="6D53C2CE" w14:textId="3E37B180" w:rsidR="00874D56" w:rsidRPr="003C1112" w:rsidRDefault="00C405BC" w:rsidP="00874D56">
      <w:r>
        <w:rPr>
          <w:b/>
          <w:i/>
        </w:rPr>
        <w:t>Ownership</w:t>
      </w:r>
      <w:r w:rsidR="00887EA5">
        <w:rPr>
          <w:b/>
          <w:i/>
        </w:rPr>
        <w:t xml:space="preserve"> of Mark</w:t>
      </w:r>
      <w:r>
        <w:rPr>
          <w:b/>
          <w:i/>
        </w:rPr>
        <w:t xml:space="preserve"> </w:t>
      </w:r>
      <w:r w:rsidR="009D34AF">
        <w:t>(TMEP §1201.06(c</w:t>
      </w:r>
      <w:r w:rsidR="00874D56">
        <w:t>))</w:t>
      </w:r>
    </w:p>
    <w:p w14:paraId="41655631" w14:textId="77777777" w:rsidR="00874D56" w:rsidRDefault="00874D56" w:rsidP="00874D56">
      <w:pPr>
        <w:rPr>
          <w:b/>
        </w:rPr>
      </w:pPr>
    </w:p>
    <w:p w14:paraId="199B13E5" w14:textId="77777777" w:rsidR="00887EA5" w:rsidRDefault="009D34AF" w:rsidP="009D34AF">
      <w:pPr>
        <w:pStyle w:val="ListParagraph"/>
        <w:numPr>
          <w:ilvl w:val="0"/>
          <w:numId w:val="23"/>
        </w:numPr>
      </w:pPr>
      <w:r w:rsidRPr="009D34AF">
        <w:t xml:space="preserve">For a mark that would otherwise be subject to a refusal under §2(a) because it falsely suggests a connection with a designation of a U.S. government agency, instrumentality, or program, such as names, acronyms, titles, terms, and symbols, but the record demonstrates that the </w:t>
      </w:r>
      <w:r w:rsidRPr="00591552">
        <w:rPr>
          <w:b/>
        </w:rPr>
        <w:t>applicant has some affiliation with the agency or program, the examining attorney must issue an information request</w:t>
      </w:r>
      <w:r w:rsidRPr="009D34AF">
        <w:t xml:space="preserve"> under 37 C.F.R. §2.61(b) requiring further information as to ownership of the designation and authorization</w:t>
      </w:r>
      <w:r>
        <w:t xml:space="preserve"> to register. </w:t>
      </w:r>
    </w:p>
    <w:p w14:paraId="19C8C1E4" w14:textId="01926CDE" w:rsidR="009D34AF" w:rsidRDefault="009D34AF" w:rsidP="009D34AF">
      <w:pPr>
        <w:pStyle w:val="ListParagraph"/>
        <w:numPr>
          <w:ilvl w:val="0"/>
          <w:numId w:val="23"/>
        </w:numPr>
      </w:pPr>
      <w:r w:rsidRPr="009D34AF">
        <w:t xml:space="preserve">If it appears that the applicant lacks authorization to register the designation in the </w:t>
      </w:r>
      <w:r w:rsidR="006C4963">
        <w:t>mark, the examining attorney must</w:t>
      </w:r>
      <w:r w:rsidRPr="009D34AF">
        <w:t xml:space="preserve"> refuse to register under §1 of the Trademark Act because the applicant is not the owner of the governmental desig</w:t>
      </w:r>
      <w:r w:rsidR="006C4963">
        <w:t>nation in the mark. The mark must</w:t>
      </w:r>
      <w:r w:rsidRPr="009D34AF">
        <w:t xml:space="preserve"> also be refused under §§1 and 45 </w:t>
      </w:r>
      <w:r w:rsidR="00887EA5">
        <w:t xml:space="preserve">(absence of lawful use) </w:t>
      </w:r>
      <w:r w:rsidRPr="009D34AF">
        <w:t xml:space="preserve">when such marks are subject </w:t>
      </w:r>
      <w:r w:rsidR="00887EA5">
        <w:t>to</w:t>
      </w:r>
      <w:r w:rsidRPr="009D34AF">
        <w:t xml:space="preserve"> statutory protection.  </w:t>
      </w:r>
    </w:p>
    <w:p w14:paraId="6EB0D14C" w14:textId="77777777" w:rsidR="009D34AF" w:rsidRDefault="009D34AF" w:rsidP="009D34AF">
      <w:pPr>
        <w:pStyle w:val="ListParagraph"/>
        <w:numPr>
          <w:ilvl w:val="0"/>
          <w:numId w:val="23"/>
        </w:numPr>
      </w:pPr>
      <w:r w:rsidRPr="009D34AF">
        <w:t xml:space="preserve">Disclaiming the name of, or acronym for, the U.S. government agency or instrumentality to which the mark refers generally will not overcome the refusal under §§1 and 45.  </w:t>
      </w:r>
    </w:p>
    <w:p w14:paraId="24653CAB" w14:textId="77777777" w:rsidR="00C405BC" w:rsidRDefault="00C405BC" w:rsidP="00C405BC"/>
    <w:p w14:paraId="5AD53A6B" w14:textId="691BA537" w:rsidR="00C405BC" w:rsidRDefault="00C405BC" w:rsidP="00C405BC">
      <w:r>
        <w:rPr>
          <w:b/>
          <w:i/>
        </w:rPr>
        <w:t xml:space="preserve">False Suggestion of a Connection </w:t>
      </w:r>
      <w:r>
        <w:t>(TMEP §1203.03(c)(ii))</w:t>
      </w:r>
    </w:p>
    <w:p w14:paraId="3F6D8F34" w14:textId="77777777" w:rsidR="00C405BC" w:rsidRDefault="00C405BC" w:rsidP="00C405BC"/>
    <w:p w14:paraId="5C905D3C" w14:textId="1A8F34A3" w:rsidR="00C405BC" w:rsidRDefault="00C405BC" w:rsidP="00C405BC">
      <w:pPr>
        <w:pStyle w:val="ListParagraph"/>
        <w:numPr>
          <w:ilvl w:val="0"/>
          <w:numId w:val="27"/>
        </w:numPr>
      </w:pPr>
      <w:r>
        <w:t xml:space="preserve">The </w:t>
      </w:r>
      <w:r w:rsidRPr="00591552">
        <w:rPr>
          <w:b/>
        </w:rPr>
        <w:t>§2(a)</w:t>
      </w:r>
      <w:r>
        <w:t xml:space="preserve"> false suggestion of a connection refusal and related procedures </w:t>
      </w:r>
      <w:r w:rsidRPr="00591552">
        <w:rPr>
          <w:b/>
        </w:rPr>
        <w:t>also apply to marks containing names of, and acronyms and terms for, United States government programs</w:t>
      </w:r>
      <w:r>
        <w:t xml:space="preserve"> (e.g., Medicare or FAFSA), military projects (e.g., BigDog), and quasi-government organizations (e.g., Smithsonian Institution).  </w:t>
      </w:r>
    </w:p>
    <w:p w14:paraId="0CD38EC1" w14:textId="0D6FB156" w:rsidR="00C405BC" w:rsidRDefault="00C405BC" w:rsidP="00C405BC">
      <w:pPr>
        <w:pStyle w:val="ListParagraph"/>
        <w:numPr>
          <w:ilvl w:val="0"/>
          <w:numId w:val="27"/>
        </w:numPr>
      </w:pPr>
      <w:r>
        <w:t xml:space="preserve">Many statutes protecting designations of government agencies and instrumentalities allow third parties to use the protected matter when authorized by an agency official. This </w:t>
      </w:r>
      <w:r w:rsidRPr="00591552">
        <w:rPr>
          <w:b/>
        </w:rPr>
        <w:t>authorization to use, by itself, should not be construed to extend to authorization to register</w:t>
      </w:r>
      <w:r>
        <w:t xml:space="preserve"> marks that include matter the applicant does not own.  </w:t>
      </w:r>
    </w:p>
    <w:p w14:paraId="649E1B53" w14:textId="6C042B14" w:rsidR="00C405BC" w:rsidRPr="00C405BC" w:rsidRDefault="00C405BC" w:rsidP="00C405BC">
      <w:pPr>
        <w:pStyle w:val="ListParagraph"/>
        <w:numPr>
          <w:ilvl w:val="0"/>
          <w:numId w:val="27"/>
        </w:numPr>
      </w:pPr>
      <w:r>
        <w:lastRenderedPageBreak/>
        <w:t>If the test for false suggestion of a connection under §2(a) is not met, the examining attorney must still determine whether the applicant is authorized to register the designation in the mark. If, based on the record, the applicant lacks authorization from the government agency or instrumentality to register the mark, the examining attorney must refuse under §§1 and 45 of the Trademark Act</w:t>
      </w:r>
      <w:r w:rsidR="00887EA5">
        <w:t xml:space="preserve"> (absence of lawful use)</w:t>
      </w:r>
      <w:r>
        <w:t xml:space="preserve">.  </w:t>
      </w:r>
    </w:p>
    <w:p w14:paraId="3A416B29" w14:textId="77777777" w:rsidR="009D34AF" w:rsidRDefault="009D34AF" w:rsidP="009D34AF">
      <w:pPr>
        <w:pStyle w:val="ListParagraph"/>
      </w:pPr>
    </w:p>
    <w:p w14:paraId="16E84AFC" w14:textId="105A3F22" w:rsidR="00874D56" w:rsidRPr="00B06EF6" w:rsidRDefault="00874D56" w:rsidP="009D34AF">
      <w:r w:rsidRPr="00B06EF6">
        <w:t>_______________________________________________________</w:t>
      </w:r>
      <w:r>
        <w:t>______</w:t>
      </w:r>
    </w:p>
    <w:p w14:paraId="5D62F54B" w14:textId="77777777" w:rsidR="00874D56" w:rsidRDefault="00874D56" w:rsidP="002C36D0"/>
    <w:p w14:paraId="51431AB0" w14:textId="77777777" w:rsidR="00887EA5" w:rsidRDefault="00887EA5" w:rsidP="00887EA5">
      <w:pPr>
        <w:rPr>
          <w:b/>
        </w:rPr>
      </w:pPr>
      <w:r>
        <w:rPr>
          <w:b/>
        </w:rPr>
        <w:t>LIKELIHOOD OF CONFUSION</w:t>
      </w:r>
    </w:p>
    <w:p w14:paraId="1663C302" w14:textId="77777777" w:rsidR="00887EA5" w:rsidRDefault="00887EA5" w:rsidP="00887EA5">
      <w:pPr>
        <w:rPr>
          <w:b/>
        </w:rPr>
      </w:pPr>
    </w:p>
    <w:p w14:paraId="0C3CDAE1" w14:textId="77777777" w:rsidR="00887EA5" w:rsidRDefault="00887EA5" w:rsidP="00887EA5">
      <w:r>
        <w:rPr>
          <w:b/>
          <w:i/>
        </w:rPr>
        <w:t xml:space="preserve">Coexistence of Applicant’s Prior Registration with Conflicting Registration </w:t>
      </w:r>
      <w:r>
        <w:t>(TMEP §1207.01)</w:t>
      </w:r>
    </w:p>
    <w:p w14:paraId="15A5913A" w14:textId="77777777" w:rsidR="00887EA5" w:rsidRDefault="00887EA5" w:rsidP="00887EA5"/>
    <w:p w14:paraId="0BC12D59" w14:textId="77777777" w:rsidR="00887EA5" w:rsidRPr="00887EA5" w:rsidRDefault="00887EA5" w:rsidP="00887EA5">
      <w:pPr>
        <w:pStyle w:val="ListParagraph"/>
        <w:numPr>
          <w:ilvl w:val="0"/>
          <w:numId w:val="24"/>
        </w:numPr>
      </w:pPr>
      <w:r>
        <w:rPr>
          <w:lang w:val="en"/>
        </w:rPr>
        <w:t>W</w:t>
      </w:r>
      <w:r w:rsidRPr="00887EA5">
        <w:rPr>
          <w:lang w:val="en"/>
        </w:rPr>
        <w:t xml:space="preserve">hen determining whether the coexistence of the applicant’s prior registration with another party’s registration weighs against citing the latter registration in a §2(d) refusal of the applicant’s applied-for mark, the examining attorney should consider: (1) whether the applicant’s prior registered mark is the same as the applied-for mark or is otherwise not meaningfully different; (2) whether the identifications of goods/services in the application and the applicant’s prior registration are identical or identical in relevant part; and (3) the length of time the applicant’s prior registration has co-existed with the registration being considered as the basis for the §2(d) refusal. The </w:t>
      </w:r>
      <w:r w:rsidRPr="006C1E3C">
        <w:rPr>
          <w:b/>
          <w:lang w:val="en"/>
        </w:rPr>
        <w:t>duration of coexistence is not dispositive as to whether a §2(d) refusal should issue</w:t>
      </w:r>
      <w:r w:rsidRPr="00887EA5">
        <w:rPr>
          <w:lang w:val="en"/>
        </w:rPr>
        <w:t>; instead, this factor should be considered together with all the other relevant du Pont factors.</w:t>
      </w:r>
    </w:p>
    <w:p w14:paraId="0CF5698E" w14:textId="77777777" w:rsidR="00887EA5" w:rsidRDefault="00887EA5" w:rsidP="00887EA5">
      <w:pPr>
        <w:rPr>
          <w:b/>
        </w:rPr>
      </w:pPr>
    </w:p>
    <w:p w14:paraId="3DDF253B" w14:textId="77777777" w:rsidR="00887EA5" w:rsidRDefault="00887EA5" w:rsidP="00887EA5">
      <w:r>
        <w:t>_____________________________________________________________</w:t>
      </w:r>
    </w:p>
    <w:p w14:paraId="34A42E90" w14:textId="77777777" w:rsidR="00887EA5" w:rsidRDefault="00887EA5" w:rsidP="002C36D0">
      <w:pPr>
        <w:rPr>
          <w:b/>
        </w:rPr>
      </w:pPr>
    </w:p>
    <w:p w14:paraId="1E76AA48" w14:textId="1C8FA668" w:rsidR="003C39DD" w:rsidRDefault="00C405BC" w:rsidP="002C36D0">
      <w:pPr>
        <w:rPr>
          <w:b/>
        </w:rPr>
      </w:pPr>
      <w:r>
        <w:rPr>
          <w:b/>
        </w:rPr>
        <w:t xml:space="preserve">ACQUIRED DISTINCTIVENESS </w:t>
      </w:r>
    </w:p>
    <w:p w14:paraId="1142DFF5" w14:textId="77777777" w:rsidR="003C1112" w:rsidRDefault="003C1112" w:rsidP="002C36D0">
      <w:pPr>
        <w:rPr>
          <w:b/>
        </w:rPr>
      </w:pPr>
    </w:p>
    <w:p w14:paraId="5A7D65EF" w14:textId="6BE50DFD" w:rsidR="003C1112" w:rsidRPr="003C1112" w:rsidRDefault="00C405BC" w:rsidP="002C36D0">
      <w:r>
        <w:rPr>
          <w:b/>
          <w:i/>
        </w:rPr>
        <w:t>Unnecessary §2(f) Claims</w:t>
      </w:r>
      <w:r w:rsidR="003C1112">
        <w:t xml:space="preserve"> (TMEP §</w:t>
      </w:r>
      <w:r>
        <w:t>1212.02(d)</w:t>
      </w:r>
      <w:r w:rsidR="003C1112">
        <w:t>)</w:t>
      </w:r>
    </w:p>
    <w:p w14:paraId="17BC778A" w14:textId="77777777" w:rsidR="003C1112" w:rsidRDefault="003C1112" w:rsidP="002C36D0">
      <w:pPr>
        <w:rPr>
          <w:b/>
        </w:rPr>
      </w:pPr>
    </w:p>
    <w:p w14:paraId="1D74986E" w14:textId="77777777" w:rsidR="00DD45D9" w:rsidRDefault="00DD45D9" w:rsidP="00DD45D9">
      <w:pPr>
        <w:numPr>
          <w:ilvl w:val="0"/>
          <w:numId w:val="27"/>
        </w:numPr>
      </w:pPr>
      <w:r>
        <w:t>T</w:t>
      </w:r>
      <w:r w:rsidRPr="00C405BC">
        <w:t xml:space="preserve">he amount of time the </w:t>
      </w:r>
      <w:r w:rsidRPr="00591552">
        <w:rPr>
          <w:b/>
        </w:rPr>
        <w:t>examining attorney must wait</w:t>
      </w:r>
      <w:r w:rsidRPr="00C405BC">
        <w:t xml:space="preserve"> for a</w:t>
      </w:r>
      <w:r>
        <w:t>pplicant’s</w:t>
      </w:r>
      <w:r w:rsidRPr="00C405BC">
        <w:t xml:space="preserve"> response </w:t>
      </w:r>
      <w:r>
        <w:t>to an inquiry about an unnecessary §2(f) claim</w:t>
      </w:r>
      <w:r w:rsidRPr="00C405BC">
        <w:t xml:space="preserve"> before</w:t>
      </w:r>
      <w:r>
        <w:t xml:space="preserve"> </w:t>
      </w:r>
      <w:r w:rsidRPr="00C405BC">
        <w:t xml:space="preserve">entering </w:t>
      </w:r>
      <w:r>
        <w:t>a</w:t>
      </w:r>
      <w:r w:rsidRPr="00C405BC">
        <w:t xml:space="preserve"> Note to the File</w:t>
      </w:r>
      <w:r>
        <w:t xml:space="preserve"> and approving the application without deleting the claim is now </w:t>
      </w:r>
      <w:r w:rsidRPr="00591552">
        <w:rPr>
          <w:b/>
        </w:rPr>
        <w:t>3 business days</w:t>
      </w:r>
      <w:r w:rsidRPr="00C405BC">
        <w:t xml:space="preserve">. </w:t>
      </w:r>
    </w:p>
    <w:p w14:paraId="1D0868F0" w14:textId="77777777" w:rsidR="00DD45D9" w:rsidRDefault="00DD45D9" w:rsidP="00DD45D9"/>
    <w:p w14:paraId="62A3A0C3" w14:textId="2B685EF0" w:rsidR="00DD45D9" w:rsidRDefault="00591552" w:rsidP="00DD45D9">
      <w:r>
        <w:rPr>
          <w:b/>
          <w:i/>
        </w:rPr>
        <w:t>Parodies and Copies</w:t>
      </w:r>
      <w:r w:rsidR="00DD45D9">
        <w:rPr>
          <w:b/>
        </w:rPr>
        <w:t xml:space="preserve"> </w:t>
      </w:r>
      <w:r w:rsidR="00DD45D9">
        <w:t>(TMEP §1212.06(e)(vi))</w:t>
      </w:r>
    </w:p>
    <w:p w14:paraId="4FDBB9A0" w14:textId="77777777" w:rsidR="00DD45D9" w:rsidRDefault="00DD45D9" w:rsidP="00DD45D9"/>
    <w:p w14:paraId="3B6D04D8" w14:textId="53032465" w:rsidR="00DD45D9" w:rsidRPr="00DD45D9" w:rsidRDefault="00DD45D9" w:rsidP="00C71817">
      <w:pPr>
        <w:numPr>
          <w:ilvl w:val="0"/>
          <w:numId w:val="27"/>
        </w:numPr>
      </w:pPr>
      <w:r>
        <w:t xml:space="preserve">In rare cases, evidence of the creation of </w:t>
      </w:r>
      <w:r w:rsidRPr="006C1E3C">
        <w:rPr>
          <w:b/>
        </w:rPr>
        <w:t>intentional parodies</w:t>
      </w:r>
      <w:r>
        <w:t xml:space="preserve"> of an otherwise nondistinctive mark </w:t>
      </w:r>
      <w:r w:rsidRPr="006C1E3C">
        <w:rPr>
          <w:b/>
        </w:rPr>
        <w:t>may be significant in assessing whether the mark has successfully achieved public recognitio</w:t>
      </w:r>
      <w:r>
        <w:t xml:space="preserve">n as a source indicator.  </w:t>
      </w:r>
    </w:p>
    <w:p w14:paraId="59DF619D" w14:textId="20A5DF5B" w:rsidR="00B06EF6" w:rsidRPr="00B06EF6" w:rsidRDefault="00B06EF6" w:rsidP="00B06EF6">
      <w:r w:rsidRPr="00B06EF6">
        <w:t>_______________________________________________________</w:t>
      </w:r>
      <w:r>
        <w:t>______</w:t>
      </w:r>
    </w:p>
    <w:p w14:paraId="3CCAC272" w14:textId="77777777" w:rsidR="00B06EF6" w:rsidRDefault="00B06EF6" w:rsidP="002C36D0">
      <w:pPr>
        <w:rPr>
          <w:b/>
        </w:rPr>
      </w:pPr>
    </w:p>
    <w:p w14:paraId="3A98140D" w14:textId="77777777" w:rsidR="006C4963" w:rsidRDefault="006C4963" w:rsidP="007E6400">
      <w:pPr>
        <w:rPr>
          <w:b/>
        </w:rPr>
      </w:pPr>
    </w:p>
    <w:p w14:paraId="17F0FF36" w14:textId="32A6DCC4" w:rsidR="007E6400" w:rsidRDefault="007E6400" w:rsidP="007E6400">
      <w:pPr>
        <w:rPr>
          <w:b/>
        </w:rPr>
      </w:pPr>
      <w:r>
        <w:rPr>
          <w:b/>
        </w:rPr>
        <w:lastRenderedPageBreak/>
        <w:t>DISCLAIMERS</w:t>
      </w:r>
    </w:p>
    <w:p w14:paraId="137B8134" w14:textId="77777777" w:rsidR="007E6400" w:rsidRDefault="007E6400" w:rsidP="007E6400">
      <w:pPr>
        <w:rPr>
          <w:b/>
        </w:rPr>
      </w:pPr>
    </w:p>
    <w:p w14:paraId="04185F6B" w14:textId="397B7592" w:rsidR="007E6400" w:rsidRPr="003C1112" w:rsidRDefault="007E6400" w:rsidP="007E6400">
      <w:r w:rsidRPr="007E6400">
        <w:rPr>
          <w:b/>
          <w:i/>
          <w:lang w:val="en"/>
        </w:rPr>
        <w:t>Voluntary Disclaimer of Registrable or Unregistrable Matter</w:t>
      </w:r>
      <w:r w:rsidRPr="007E6400">
        <w:rPr>
          <w:b/>
          <w:i/>
        </w:rPr>
        <w:t xml:space="preserve"> </w:t>
      </w:r>
      <w:r>
        <w:t>(TMEP §1213.01(c))</w:t>
      </w:r>
    </w:p>
    <w:p w14:paraId="36112FD6" w14:textId="77777777" w:rsidR="007E6400" w:rsidRDefault="007E6400" w:rsidP="007E6400">
      <w:pPr>
        <w:rPr>
          <w:b/>
        </w:rPr>
      </w:pPr>
    </w:p>
    <w:p w14:paraId="4C6505C6" w14:textId="65A5E197" w:rsidR="007E6400" w:rsidRPr="00C405BC" w:rsidRDefault="007E6400" w:rsidP="007E6400">
      <w:pPr>
        <w:numPr>
          <w:ilvl w:val="0"/>
          <w:numId w:val="24"/>
        </w:numPr>
      </w:pPr>
      <w:r>
        <w:t>T</w:t>
      </w:r>
      <w:r w:rsidRPr="00C405BC">
        <w:t xml:space="preserve">he amount of time the </w:t>
      </w:r>
      <w:r w:rsidRPr="00591552">
        <w:rPr>
          <w:b/>
        </w:rPr>
        <w:t>examining attorney must wait</w:t>
      </w:r>
      <w:r w:rsidRPr="00C405BC">
        <w:t xml:space="preserve"> for a</w:t>
      </w:r>
      <w:r>
        <w:t>pplicant’s</w:t>
      </w:r>
      <w:r w:rsidRPr="00C405BC">
        <w:t xml:space="preserve"> response </w:t>
      </w:r>
      <w:r>
        <w:t>to an inquiry about an unnecessary voluntary disclaimer</w:t>
      </w:r>
      <w:r w:rsidRPr="00C405BC">
        <w:t xml:space="preserve"> before</w:t>
      </w:r>
      <w:r>
        <w:t xml:space="preserve"> </w:t>
      </w:r>
      <w:r w:rsidRPr="00C405BC">
        <w:t xml:space="preserve">entering </w:t>
      </w:r>
      <w:r>
        <w:t>a</w:t>
      </w:r>
      <w:r w:rsidRPr="00C405BC">
        <w:t xml:space="preserve"> Note to the File</w:t>
      </w:r>
      <w:r>
        <w:t xml:space="preserve"> and approving the application</w:t>
      </w:r>
      <w:r w:rsidR="00DD45D9">
        <w:t xml:space="preserve"> without deleting the disclaimer</w:t>
      </w:r>
      <w:r>
        <w:t xml:space="preserve"> is now </w:t>
      </w:r>
      <w:r w:rsidRPr="00591552">
        <w:rPr>
          <w:b/>
        </w:rPr>
        <w:t>3 business days</w:t>
      </w:r>
      <w:r w:rsidRPr="00C405BC">
        <w:t xml:space="preserve">. </w:t>
      </w:r>
    </w:p>
    <w:p w14:paraId="521A3F58" w14:textId="5A9B5F62" w:rsidR="003C1112" w:rsidRPr="003C1112" w:rsidRDefault="003C1112" w:rsidP="007E6400">
      <w:pPr>
        <w:pStyle w:val="ListParagraph"/>
      </w:pPr>
    </w:p>
    <w:p w14:paraId="38C57E41" w14:textId="77461CFF" w:rsidR="005D149D" w:rsidRDefault="00DE758E" w:rsidP="007F6BCE">
      <w:r>
        <w:t>_____________________________________________________________</w:t>
      </w:r>
    </w:p>
    <w:p w14:paraId="38FF440D" w14:textId="77777777" w:rsidR="00887EA5" w:rsidRDefault="00887EA5" w:rsidP="004E751E"/>
    <w:p w14:paraId="627EAC91" w14:textId="77777777" w:rsidR="00887EA5" w:rsidRDefault="00887EA5" w:rsidP="00887EA5">
      <w:pPr>
        <w:rPr>
          <w:b/>
        </w:rPr>
      </w:pPr>
      <w:r>
        <w:rPr>
          <w:b/>
        </w:rPr>
        <w:t>SPECIMENS OF USE FOR SERVICE MARKS</w:t>
      </w:r>
    </w:p>
    <w:p w14:paraId="30AF2BCA" w14:textId="77777777" w:rsidR="00887EA5" w:rsidRDefault="00887EA5" w:rsidP="00887EA5">
      <w:pPr>
        <w:rPr>
          <w:b/>
        </w:rPr>
      </w:pPr>
    </w:p>
    <w:p w14:paraId="4B2FBA8D" w14:textId="77777777" w:rsidR="00887EA5" w:rsidRPr="000213F0" w:rsidRDefault="00887EA5" w:rsidP="00887EA5">
      <w:pPr>
        <w:rPr>
          <w:b/>
        </w:rPr>
      </w:pPr>
      <w:r w:rsidRPr="009B2435">
        <w:rPr>
          <w:b/>
          <w:i/>
        </w:rPr>
        <w:t xml:space="preserve">Software Applications ("Apps") </w:t>
      </w:r>
      <w:r>
        <w:t xml:space="preserve">(TMEP </w:t>
      </w:r>
      <w:r w:rsidRPr="000213F0">
        <w:t>§1301.04(h)(iv)(D))</w:t>
      </w:r>
    </w:p>
    <w:p w14:paraId="011488B8" w14:textId="77777777" w:rsidR="00887EA5" w:rsidRDefault="00887EA5" w:rsidP="00887EA5">
      <w:pPr>
        <w:rPr>
          <w:b/>
        </w:rPr>
      </w:pPr>
    </w:p>
    <w:p w14:paraId="0BCDB7FD" w14:textId="57D36084" w:rsidR="00887EA5" w:rsidRPr="000213F0" w:rsidRDefault="00887EA5" w:rsidP="00887EA5">
      <w:pPr>
        <w:pStyle w:val="ListParagraph"/>
        <w:numPr>
          <w:ilvl w:val="0"/>
          <w:numId w:val="11"/>
        </w:numPr>
      </w:pPr>
      <w:r w:rsidRPr="000213F0">
        <w:t xml:space="preserve">For service mark specimens, </w:t>
      </w:r>
      <w:r w:rsidRPr="000213F0">
        <w:rPr>
          <w:b/>
        </w:rPr>
        <w:t xml:space="preserve">mere depiction of the mark in </w:t>
      </w:r>
      <w:r w:rsidR="006C4963">
        <w:rPr>
          <w:b/>
        </w:rPr>
        <w:t xml:space="preserve">an </w:t>
      </w:r>
      <w:r w:rsidRPr="000213F0">
        <w:rPr>
          <w:b/>
        </w:rPr>
        <w:t>app screenshot without sufficient depiction of the activity identified in the services does not establish service mark use</w:t>
      </w:r>
      <w:r w:rsidRPr="000213F0">
        <w:t xml:space="preserve"> within the definition of “use in commerce” under Trademark A</w:t>
      </w:r>
      <w:r>
        <w:t>ct Section 45.</w:t>
      </w:r>
    </w:p>
    <w:p w14:paraId="6E1820C7" w14:textId="77777777" w:rsidR="00887EA5" w:rsidRDefault="00887EA5" w:rsidP="00887EA5">
      <w:pPr>
        <w:pStyle w:val="ListParagraph"/>
      </w:pPr>
    </w:p>
    <w:p w14:paraId="2EAE5CA8" w14:textId="77777777" w:rsidR="00887EA5" w:rsidRPr="00B06EF6" w:rsidRDefault="00887EA5" w:rsidP="00887EA5">
      <w:r w:rsidRPr="00B06EF6">
        <w:t>_______________________________________________________</w:t>
      </w:r>
      <w:r>
        <w:t>______</w:t>
      </w:r>
    </w:p>
    <w:p w14:paraId="1ED1678F" w14:textId="77777777" w:rsidR="00887EA5" w:rsidRDefault="00887EA5" w:rsidP="004E751E"/>
    <w:sectPr w:rsidR="00887EA5">
      <w:headerReference w:type="even"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D2A3B" w14:textId="77777777" w:rsidR="0051532C" w:rsidRDefault="0051532C">
      <w:r>
        <w:separator/>
      </w:r>
    </w:p>
    <w:p w14:paraId="5F5A0029" w14:textId="77777777" w:rsidR="0051532C" w:rsidRDefault="0051532C"/>
    <w:p w14:paraId="1AC4FFDC" w14:textId="77777777" w:rsidR="0051532C" w:rsidRDefault="0051532C" w:rsidP="00801ABB"/>
    <w:p w14:paraId="12986208" w14:textId="77777777" w:rsidR="0051532C" w:rsidRDefault="0051532C" w:rsidP="00801ABB"/>
    <w:p w14:paraId="7AF58ED7" w14:textId="77777777" w:rsidR="0051532C" w:rsidRDefault="0051532C" w:rsidP="00943EFD"/>
    <w:p w14:paraId="3975C850" w14:textId="77777777" w:rsidR="0051532C" w:rsidRDefault="0051532C" w:rsidP="003355B2"/>
    <w:p w14:paraId="769288CA" w14:textId="77777777" w:rsidR="0051532C" w:rsidRDefault="0051532C" w:rsidP="003355B2"/>
    <w:p w14:paraId="6E96A484" w14:textId="77777777" w:rsidR="0051532C" w:rsidRDefault="0051532C" w:rsidP="007F1DC0"/>
    <w:p w14:paraId="243254F7" w14:textId="77777777" w:rsidR="0051532C" w:rsidRDefault="0051532C" w:rsidP="007F1DC0"/>
    <w:p w14:paraId="39F248B2" w14:textId="77777777" w:rsidR="0051532C" w:rsidRDefault="0051532C" w:rsidP="00151665"/>
  </w:endnote>
  <w:endnote w:type="continuationSeparator" w:id="0">
    <w:p w14:paraId="69C89ECE" w14:textId="77777777" w:rsidR="0051532C" w:rsidRDefault="0051532C">
      <w:r>
        <w:continuationSeparator/>
      </w:r>
    </w:p>
    <w:p w14:paraId="50813022" w14:textId="77777777" w:rsidR="0051532C" w:rsidRDefault="0051532C"/>
    <w:p w14:paraId="07206664" w14:textId="77777777" w:rsidR="0051532C" w:rsidRDefault="0051532C" w:rsidP="00801ABB"/>
    <w:p w14:paraId="0104BC3C" w14:textId="77777777" w:rsidR="0051532C" w:rsidRDefault="0051532C" w:rsidP="00801ABB"/>
    <w:p w14:paraId="2DB5FC3A" w14:textId="77777777" w:rsidR="0051532C" w:rsidRDefault="0051532C" w:rsidP="00943EFD"/>
    <w:p w14:paraId="3999F9EA" w14:textId="77777777" w:rsidR="0051532C" w:rsidRDefault="0051532C" w:rsidP="003355B2"/>
    <w:p w14:paraId="631557DD" w14:textId="77777777" w:rsidR="0051532C" w:rsidRDefault="0051532C" w:rsidP="003355B2"/>
    <w:p w14:paraId="44D8B751" w14:textId="77777777" w:rsidR="0051532C" w:rsidRDefault="0051532C" w:rsidP="007F1DC0"/>
    <w:p w14:paraId="48FD65D5" w14:textId="77777777" w:rsidR="0051532C" w:rsidRDefault="0051532C" w:rsidP="007F1DC0"/>
    <w:p w14:paraId="3C387A31" w14:textId="77777777" w:rsidR="0051532C" w:rsidRDefault="0051532C" w:rsidP="0015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6BFB"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A4696" w14:textId="77777777" w:rsidR="00F57D98" w:rsidRDefault="00F57D98">
    <w:pPr>
      <w:pStyle w:val="Footer"/>
    </w:pPr>
  </w:p>
  <w:p w14:paraId="1CF2D07F" w14:textId="77777777" w:rsidR="00F57D98" w:rsidRDefault="00F57D98"/>
  <w:p w14:paraId="2A35501C" w14:textId="77777777" w:rsidR="00F57D98" w:rsidRDefault="00F57D98" w:rsidP="00801ABB"/>
  <w:p w14:paraId="5A4F0FF2" w14:textId="77777777" w:rsidR="00F57D98" w:rsidRDefault="00F57D98" w:rsidP="00801ABB"/>
  <w:p w14:paraId="2623A596" w14:textId="77777777" w:rsidR="00F57D98" w:rsidRDefault="00F57D98" w:rsidP="00943EFD"/>
  <w:p w14:paraId="409429D5" w14:textId="77777777" w:rsidR="00F57D98" w:rsidRDefault="00F57D98" w:rsidP="003355B2"/>
  <w:p w14:paraId="0F15AF04" w14:textId="77777777" w:rsidR="00F57D98" w:rsidRDefault="00F57D98" w:rsidP="003355B2"/>
  <w:p w14:paraId="4DE7EFBD" w14:textId="77777777" w:rsidR="00F57D98" w:rsidRDefault="00F57D98" w:rsidP="007F1DC0"/>
  <w:p w14:paraId="55E503D8" w14:textId="77777777" w:rsidR="00F57D98" w:rsidRDefault="00F57D98" w:rsidP="007F1DC0"/>
  <w:p w14:paraId="4DD15BAC" w14:textId="77777777" w:rsidR="00F57D98" w:rsidRDefault="00F57D98" w:rsidP="0015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4DC"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836">
      <w:rPr>
        <w:rStyle w:val="PageNumber"/>
        <w:noProof/>
      </w:rPr>
      <w:t>5</w:t>
    </w:r>
    <w:r>
      <w:rPr>
        <w:rStyle w:val="PageNumber"/>
      </w:rPr>
      <w:fldChar w:fldCharType="end"/>
    </w:r>
  </w:p>
  <w:p w14:paraId="138631C1" w14:textId="77777777" w:rsidR="00F57D98" w:rsidRPr="005E5DFA" w:rsidRDefault="00F57D98" w:rsidP="00151665">
    <w:pP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97F" w14:textId="77777777" w:rsidR="0051532C" w:rsidRDefault="0051532C">
      <w:r>
        <w:separator/>
      </w:r>
    </w:p>
    <w:p w14:paraId="021D51BB" w14:textId="77777777" w:rsidR="0051532C" w:rsidRDefault="0051532C"/>
    <w:p w14:paraId="39D51853" w14:textId="77777777" w:rsidR="0051532C" w:rsidRDefault="0051532C" w:rsidP="00801ABB"/>
    <w:p w14:paraId="3F12F422" w14:textId="77777777" w:rsidR="0051532C" w:rsidRDefault="0051532C" w:rsidP="00801ABB"/>
    <w:p w14:paraId="552C8DDF" w14:textId="77777777" w:rsidR="0051532C" w:rsidRDefault="0051532C" w:rsidP="00943EFD"/>
    <w:p w14:paraId="294B95D4" w14:textId="77777777" w:rsidR="0051532C" w:rsidRDefault="0051532C" w:rsidP="003355B2"/>
    <w:p w14:paraId="53BFBC7B" w14:textId="77777777" w:rsidR="0051532C" w:rsidRDefault="0051532C" w:rsidP="003355B2"/>
    <w:p w14:paraId="7DAEAC0C" w14:textId="77777777" w:rsidR="0051532C" w:rsidRDefault="0051532C" w:rsidP="007F1DC0"/>
    <w:p w14:paraId="310B41BF" w14:textId="77777777" w:rsidR="0051532C" w:rsidRDefault="0051532C" w:rsidP="007F1DC0"/>
    <w:p w14:paraId="17E5F9C1" w14:textId="77777777" w:rsidR="0051532C" w:rsidRDefault="0051532C" w:rsidP="00151665"/>
  </w:footnote>
  <w:footnote w:type="continuationSeparator" w:id="0">
    <w:p w14:paraId="7EA5A3F5" w14:textId="77777777" w:rsidR="0051532C" w:rsidRDefault="0051532C">
      <w:r>
        <w:continuationSeparator/>
      </w:r>
    </w:p>
    <w:p w14:paraId="338FEDC2" w14:textId="77777777" w:rsidR="0051532C" w:rsidRDefault="0051532C"/>
    <w:p w14:paraId="33A0F9C7" w14:textId="77777777" w:rsidR="0051532C" w:rsidRDefault="0051532C" w:rsidP="00801ABB"/>
    <w:p w14:paraId="419B1A04" w14:textId="77777777" w:rsidR="0051532C" w:rsidRDefault="0051532C" w:rsidP="00801ABB"/>
    <w:p w14:paraId="7641D34E" w14:textId="77777777" w:rsidR="0051532C" w:rsidRDefault="0051532C" w:rsidP="00943EFD"/>
    <w:p w14:paraId="56545EF5" w14:textId="77777777" w:rsidR="0051532C" w:rsidRDefault="0051532C" w:rsidP="003355B2"/>
    <w:p w14:paraId="7DCBAE26" w14:textId="77777777" w:rsidR="0051532C" w:rsidRDefault="0051532C" w:rsidP="003355B2"/>
    <w:p w14:paraId="09E4DD25" w14:textId="77777777" w:rsidR="0051532C" w:rsidRDefault="0051532C" w:rsidP="007F1DC0"/>
    <w:p w14:paraId="2C04994D" w14:textId="77777777" w:rsidR="0051532C" w:rsidRDefault="0051532C" w:rsidP="007F1DC0"/>
    <w:p w14:paraId="4779F60A" w14:textId="77777777" w:rsidR="0051532C" w:rsidRDefault="0051532C" w:rsidP="00151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3023" w14:textId="77777777" w:rsidR="00F57D98" w:rsidRDefault="00F57D98"/>
  <w:p w14:paraId="455C828F" w14:textId="77777777" w:rsidR="00F57D98" w:rsidRDefault="00F57D98"/>
  <w:p w14:paraId="09098B9C" w14:textId="77777777" w:rsidR="00F57D98" w:rsidRDefault="00F57D98" w:rsidP="00801ABB"/>
  <w:p w14:paraId="4E3D831D" w14:textId="77777777" w:rsidR="00F57D98" w:rsidRDefault="00F57D98" w:rsidP="00943EFD"/>
  <w:p w14:paraId="28DBC627" w14:textId="77777777" w:rsidR="00F57D98" w:rsidRDefault="00F57D98" w:rsidP="003355B2"/>
  <w:p w14:paraId="124D9F1C" w14:textId="77777777" w:rsidR="00F57D98" w:rsidRDefault="00F57D98" w:rsidP="003355B2"/>
  <w:p w14:paraId="46DDBFF3" w14:textId="77777777" w:rsidR="00F57D98" w:rsidRDefault="00F57D98" w:rsidP="007F1DC0"/>
  <w:p w14:paraId="4419B1C2" w14:textId="77777777" w:rsidR="00F57D98" w:rsidRDefault="00F57D98" w:rsidP="007F1DC0"/>
  <w:p w14:paraId="28C52935" w14:textId="77777777" w:rsidR="00F57D98" w:rsidRDefault="00F57D98" w:rsidP="00151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587D" w14:textId="77777777" w:rsidR="00F57D98" w:rsidRPr="00BA3899" w:rsidRDefault="00F57D98">
    <w:pPr>
      <w:pStyle w:val="Header"/>
      <w:rPr>
        <w:sz w:val="28"/>
        <w:szCs w:val="28"/>
        <w14:shadow w14:blurRad="50800" w14:dist="38100" w14:dir="2700000" w14:sx="100000" w14:sy="100000" w14:kx="0" w14:ky="0" w14:algn="tl">
          <w14:srgbClr w14:val="000000">
            <w14:alpha w14:val="60000"/>
          </w14:srgbClr>
        </w14:shadow>
      </w:rPr>
    </w:pPr>
    <w:r w:rsidRPr="00BA3899">
      <w:rPr>
        <w:sz w:val="28"/>
        <w:szCs w:val="28"/>
        <w14:shadow w14:blurRad="50800" w14:dist="38100" w14:dir="2700000" w14:sx="100000" w14:sy="100000" w14:kx="0" w14:ky="0" w14:algn="tl">
          <w14:srgbClr w14:val="000000">
            <w14:alpha w14:val="60000"/>
          </w14:srgbClr>
        </w14:shadow>
      </w:rPr>
      <w:tab/>
    </w:r>
    <w:r w:rsidRPr="00BA3899">
      <w:rPr>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E4D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5F84"/>
    <w:multiLevelType w:val="hybridMultilevel"/>
    <w:tmpl w:val="2C4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CA9"/>
    <w:multiLevelType w:val="hybridMultilevel"/>
    <w:tmpl w:val="2BF8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143E"/>
    <w:multiLevelType w:val="hybridMultilevel"/>
    <w:tmpl w:val="AA8A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824CB"/>
    <w:multiLevelType w:val="hybridMultilevel"/>
    <w:tmpl w:val="415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7A5"/>
    <w:multiLevelType w:val="hybridMultilevel"/>
    <w:tmpl w:val="18C2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E6A36"/>
    <w:multiLevelType w:val="hybridMultilevel"/>
    <w:tmpl w:val="88CC5C96"/>
    <w:lvl w:ilvl="0" w:tplc="04090001">
      <w:start w:val="1"/>
      <w:numFmt w:val="bullet"/>
      <w:lvlText w:val=""/>
      <w:lvlJc w:val="left"/>
      <w:pPr>
        <w:ind w:left="720" w:hanging="360"/>
      </w:pPr>
      <w:rPr>
        <w:rFonts w:ascii="Symbol" w:hAnsi="Symbol" w:hint="default"/>
      </w:rPr>
    </w:lvl>
    <w:lvl w:ilvl="1" w:tplc="4F0ABB2C">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A170A"/>
    <w:multiLevelType w:val="hybridMultilevel"/>
    <w:tmpl w:val="1FB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41F7"/>
    <w:multiLevelType w:val="hybridMultilevel"/>
    <w:tmpl w:val="B8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D24F1"/>
    <w:multiLevelType w:val="hybridMultilevel"/>
    <w:tmpl w:val="F9C2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34444"/>
    <w:multiLevelType w:val="hybridMultilevel"/>
    <w:tmpl w:val="33C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A2F82"/>
    <w:multiLevelType w:val="hybridMultilevel"/>
    <w:tmpl w:val="8F7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E3831"/>
    <w:multiLevelType w:val="hybridMultilevel"/>
    <w:tmpl w:val="A4F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818"/>
    <w:multiLevelType w:val="hybridMultilevel"/>
    <w:tmpl w:val="D6A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D23FF"/>
    <w:multiLevelType w:val="hybridMultilevel"/>
    <w:tmpl w:val="6D245ABC"/>
    <w:lvl w:ilvl="0" w:tplc="3744A81E">
      <w:start w:val="1"/>
      <w:numFmt w:val="bullet"/>
      <w:lvlText w:val="•"/>
      <w:lvlJc w:val="left"/>
      <w:pPr>
        <w:tabs>
          <w:tab w:val="num" w:pos="720"/>
        </w:tabs>
        <w:ind w:left="720" w:hanging="360"/>
      </w:pPr>
      <w:rPr>
        <w:rFonts w:ascii="Arial" w:hAnsi="Arial" w:hint="default"/>
      </w:rPr>
    </w:lvl>
    <w:lvl w:ilvl="1" w:tplc="031E01E8" w:tentative="1">
      <w:start w:val="1"/>
      <w:numFmt w:val="bullet"/>
      <w:lvlText w:val="•"/>
      <w:lvlJc w:val="left"/>
      <w:pPr>
        <w:tabs>
          <w:tab w:val="num" w:pos="1440"/>
        </w:tabs>
        <w:ind w:left="1440" w:hanging="360"/>
      </w:pPr>
      <w:rPr>
        <w:rFonts w:ascii="Arial" w:hAnsi="Arial" w:hint="default"/>
      </w:rPr>
    </w:lvl>
    <w:lvl w:ilvl="2" w:tplc="71A2D8F0" w:tentative="1">
      <w:start w:val="1"/>
      <w:numFmt w:val="bullet"/>
      <w:lvlText w:val="•"/>
      <w:lvlJc w:val="left"/>
      <w:pPr>
        <w:tabs>
          <w:tab w:val="num" w:pos="2160"/>
        </w:tabs>
        <w:ind w:left="2160" w:hanging="360"/>
      </w:pPr>
      <w:rPr>
        <w:rFonts w:ascii="Arial" w:hAnsi="Arial" w:hint="default"/>
      </w:rPr>
    </w:lvl>
    <w:lvl w:ilvl="3" w:tplc="F4D06DEC" w:tentative="1">
      <w:start w:val="1"/>
      <w:numFmt w:val="bullet"/>
      <w:lvlText w:val="•"/>
      <w:lvlJc w:val="left"/>
      <w:pPr>
        <w:tabs>
          <w:tab w:val="num" w:pos="2880"/>
        </w:tabs>
        <w:ind w:left="2880" w:hanging="360"/>
      </w:pPr>
      <w:rPr>
        <w:rFonts w:ascii="Arial" w:hAnsi="Arial" w:hint="default"/>
      </w:rPr>
    </w:lvl>
    <w:lvl w:ilvl="4" w:tplc="522E00DC" w:tentative="1">
      <w:start w:val="1"/>
      <w:numFmt w:val="bullet"/>
      <w:lvlText w:val="•"/>
      <w:lvlJc w:val="left"/>
      <w:pPr>
        <w:tabs>
          <w:tab w:val="num" w:pos="3600"/>
        </w:tabs>
        <w:ind w:left="3600" w:hanging="360"/>
      </w:pPr>
      <w:rPr>
        <w:rFonts w:ascii="Arial" w:hAnsi="Arial" w:hint="default"/>
      </w:rPr>
    </w:lvl>
    <w:lvl w:ilvl="5" w:tplc="3F3A1902" w:tentative="1">
      <w:start w:val="1"/>
      <w:numFmt w:val="bullet"/>
      <w:lvlText w:val="•"/>
      <w:lvlJc w:val="left"/>
      <w:pPr>
        <w:tabs>
          <w:tab w:val="num" w:pos="4320"/>
        </w:tabs>
        <w:ind w:left="4320" w:hanging="360"/>
      </w:pPr>
      <w:rPr>
        <w:rFonts w:ascii="Arial" w:hAnsi="Arial" w:hint="default"/>
      </w:rPr>
    </w:lvl>
    <w:lvl w:ilvl="6" w:tplc="BA2C98F6" w:tentative="1">
      <w:start w:val="1"/>
      <w:numFmt w:val="bullet"/>
      <w:lvlText w:val="•"/>
      <w:lvlJc w:val="left"/>
      <w:pPr>
        <w:tabs>
          <w:tab w:val="num" w:pos="5040"/>
        </w:tabs>
        <w:ind w:left="5040" w:hanging="360"/>
      </w:pPr>
      <w:rPr>
        <w:rFonts w:ascii="Arial" w:hAnsi="Arial" w:hint="default"/>
      </w:rPr>
    </w:lvl>
    <w:lvl w:ilvl="7" w:tplc="A5425A6E" w:tentative="1">
      <w:start w:val="1"/>
      <w:numFmt w:val="bullet"/>
      <w:lvlText w:val="•"/>
      <w:lvlJc w:val="left"/>
      <w:pPr>
        <w:tabs>
          <w:tab w:val="num" w:pos="5760"/>
        </w:tabs>
        <w:ind w:left="5760" w:hanging="360"/>
      </w:pPr>
      <w:rPr>
        <w:rFonts w:ascii="Arial" w:hAnsi="Arial" w:hint="default"/>
      </w:rPr>
    </w:lvl>
    <w:lvl w:ilvl="8" w:tplc="B792E2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0857DA"/>
    <w:multiLevelType w:val="hybridMultilevel"/>
    <w:tmpl w:val="6FF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81F92"/>
    <w:multiLevelType w:val="hybridMultilevel"/>
    <w:tmpl w:val="9A5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67E0"/>
    <w:multiLevelType w:val="hybridMultilevel"/>
    <w:tmpl w:val="94B2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46B3D"/>
    <w:multiLevelType w:val="hybridMultilevel"/>
    <w:tmpl w:val="C0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33FAE"/>
    <w:multiLevelType w:val="hybridMultilevel"/>
    <w:tmpl w:val="661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B4002"/>
    <w:multiLevelType w:val="hybridMultilevel"/>
    <w:tmpl w:val="AC6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93DBE"/>
    <w:multiLevelType w:val="hybridMultilevel"/>
    <w:tmpl w:val="51466FBA"/>
    <w:lvl w:ilvl="0" w:tplc="04090001">
      <w:start w:val="1"/>
      <w:numFmt w:val="bullet"/>
      <w:lvlText w:val=""/>
      <w:lvlJc w:val="left"/>
      <w:pPr>
        <w:tabs>
          <w:tab w:val="num" w:pos="720"/>
        </w:tabs>
        <w:ind w:left="720" w:hanging="360"/>
      </w:pPr>
      <w:rPr>
        <w:rFonts w:ascii="Symbol" w:hAnsi="Symbol" w:hint="default"/>
      </w:rPr>
    </w:lvl>
    <w:lvl w:ilvl="1" w:tplc="B310F188">
      <w:start w:val="1"/>
      <w:numFmt w:val="bullet"/>
      <w:pStyle w:val="BulletLis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175F5"/>
    <w:multiLevelType w:val="singleLevel"/>
    <w:tmpl w:val="EFECBEB0"/>
    <w:lvl w:ilvl="0">
      <w:start w:val="1"/>
      <w:numFmt w:val="lowerLetter"/>
      <w:pStyle w:val="Heading4"/>
      <w:lvlText w:val="%1. "/>
      <w:lvlJc w:val="left"/>
      <w:pPr>
        <w:tabs>
          <w:tab w:val="num" w:pos="375"/>
        </w:tabs>
        <w:ind w:left="375" w:hanging="375"/>
      </w:pPr>
      <w:rPr>
        <w:rFonts w:hint="default"/>
      </w:rPr>
    </w:lvl>
  </w:abstractNum>
  <w:abstractNum w:abstractNumId="23" w15:restartNumberingAfterBreak="0">
    <w:nsid w:val="6DAD67A7"/>
    <w:multiLevelType w:val="hybridMultilevel"/>
    <w:tmpl w:val="84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C32AB"/>
    <w:multiLevelType w:val="hybridMultilevel"/>
    <w:tmpl w:val="008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00515"/>
    <w:multiLevelType w:val="hybridMultilevel"/>
    <w:tmpl w:val="5BB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22FE8"/>
    <w:multiLevelType w:val="hybridMultilevel"/>
    <w:tmpl w:val="024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11113"/>
    <w:multiLevelType w:val="hybridMultilevel"/>
    <w:tmpl w:val="B582EF80"/>
    <w:lvl w:ilvl="0" w:tplc="B2BE8F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0"/>
  </w:num>
  <w:num w:numId="4">
    <w:abstractNumId w:val="6"/>
  </w:num>
  <w:num w:numId="5">
    <w:abstractNumId w:val="27"/>
  </w:num>
  <w:num w:numId="6">
    <w:abstractNumId w:val="20"/>
  </w:num>
  <w:num w:numId="7">
    <w:abstractNumId w:val="8"/>
  </w:num>
  <w:num w:numId="8">
    <w:abstractNumId w:val="12"/>
  </w:num>
  <w:num w:numId="9">
    <w:abstractNumId w:val="15"/>
  </w:num>
  <w:num w:numId="10">
    <w:abstractNumId w:val="18"/>
  </w:num>
  <w:num w:numId="11">
    <w:abstractNumId w:val="16"/>
  </w:num>
  <w:num w:numId="12">
    <w:abstractNumId w:val="25"/>
  </w:num>
  <w:num w:numId="13">
    <w:abstractNumId w:val="1"/>
  </w:num>
  <w:num w:numId="14">
    <w:abstractNumId w:val="23"/>
  </w:num>
  <w:num w:numId="15">
    <w:abstractNumId w:val="2"/>
  </w:num>
  <w:num w:numId="16">
    <w:abstractNumId w:val="19"/>
  </w:num>
  <w:num w:numId="17">
    <w:abstractNumId w:val="5"/>
  </w:num>
  <w:num w:numId="18">
    <w:abstractNumId w:val="10"/>
  </w:num>
  <w:num w:numId="19">
    <w:abstractNumId w:val="26"/>
  </w:num>
  <w:num w:numId="20">
    <w:abstractNumId w:val="24"/>
  </w:num>
  <w:num w:numId="21">
    <w:abstractNumId w:val="11"/>
  </w:num>
  <w:num w:numId="22">
    <w:abstractNumId w:val="17"/>
  </w:num>
  <w:num w:numId="23">
    <w:abstractNumId w:val="9"/>
  </w:num>
  <w:num w:numId="24">
    <w:abstractNumId w:val="4"/>
  </w:num>
  <w:num w:numId="25">
    <w:abstractNumId w:val="13"/>
  </w:num>
  <w:num w:numId="26">
    <w:abstractNumId w:val="3"/>
  </w:num>
  <w:num w:numId="27">
    <w:abstractNumId w:val="7"/>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2B"/>
    <w:rsid w:val="0000047B"/>
    <w:rsid w:val="00000D05"/>
    <w:rsid w:val="00002326"/>
    <w:rsid w:val="000035E3"/>
    <w:rsid w:val="000063D9"/>
    <w:rsid w:val="0000746B"/>
    <w:rsid w:val="00012B00"/>
    <w:rsid w:val="00013E79"/>
    <w:rsid w:val="00016D65"/>
    <w:rsid w:val="00016E12"/>
    <w:rsid w:val="00020605"/>
    <w:rsid w:val="00020A87"/>
    <w:rsid w:val="000213F0"/>
    <w:rsid w:val="0002519E"/>
    <w:rsid w:val="00031587"/>
    <w:rsid w:val="00031DDE"/>
    <w:rsid w:val="00031F7A"/>
    <w:rsid w:val="00032415"/>
    <w:rsid w:val="000324B6"/>
    <w:rsid w:val="00034823"/>
    <w:rsid w:val="00035672"/>
    <w:rsid w:val="00035C75"/>
    <w:rsid w:val="00042CA0"/>
    <w:rsid w:val="00043A9B"/>
    <w:rsid w:val="00045778"/>
    <w:rsid w:val="00050D24"/>
    <w:rsid w:val="00051D2B"/>
    <w:rsid w:val="00053967"/>
    <w:rsid w:val="0006106E"/>
    <w:rsid w:val="00061523"/>
    <w:rsid w:val="000616D7"/>
    <w:rsid w:val="00062463"/>
    <w:rsid w:val="00063D03"/>
    <w:rsid w:val="00064350"/>
    <w:rsid w:val="00065786"/>
    <w:rsid w:val="00073826"/>
    <w:rsid w:val="0007438D"/>
    <w:rsid w:val="00077BA0"/>
    <w:rsid w:val="00082752"/>
    <w:rsid w:val="00087F6A"/>
    <w:rsid w:val="000925A4"/>
    <w:rsid w:val="00093168"/>
    <w:rsid w:val="000951F6"/>
    <w:rsid w:val="000978CE"/>
    <w:rsid w:val="000A0650"/>
    <w:rsid w:val="000A0EB0"/>
    <w:rsid w:val="000A1425"/>
    <w:rsid w:val="000A5124"/>
    <w:rsid w:val="000B1094"/>
    <w:rsid w:val="000B18B0"/>
    <w:rsid w:val="000B3756"/>
    <w:rsid w:val="000B5677"/>
    <w:rsid w:val="000B7A74"/>
    <w:rsid w:val="000C0998"/>
    <w:rsid w:val="000C1415"/>
    <w:rsid w:val="000C45E4"/>
    <w:rsid w:val="000D038B"/>
    <w:rsid w:val="000D2230"/>
    <w:rsid w:val="000D3DD2"/>
    <w:rsid w:val="000D4F0B"/>
    <w:rsid w:val="000D607D"/>
    <w:rsid w:val="000E1882"/>
    <w:rsid w:val="000E1BB8"/>
    <w:rsid w:val="000E53A4"/>
    <w:rsid w:val="000E6B93"/>
    <w:rsid w:val="000E7320"/>
    <w:rsid w:val="000F02A5"/>
    <w:rsid w:val="000F203C"/>
    <w:rsid w:val="000F2049"/>
    <w:rsid w:val="000F41A1"/>
    <w:rsid w:val="000F41D5"/>
    <w:rsid w:val="000F57A9"/>
    <w:rsid w:val="00103A82"/>
    <w:rsid w:val="0010727E"/>
    <w:rsid w:val="001109D0"/>
    <w:rsid w:val="00113D02"/>
    <w:rsid w:val="00114F7F"/>
    <w:rsid w:val="001272AA"/>
    <w:rsid w:val="00127B1F"/>
    <w:rsid w:val="00134E17"/>
    <w:rsid w:val="00137590"/>
    <w:rsid w:val="00141455"/>
    <w:rsid w:val="0014258A"/>
    <w:rsid w:val="00146C0E"/>
    <w:rsid w:val="00146DF4"/>
    <w:rsid w:val="00151665"/>
    <w:rsid w:val="00152887"/>
    <w:rsid w:val="001546C8"/>
    <w:rsid w:val="00154846"/>
    <w:rsid w:val="00155CC6"/>
    <w:rsid w:val="00156B24"/>
    <w:rsid w:val="00160D04"/>
    <w:rsid w:val="001625C1"/>
    <w:rsid w:val="00172950"/>
    <w:rsid w:val="0017585D"/>
    <w:rsid w:val="00176157"/>
    <w:rsid w:val="00183B3B"/>
    <w:rsid w:val="00186536"/>
    <w:rsid w:val="00186A91"/>
    <w:rsid w:val="00186EC9"/>
    <w:rsid w:val="00191D34"/>
    <w:rsid w:val="00192ACC"/>
    <w:rsid w:val="00192E5B"/>
    <w:rsid w:val="001930D0"/>
    <w:rsid w:val="0019465B"/>
    <w:rsid w:val="00194905"/>
    <w:rsid w:val="001A10EE"/>
    <w:rsid w:val="001A702C"/>
    <w:rsid w:val="001B4390"/>
    <w:rsid w:val="001C0E6F"/>
    <w:rsid w:val="001C20AF"/>
    <w:rsid w:val="001C3981"/>
    <w:rsid w:val="001D1AAD"/>
    <w:rsid w:val="001D6A35"/>
    <w:rsid w:val="001D73A6"/>
    <w:rsid w:val="001E0171"/>
    <w:rsid w:val="001E0EFE"/>
    <w:rsid w:val="001F1B01"/>
    <w:rsid w:val="001F3DFB"/>
    <w:rsid w:val="001F6F14"/>
    <w:rsid w:val="00201E8E"/>
    <w:rsid w:val="002027C6"/>
    <w:rsid w:val="00204386"/>
    <w:rsid w:val="00204398"/>
    <w:rsid w:val="00207E8B"/>
    <w:rsid w:val="00210413"/>
    <w:rsid w:val="00211D3D"/>
    <w:rsid w:val="00212781"/>
    <w:rsid w:val="00214114"/>
    <w:rsid w:val="0021485B"/>
    <w:rsid w:val="00214DD3"/>
    <w:rsid w:val="002160E5"/>
    <w:rsid w:val="0022018F"/>
    <w:rsid w:val="002256C3"/>
    <w:rsid w:val="00230BCE"/>
    <w:rsid w:val="0023284D"/>
    <w:rsid w:val="00240116"/>
    <w:rsid w:val="00243BA9"/>
    <w:rsid w:val="002470FA"/>
    <w:rsid w:val="00252A68"/>
    <w:rsid w:val="002550F0"/>
    <w:rsid w:val="0025649C"/>
    <w:rsid w:val="002604E9"/>
    <w:rsid w:val="00263E86"/>
    <w:rsid w:val="0026450E"/>
    <w:rsid w:val="00265094"/>
    <w:rsid w:val="002672C3"/>
    <w:rsid w:val="002715D9"/>
    <w:rsid w:val="002764AF"/>
    <w:rsid w:val="00281D18"/>
    <w:rsid w:val="00285258"/>
    <w:rsid w:val="00285855"/>
    <w:rsid w:val="002915DB"/>
    <w:rsid w:val="002961F3"/>
    <w:rsid w:val="00296343"/>
    <w:rsid w:val="002A127B"/>
    <w:rsid w:val="002A1818"/>
    <w:rsid w:val="002A2353"/>
    <w:rsid w:val="002A2CF8"/>
    <w:rsid w:val="002A4BDA"/>
    <w:rsid w:val="002A76C8"/>
    <w:rsid w:val="002B2A27"/>
    <w:rsid w:val="002B35AA"/>
    <w:rsid w:val="002B65E2"/>
    <w:rsid w:val="002C13AB"/>
    <w:rsid w:val="002C36D0"/>
    <w:rsid w:val="002C4100"/>
    <w:rsid w:val="002D1C63"/>
    <w:rsid w:val="002D6B3E"/>
    <w:rsid w:val="002D6FD4"/>
    <w:rsid w:val="002D754F"/>
    <w:rsid w:val="002D7707"/>
    <w:rsid w:val="002E0640"/>
    <w:rsid w:val="002E2E40"/>
    <w:rsid w:val="002E4B66"/>
    <w:rsid w:val="00301F6F"/>
    <w:rsid w:val="00305023"/>
    <w:rsid w:val="0030533C"/>
    <w:rsid w:val="00306BBE"/>
    <w:rsid w:val="00310352"/>
    <w:rsid w:val="00312415"/>
    <w:rsid w:val="00312CFB"/>
    <w:rsid w:val="003234F9"/>
    <w:rsid w:val="00323A8C"/>
    <w:rsid w:val="003267B7"/>
    <w:rsid w:val="00333B38"/>
    <w:rsid w:val="003355B2"/>
    <w:rsid w:val="00340333"/>
    <w:rsid w:val="003473BB"/>
    <w:rsid w:val="00350733"/>
    <w:rsid w:val="0035700D"/>
    <w:rsid w:val="00357717"/>
    <w:rsid w:val="0036027C"/>
    <w:rsid w:val="003623FC"/>
    <w:rsid w:val="00377FD9"/>
    <w:rsid w:val="00384B6E"/>
    <w:rsid w:val="00386250"/>
    <w:rsid w:val="003A0172"/>
    <w:rsid w:val="003A0CAE"/>
    <w:rsid w:val="003A1090"/>
    <w:rsid w:val="003A3523"/>
    <w:rsid w:val="003A423D"/>
    <w:rsid w:val="003A58AB"/>
    <w:rsid w:val="003A7B8C"/>
    <w:rsid w:val="003B3D01"/>
    <w:rsid w:val="003B6FEB"/>
    <w:rsid w:val="003B79C7"/>
    <w:rsid w:val="003C090E"/>
    <w:rsid w:val="003C1112"/>
    <w:rsid w:val="003C23CB"/>
    <w:rsid w:val="003C3610"/>
    <w:rsid w:val="003C39DD"/>
    <w:rsid w:val="003C5ECE"/>
    <w:rsid w:val="003C60EE"/>
    <w:rsid w:val="003C6F50"/>
    <w:rsid w:val="003D139E"/>
    <w:rsid w:val="003D3BF5"/>
    <w:rsid w:val="003D5912"/>
    <w:rsid w:val="003D75B3"/>
    <w:rsid w:val="003E230D"/>
    <w:rsid w:val="003E4967"/>
    <w:rsid w:val="003E655F"/>
    <w:rsid w:val="003F12D6"/>
    <w:rsid w:val="003F28AE"/>
    <w:rsid w:val="003F3E92"/>
    <w:rsid w:val="003F46E8"/>
    <w:rsid w:val="003F7609"/>
    <w:rsid w:val="003F7CC1"/>
    <w:rsid w:val="0040062B"/>
    <w:rsid w:val="004029AD"/>
    <w:rsid w:val="0040329A"/>
    <w:rsid w:val="0040604E"/>
    <w:rsid w:val="00406D56"/>
    <w:rsid w:val="00410EAC"/>
    <w:rsid w:val="00413E62"/>
    <w:rsid w:val="004157A4"/>
    <w:rsid w:val="00417270"/>
    <w:rsid w:val="004176D9"/>
    <w:rsid w:val="00420B2D"/>
    <w:rsid w:val="00421E38"/>
    <w:rsid w:val="00422273"/>
    <w:rsid w:val="00422B38"/>
    <w:rsid w:val="00425C2D"/>
    <w:rsid w:val="00426220"/>
    <w:rsid w:val="00426E4E"/>
    <w:rsid w:val="00426FF0"/>
    <w:rsid w:val="0043139F"/>
    <w:rsid w:val="0043401F"/>
    <w:rsid w:val="00434954"/>
    <w:rsid w:val="00435942"/>
    <w:rsid w:val="0043602C"/>
    <w:rsid w:val="0044305E"/>
    <w:rsid w:val="004457D4"/>
    <w:rsid w:val="0045094B"/>
    <w:rsid w:val="00450B8B"/>
    <w:rsid w:val="00450D74"/>
    <w:rsid w:val="004516EB"/>
    <w:rsid w:val="00451B9B"/>
    <w:rsid w:val="0045286D"/>
    <w:rsid w:val="0045496F"/>
    <w:rsid w:val="00463645"/>
    <w:rsid w:val="00464EC1"/>
    <w:rsid w:val="00467678"/>
    <w:rsid w:val="00472470"/>
    <w:rsid w:val="004768BB"/>
    <w:rsid w:val="004807F3"/>
    <w:rsid w:val="0048343B"/>
    <w:rsid w:val="0048439F"/>
    <w:rsid w:val="00485194"/>
    <w:rsid w:val="00486D7F"/>
    <w:rsid w:val="00490495"/>
    <w:rsid w:val="00490902"/>
    <w:rsid w:val="00490F1D"/>
    <w:rsid w:val="0049290B"/>
    <w:rsid w:val="00494660"/>
    <w:rsid w:val="004962A2"/>
    <w:rsid w:val="004968FE"/>
    <w:rsid w:val="00496B2F"/>
    <w:rsid w:val="0049786A"/>
    <w:rsid w:val="004A4E4B"/>
    <w:rsid w:val="004A5069"/>
    <w:rsid w:val="004B203D"/>
    <w:rsid w:val="004B2763"/>
    <w:rsid w:val="004B35AF"/>
    <w:rsid w:val="004B703A"/>
    <w:rsid w:val="004B70D1"/>
    <w:rsid w:val="004C0175"/>
    <w:rsid w:val="004C0AE4"/>
    <w:rsid w:val="004C1F0A"/>
    <w:rsid w:val="004C2BF5"/>
    <w:rsid w:val="004C3435"/>
    <w:rsid w:val="004C46D5"/>
    <w:rsid w:val="004D7E9D"/>
    <w:rsid w:val="004E4D8B"/>
    <w:rsid w:val="004E55A7"/>
    <w:rsid w:val="004E751E"/>
    <w:rsid w:val="004F2134"/>
    <w:rsid w:val="004F6A18"/>
    <w:rsid w:val="005023F8"/>
    <w:rsid w:val="00504AC8"/>
    <w:rsid w:val="005132C0"/>
    <w:rsid w:val="0051408D"/>
    <w:rsid w:val="0051532C"/>
    <w:rsid w:val="00520E86"/>
    <w:rsid w:val="005228C9"/>
    <w:rsid w:val="005228CB"/>
    <w:rsid w:val="00524911"/>
    <w:rsid w:val="00524D13"/>
    <w:rsid w:val="00525D65"/>
    <w:rsid w:val="005268A7"/>
    <w:rsid w:val="00526D8D"/>
    <w:rsid w:val="00527A1B"/>
    <w:rsid w:val="0053204B"/>
    <w:rsid w:val="00532C90"/>
    <w:rsid w:val="0053475F"/>
    <w:rsid w:val="005441A1"/>
    <w:rsid w:val="00544CFA"/>
    <w:rsid w:val="005475B1"/>
    <w:rsid w:val="00550739"/>
    <w:rsid w:val="00551027"/>
    <w:rsid w:val="00551963"/>
    <w:rsid w:val="005555DD"/>
    <w:rsid w:val="0056059D"/>
    <w:rsid w:val="005613CA"/>
    <w:rsid w:val="00562F02"/>
    <w:rsid w:val="00566AC5"/>
    <w:rsid w:val="00571C37"/>
    <w:rsid w:val="0057451D"/>
    <w:rsid w:val="00576277"/>
    <w:rsid w:val="00581681"/>
    <w:rsid w:val="00582082"/>
    <w:rsid w:val="00585EB5"/>
    <w:rsid w:val="005870BF"/>
    <w:rsid w:val="00590434"/>
    <w:rsid w:val="0059084F"/>
    <w:rsid w:val="00591552"/>
    <w:rsid w:val="0059486B"/>
    <w:rsid w:val="0059589C"/>
    <w:rsid w:val="005A5F6B"/>
    <w:rsid w:val="005A7CF6"/>
    <w:rsid w:val="005B58D7"/>
    <w:rsid w:val="005B5A47"/>
    <w:rsid w:val="005B6C7F"/>
    <w:rsid w:val="005C3C6F"/>
    <w:rsid w:val="005C70B1"/>
    <w:rsid w:val="005C7CCE"/>
    <w:rsid w:val="005D149D"/>
    <w:rsid w:val="005D3E20"/>
    <w:rsid w:val="005D770A"/>
    <w:rsid w:val="005E38A1"/>
    <w:rsid w:val="005E42A9"/>
    <w:rsid w:val="005E5C13"/>
    <w:rsid w:val="005E5DFA"/>
    <w:rsid w:val="005F1689"/>
    <w:rsid w:val="00601FA3"/>
    <w:rsid w:val="00602CC6"/>
    <w:rsid w:val="00614390"/>
    <w:rsid w:val="00614D32"/>
    <w:rsid w:val="006176A2"/>
    <w:rsid w:val="00620D07"/>
    <w:rsid w:val="00621C4E"/>
    <w:rsid w:val="00623081"/>
    <w:rsid w:val="006245EE"/>
    <w:rsid w:val="00624AC5"/>
    <w:rsid w:val="00624F2B"/>
    <w:rsid w:val="006250A5"/>
    <w:rsid w:val="006306D6"/>
    <w:rsid w:val="006331AC"/>
    <w:rsid w:val="00634C45"/>
    <w:rsid w:val="00635DCC"/>
    <w:rsid w:val="00637641"/>
    <w:rsid w:val="00641135"/>
    <w:rsid w:val="006416CD"/>
    <w:rsid w:val="00646035"/>
    <w:rsid w:val="00650132"/>
    <w:rsid w:val="00650556"/>
    <w:rsid w:val="00654B4A"/>
    <w:rsid w:val="00656E1A"/>
    <w:rsid w:val="00657616"/>
    <w:rsid w:val="00660C2A"/>
    <w:rsid w:val="00665DEC"/>
    <w:rsid w:val="00666432"/>
    <w:rsid w:val="00667B03"/>
    <w:rsid w:val="00681BE1"/>
    <w:rsid w:val="00681EC3"/>
    <w:rsid w:val="00683219"/>
    <w:rsid w:val="00693699"/>
    <w:rsid w:val="00696FE1"/>
    <w:rsid w:val="006A263E"/>
    <w:rsid w:val="006A4027"/>
    <w:rsid w:val="006B2869"/>
    <w:rsid w:val="006B29D9"/>
    <w:rsid w:val="006B3AA6"/>
    <w:rsid w:val="006B6DBC"/>
    <w:rsid w:val="006C12D8"/>
    <w:rsid w:val="006C1E3C"/>
    <w:rsid w:val="006C3D69"/>
    <w:rsid w:val="006C483C"/>
    <w:rsid w:val="006C4963"/>
    <w:rsid w:val="006C6285"/>
    <w:rsid w:val="006C7B8C"/>
    <w:rsid w:val="006C7DA7"/>
    <w:rsid w:val="006D04EF"/>
    <w:rsid w:val="006D178A"/>
    <w:rsid w:val="006E5FB9"/>
    <w:rsid w:val="006F0E44"/>
    <w:rsid w:val="006F2A45"/>
    <w:rsid w:val="00701207"/>
    <w:rsid w:val="00704D15"/>
    <w:rsid w:val="007070BF"/>
    <w:rsid w:val="00710878"/>
    <w:rsid w:val="0071134E"/>
    <w:rsid w:val="007137DB"/>
    <w:rsid w:val="00713A14"/>
    <w:rsid w:val="00720875"/>
    <w:rsid w:val="007246E8"/>
    <w:rsid w:val="007249CF"/>
    <w:rsid w:val="007314B3"/>
    <w:rsid w:val="00732D20"/>
    <w:rsid w:val="00733091"/>
    <w:rsid w:val="007356DD"/>
    <w:rsid w:val="007358DE"/>
    <w:rsid w:val="007417B4"/>
    <w:rsid w:val="0074189C"/>
    <w:rsid w:val="00741E94"/>
    <w:rsid w:val="007468D1"/>
    <w:rsid w:val="00746C92"/>
    <w:rsid w:val="0075218A"/>
    <w:rsid w:val="00752FDB"/>
    <w:rsid w:val="0075333B"/>
    <w:rsid w:val="00754795"/>
    <w:rsid w:val="00757116"/>
    <w:rsid w:val="00761386"/>
    <w:rsid w:val="00761A46"/>
    <w:rsid w:val="00763D19"/>
    <w:rsid w:val="007658C4"/>
    <w:rsid w:val="00767239"/>
    <w:rsid w:val="0077195F"/>
    <w:rsid w:val="00771AEF"/>
    <w:rsid w:val="00773839"/>
    <w:rsid w:val="00774D25"/>
    <w:rsid w:val="0078006F"/>
    <w:rsid w:val="007818EF"/>
    <w:rsid w:val="00782387"/>
    <w:rsid w:val="00783E34"/>
    <w:rsid w:val="0078592A"/>
    <w:rsid w:val="00793765"/>
    <w:rsid w:val="00796C58"/>
    <w:rsid w:val="007A02E2"/>
    <w:rsid w:val="007A02E7"/>
    <w:rsid w:val="007A0BAB"/>
    <w:rsid w:val="007A26E0"/>
    <w:rsid w:val="007A2E45"/>
    <w:rsid w:val="007A6F48"/>
    <w:rsid w:val="007B0936"/>
    <w:rsid w:val="007B3867"/>
    <w:rsid w:val="007B47D8"/>
    <w:rsid w:val="007B57C3"/>
    <w:rsid w:val="007B5F4D"/>
    <w:rsid w:val="007C0C8F"/>
    <w:rsid w:val="007C1166"/>
    <w:rsid w:val="007C23FA"/>
    <w:rsid w:val="007C2A0C"/>
    <w:rsid w:val="007C3197"/>
    <w:rsid w:val="007D5024"/>
    <w:rsid w:val="007D70C0"/>
    <w:rsid w:val="007E2630"/>
    <w:rsid w:val="007E3083"/>
    <w:rsid w:val="007E3D5D"/>
    <w:rsid w:val="007E5A29"/>
    <w:rsid w:val="007E6400"/>
    <w:rsid w:val="007F0F78"/>
    <w:rsid w:val="007F1DC0"/>
    <w:rsid w:val="007F2743"/>
    <w:rsid w:val="007F337B"/>
    <w:rsid w:val="007F6BCE"/>
    <w:rsid w:val="007F7718"/>
    <w:rsid w:val="00801ABB"/>
    <w:rsid w:val="00801ED1"/>
    <w:rsid w:val="00803279"/>
    <w:rsid w:val="0080611B"/>
    <w:rsid w:val="00807C13"/>
    <w:rsid w:val="00807D47"/>
    <w:rsid w:val="0082178F"/>
    <w:rsid w:val="00824CAC"/>
    <w:rsid w:val="00825836"/>
    <w:rsid w:val="008304AE"/>
    <w:rsid w:val="00830E41"/>
    <w:rsid w:val="008324A4"/>
    <w:rsid w:val="00835364"/>
    <w:rsid w:val="00836161"/>
    <w:rsid w:val="00837051"/>
    <w:rsid w:val="00837BA7"/>
    <w:rsid w:val="008417DD"/>
    <w:rsid w:val="008427BC"/>
    <w:rsid w:val="00843C30"/>
    <w:rsid w:val="00843C82"/>
    <w:rsid w:val="0084454E"/>
    <w:rsid w:val="008454D8"/>
    <w:rsid w:val="00851D21"/>
    <w:rsid w:val="0085553B"/>
    <w:rsid w:val="008569D6"/>
    <w:rsid w:val="00864001"/>
    <w:rsid w:val="00866A17"/>
    <w:rsid w:val="00873401"/>
    <w:rsid w:val="008749AF"/>
    <w:rsid w:val="008749CC"/>
    <w:rsid w:val="00874D56"/>
    <w:rsid w:val="00874ECB"/>
    <w:rsid w:val="00881896"/>
    <w:rsid w:val="00887EA5"/>
    <w:rsid w:val="008916C8"/>
    <w:rsid w:val="0089195C"/>
    <w:rsid w:val="00896281"/>
    <w:rsid w:val="008966A0"/>
    <w:rsid w:val="00897BA2"/>
    <w:rsid w:val="008A23D1"/>
    <w:rsid w:val="008A25E8"/>
    <w:rsid w:val="008A2AE3"/>
    <w:rsid w:val="008B1E20"/>
    <w:rsid w:val="008B2BE7"/>
    <w:rsid w:val="008B3947"/>
    <w:rsid w:val="008B74A3"/>
    <w:rsid w:val="008B7820"/>
    <w:rsid w:val="008C06CA"/>
    <w:rsid w:val="008C0F84"/>
    <w:rsid w:val="008C37F0"/>
    <w:rsid w:val="008C3936"/>
    <w:rsid w:val="008C548B"/>
    <w:rsid w:val="008C5614"/>
    <w:rsid w:val="008C745A"/>
    <w:rsid w:val="008D0937"/>
    <w:rsid w:val="008D0A9D"/>
    <w:rsid w:val="008D0DAC"/>
    <w:rsid w:val="008D13D3"/>
    <w:rsid w:val="008D1F97"/>
    <w:rsid w:val="008D39AD"/>
    <w:rsid w:val="008E029D"/>
    <w:rsid w:val="008E13A5"/>
    <w:rsid w:val="008E2EBD"/>
    <w:rsid w:val="008E5D22"/>
    <w:rsid w:val="008E5F9F"/>
    <w:rsid w:val="008E6073"/>
    <w:rsid w:val="008E7585"/>
    <w:rsid w:val="008F182D"/>
    <w:rsid w:val="008F479C"/>
    <w:rsid w:val="008F6A1E"/>
    <w:rsid w:val="00900DD4"/>
    <w:rsid w:val="00901C48"/>
    <w:rsid w:val="00903A8B"/>
    <w:rsid w:val="00905838"/>
    <w:rsid w:val="00905F49"/>
    <w:rsid w:val="009060EE"/>
    <w:rsid w:val="009075AB"/>
    <w:rsid w:val="00910AFB"/>
    <w:rsid w:val="00913C9A"/>
    <w:rsid w:val="009141FD"/>
    <w:rsid w:val="00915406"/>
    <w:rsid w:val="00916BE6"/>
    <w:rsid w:val="00922074"/>
    <w:rsid w:val="00922BB7"/>
    <w:rsid w:val="00923658"/>
    <w:rsid w:val="0092455C"/>
    <w:rsid w:val="009337E2"/>
    <w:rsid w:val="009363E4"/>
    <w:rsid w:val="00940EA8"/>
    <w:rsid w:val="00942988"/>
    <w:rsid w:val="00943EFD"/>
    <w:rsid w:val="0095483B"/>
    <w:rsid w:val="00961CB8"/>
    <w:rsid w:val="0096506E"/>
    <w:rsid w:val="00965896"/>
    <w:rsid w:val="0098347C"/>
    <w:rsid w:val="0098428B"/>
    <w:rsid w:val="009856C5"/>
    <w:rsid w:val="0099428C"/>
    <w:rsid w:val="00994C65"/>
    <w:rsid w:val="00994F1C"/>
    <w:rsid w:val="0099684E"/>
    <w:rsid w:val="009968AD"/>
    <w:rsid w:val="00996F63"/>
    <w:rsid w:val="009A028F"/>
    <w:rsid w:val="009A25EA"/>
    <w:rsid w:val="009A67BB"/>
    <w:rsid w:val="009B21AF"/>
    <w:rsid w:val="009B2435"/>
    <w:rsid w:val="009B2ADA"/>
    <w:rsid w:val="009B41FC"/>
    <w:rsid w:val="009B4717"/>
    <w:rsid w:val="009C1488"/>
    <w:rsid w:val="009C522B"/>
    <w:rsid w:val="009D34AF"/>
    <w:rsid w:val="009D4607"/>
    <w:rsid w:val="009D70B7"/>
    <w:rsid w:val="009D78E4"/>
    <w:rsid w:val="009E1EFA"/>
    <w:rsid w:val="009E332F"/>
    <w:rsid w:val="009E3778"/>
    <w:rsid w:val="009E3C7B"/>
    <w:rsid w:val="009E6AE6"/>
    <w:rsid w:val="009E780C"/>
    <w:rsid w:val="009E78B4"/>
    <w:rsid w:val="009F2E9B"/>
    <w:rsid w:val="009F5B37"/>
    <w:rsid w:val="00A11460"/>
    <w:rsid w:val="00A126A1"/>
    <w:rsid w:val="00A13276"/>
    <w:rsid w:val="00A135BD"/>
    <w:rsid w:val="00A162C8"/>
    <w:rsid w:val="00A26AE5"/>
    <w:rsid w:val="00A32D97"/>
    <w:rsid w:val="00A336F5"/>
    <w:rsid w:val="00A420F0"/>
    <w:rsid w:val="00A43798"/>
    <w:rsid w:val="00A506AE"/>
    <w:rsid w:val="00A50F84"/>
    <w:rsid w:val="00A52A86"/>
    <w:rsid w:val="00A54735"/>
    <w:rsid w:val="00A577B6"/>
    <w:rsid w:val="00A626DE"/>
    <w:rsid w:val="00A64A6E"/>
    <w:rsid w:val="00A64E52"/>
    <w:rsid w:val="00A66D4F"/>
    <w:rsid w:val="00A74BBA"/>
    <w:rsid w:val="00A77384"/>
    <w:rsid w:val="00A82239"/>
    <w:rsid w:val="00A82E01"/>
    <w:rsid w:val="00A83E0F"/>
    <w:rsid w:val="00A84E2A"/>
    <w:rsid w:val="00A8595F"/>
    <w:rsid w:val="00A86203"/>
    <w:rsid w:val="00A8688B"/>
    <w:rsid w:val="00A9168B"/>
    <w:rsid w:val="00A91C44"/>
    <w:rsid w:val="00A91C8E"/>
    <w:rsid w:val="00A9351C"/>
    <w:rsid w:val="00A93731"/>
    <w:rsid w:val="00A93FDD"/>
    <w:rsid w:val="00AA19A3"/>
    <w:rsid w:val="00AA37EC"/>
    <w:rsid w:val="00AA4D12"/>
    <w:rsid w:val="00AA6109"/>
    <w:rsid w:val="00AB59B3"/>
    <w:rsid w:val="00AC4293"/>
    <w:rsid w:val="00AC4A63"/>
    <w:rsid w:val="00AC51BA"/>
    <w:rsid w:val="00AD0ABA"/>
    <w:rsid w:val="00AD1865"/>
    <w:rsid w:val="00AD4C80"/>
    <w:rsid w:val="00AE17E5"/>
    <w:rsid w:val="00AE2C94"/>
    <w:rsid w:val="00AE4913"/>
    <w:rsid w:val="00AE596B"/>
    <w:rsid w:val="00AE59B4"/>
    <w:rsid w:val="00AE7F9D"/>
    <w:rsid w:val="00AF2584"/>
    <w:rsid w:val="00AF53A1"/>
    <w:rsid w:val="00AF5C68"/>
    <w:rsid w:val="00B004A5"/>
    <w:rsid w:val="00B00DD4"/>
    <w:rsid w:val="00B02E24"/>
    <w:rsid w:val="00B04B24"/>
    <w:rsid w:val="00B06EF6"/>
    <w:rsid w:val="00B10EDA"/>
    <w:rsid w:val="00B11AA0"/>
    <w:rsid w:val="00B17084"/>
    <w:rsid w:val="00B17D2C"/>
    <w:rsid w:val="00B32CF9"/>
    <w:rsid w:val="00B33852"/>
    <w:rsid w:val="00B37E34"/>
    <w:rsid w:val="00B43A27"/>
    <w:rsid w:val="00B459C0"/>
    <w:rsid w:val="00B45D9B"/>
    <w:rsid w:val="00B46A2E"/>
    <w:rsid w:val="00B538AC"/>
    <w:rsid w:val="00B5523F"/>
    <w:rsid w:val="00B60182"/>
    <w:rsid w:val="00B6052E"/>
    <w:rsid w:val="00B628F5"/>
    <w:rsid w:val="00B62A31"/>
    <w:rsid w:val="00B63A92"/>
    <w:rsid w:val="00B65B17"/>
    <w:rsid w:val="00B70257"/>
    <w:rsid w:val="00B748CD"/>
    <w:rsid w:val="00B76D17"/>
    <w:rsid w:val="00B8232F"/>
    <w:rsid w:val="00B92316"/>
    <w:rsid w:val="00B92F85"/>
    <w:rsid w:val="00B963BF"/>
    <w:rsid w:val="00BA0282"/>
    <w:rsid w:val="00BA0597"/>
    <w:rsid w:val="00BA3899"/>
    <w:rsid w:val="00BA5B39"/>
    <w:rsid w:val="00BA5D46"/>
    <w:rsid w:val="00BA757D"/>
    <w:rsid w:val="00BB0C77"/>
    <w:rsid w:val="00BB431F"/>
    <w:rsid w:val="00BB5AB6"/>
    <w:rsid w:val="00BB60DF"/>
    <w:rsid w:val="00BB694B"/>
    <w:rsid w:val="00BB7A56"/>
    <w:rsid w:val="00BB7F4C"/>
    <w:rsid w:val="00BC0927"/>
    <w:rsid w:val="00BC1A6D"/>
    <w:rsid w:val="00BC21EF"/>
    <w:rsid w:val="00BC3347"/>
    <w:rsid w:val="00BC5A89"/>
    <w:rsid w:val="00BC62EA"/>
    <w:rsid w:val="00BD297D"/>
    <w:rsid w:val="00BD5E64"/>
    <w:rsid w:val="00BD649A"/>
    <w:rsid w:val="00BD6E47"/>
    <w:rsid w:val="00BE010A"/>
    <w:rsid w:val="00BE43BD"/>
    <w:rsid w:val="00BE556E"/>
    <w:rsid w:val="00BE607E"/>
    <w:rsid w:val="00BF42A7"/>
    <w:rsid w:val="00BF4D1C"/>
    <w:rsid w:val="00BF63A7"/>
    <w:rsid w:val="00C0117C"/>
    <w:rsid w:val="00C03E28"/>
    <w:rsid w:val="00C06BAA"/>
    <w:rsid w:val="00C1219C"/>
    <w:rsid w:val="00C12A7B"/>
    <w:rsid w:val="00C15C5F"/>
    <w:rsid w:val="00C16ABC"/>
    <w:rsid w:val="00C201E0"/>
    <w:rsid w:val="00C20BD3"/>
    <w:rsid w:val="00C24661"/>
    <w:rsid w:val="00C25CE3"/>
    <w:rsid w:val="00C25F65"/>
    <w:rsid w:val="00C26187"/>
    <w:rsid w:val="00C33C68"/>
    <w:rsid w:val="00C344B7"/>
    <w:rsid w:val="00C34860"/>
    <w:rsid w:val="00C36893"/>
    <w:rsid w:val="00C377A4"/>
    <w:rsid w:val="00C405BC"/>
    <w:rsid w:val="00C41E6C"/>
    <w:rsid w:val="00C41E7B"/>
    <w:rsid w:val="00C432C8"/>
    <w:rsid w:val="00C43F5A"/>
    <w:rsid w:val="00C4660C"/>
    <w:rsid w:val="00C47715"/>
    <w:rsid w:val="00C50783"/>
    <w:rsid w:val="00C56637"/>
    <w:rsid w:val="00C57F2B"/>
    <w:rsid w:val="00C607FB"/>
    <w:rsid w:val="00C6402D"/>
    <w:rsid w:val="00C6447F"/>
    <w:rsid w:val="00C654BD"/>
    <w:rsid w:val="00C67092"/>
    <w:rsid w:val="00C7230E"/>
    <w:rsid w:val="00C76226"/>
    <w:rsid w:val="00C83423"/>
    <w:rsid w:val="00C83EDC"/>
    <w:rsid w:val="00C84142"/>
    <w:rsid w:val="00C8499A"/>
    <w:rsid w:val="00C84B8A"/>
    <w:rsid w:val="00C90ADB"/>
    <w:rsid w:val="00C92B34"/>
    <w:rsid w:val="00C92EDB"/>
    <w:rsid w:val="00C93E8F"/>
    <w:rsid w:val="00C96AB2"/>
    <w:rsid w:val="00CA1146"/>
    <w:rsid w:val="00CA3096"/>
    <w:rsid w:val="00CA4FB0"/>
    <w:rsid w:val="00CA6241"/>
    <w:rsid w:val="00CB4F2E"/>
    <w:rsid w:val="00CC2628"/>
    <w:rsid w:val="00CD4B1D"/>
    <w:rsid w:val="00CD4B39"/>
    <w:rsid w:val="00CD752C"/>
    <w:rsid w:val="00CE08AE"/>
    <w:rsid w:val="00CE0B1C"/>
    <w:rsid w:val="00CE2791"/>
    <w:rsid w:val="00CE7341"/>
    <w:rsid w:val="00CF0E7A"/>
    <w:rsid w:val="00CF2B48"/>
    <w:rsid w:val="00CF40F0"/>
    <w:rsid w:val="00CF414A"/>
    <w:rsid w:val="00CF4C25"/>
    <w:rsid w:val="00CF5280"/>
    <w:rsid w:val="00CF6E74"/>
    <w:rsid w:val="00CF7B43"/>
    <w:rsid w:val="00D01D49"/>
    <w:rsid w:val="00D05E3C"/>
    <w:rsid w:val="00D07690"/>
    <w:rsid w:val="00D11BBE"/>
    <w:rsid w:val="00D16B40"/>
    <w:rsid w:val="00D24760"/>
    <w:rsid w:val="00D24D3D"/>
    <w:rsid w:val="00D2682B"/>
    <w:rsid w:val="00D30F4B"/>
    <w:rsid w:val="00D35590"/>
    <w:rsid w:val="00D3633E"/>
    <w:rsid w:val="00D413AB"/>
    <w:rsid w:val="00D444EC"/>
    <w:rsid w:val="00D453F9"/>
    <w:rsid w:val="00D461A3"/>
    <w:rsid w:val="00D51B5A"/>
    <w:rsid w:val="00D531A1"/>
    <w:rsid w:val="00D5370D"/>
    <w:rsid w:val="00D53AA1"/>
    <w:rsid w:val="00D5596B"/>
    <w:rsid w:val="00D622E5"/>
    <w:rsid w:val="00D630A0"/>
    <w:rsid w:val="00D64536"/>
    <w:rsid w:val="00D65CBC"/>
    <w:rsid w:val="00D75A86"/>
    <w:rsid w:val="00D7678E"/>
    <w:rsid w:val="00D7791B"/>
    <w:rsid w:val="00D83138"/>
    <w:rsid w:val="00D839E9"/>
    <w:rsid w:val="00D9547A"/>
    <w:rsid w:val="00DA033F"/>
    <w:rsid w:val="00DA0ACE"/>
    <w:rsid w:val="00DA1D49"/>
    <w:rsid w:val="00DA229D"/>
    <w:rsid w:val="00DA520B"/>
    <w:rsid w:val="00DA6101"/>
    <w:rsid w:val="00DB00E5"/>
    <w:rsid w:val="00DB0765"/>
    <w:rsid w:val="00DB11D9"/>
    <w:rsid w:val="00DB397A"/>
    <w:rsid w:val="00DB3C91"/>
    <w:rsid w:val="00DB44D3"/>
    <w:rsid w:val="00DC205D"/>
    <w:rsid w:val="00DC3589"/>
    <w:rsid w:val="00DC37D7"/>
    <w:rsid w:val="00DC39C4"/>
    <w:rsid w:val="00DC715B"/>
    <w:rsid w:val="00DC72A4"/>
    <w:rsid w:val="00DD45D9"/>
    <w:rsid w:val="00DE4A9F"/>
    <w:rsid w:val="00DE5F00"/>
    <w:rsid w:val="00DE758E"/>
    <w:rsid w:val="00DF2755"/>
    <w:rsid w:val="00DF5F57"/>
    <w:rsid w:val="00DF62B2"/>
    <w:rsid w:val="00E034D4"/>
    <w:rsid w:val="00E03BEB"/>
    <w:rsid w:val="00E14175"/>
    <w:rsid w:val="00E243D8"/>
    <w:rsid w:val="00E25E55"/>
    <w:rsid w:val="00E27475"/>
    <w:rsid w:val="00E420FF"/>
    <w:rsid w:val="00E43225"/>
    <w:rsid w:val="00E46D6B"/>
    <w:rsid w:val="00E518A8"/>
    <w:rsid w:val="00E51DA2"/>
    <w:rsid w:val="00E617DA"/>
    <w:rsid w:val="00E627CA"/>
    <w:rsid w:val="00E651E7"/>
    <w:rsid w:val="00E65C71"/>
    <w:rsid w:val="00E672AF"/>
    <w:rsid w:val="00E75357"/>
    <w:rsid w:val="00E82478"/>
    <w:rsid w:val="00E849B7"/>
    <w:rsid w:val="00E861EB"/>
    <w:rsid w:val="00E90795"/>
    <w:rsid w:val="00E95E8B"/>
    <w:rsid w:val="00E96991"/>
    <w:rsid w:val="00E969B0"/>
    <w:rsid w:val="00E97426"/>
    <w:rsid w:val="00EA442B"/>
    <w:rsid w:val="00EA5F3A"/>
    <w:rsid w:val="00EB3665"/>
    <w:rsid w:val="00EB36F7"/>
    <w:rsid w:val="00EB6E77"/>
    <w:rsid w:val="00EC0A64"/>
    <w:rsid w:val="00EC1922"/>
    <w:rsid w:val="00EC3870"/>
    <w:rsid w:val="00EC39E7"/>
    <w:rsid w:val="00EC4DC9"/>
    <w:rsid w:val="00EC5634"/>
    <w:rsid w:val="00EC64D6"/>
    <w:rsid w:val="00EC6FC6"/>
    <w:rsid w:val="00ED1F09"/>
    <w:rsid w:val="00ED404C"/>
    <w:rsid w:val="00ED74D2"/>
    <w:rsid w:val="00ED78A3"/>
    <w:rsid w:val="00EE04AB"/>
    <w:rsid w:val="00EE2B9B"/>
    <w:rsid w:val="00EE67AB"/>
    <w:rsid w:val="00EE770C"/>
    <w:rsid w:val="00EF0FFF"/>
    <w:rsid w:val="00EF2998"/>
    <w:rsid w:val="00EF6CB6"/>
    <w:rsid w:val="00EF7895"/>
    <w:rsid w:val="00F0060F"/>
    <w:rsid w:val="00F00AC2"/>
    <w:rsid w:val="00F00B54"/>
    <w:rsid w:val="00F03202"/>
    <w:rsid w:val="00F03495"/>
    <w:rsid w:val="00F048E7"/>
    <w:rsid w:val="00F062D4"/>
    <w:rsid w:val="00F1090A"/>
    <w:rsid w:val="00F112D0"/>
    <w:rsid w:val="00F11D7F"/>
    <w:rsid w:val="00F20AB3"/>
    <w:rsid w:val="00F24E15"/>
    <w:rsid w:val="00F33B28"/>
    <w:rsid w:val="00F347A0"/>
    <w:rsid w:val="00F44724"/>
    <w:rsid w:val="00F44F11"/>
    <w:rsid w:val="00F469C4"/>
    <w:rsid w:val="00F46B47"/>
    <w:rsid w:val="00F51D70"/>
    <w:rsid w:val="00F55984"/>
    <w:rsid w:val="00F5617D"/>
    <w:rsid w:val="00F57D98"/>
    <w:rsid w:val="00F60A1C"/>
    <w:rsid w:val="00F610AF"/>
    <w:rsid w:val="00F61EA2"/>
    <w:rsid w:val="00F62CF4"/>
    <w:rsid w:val="00F62FB7"/>
    <w:rsid w:val="00F63C50"/>
    <w:rsid w:val="00F653B4"/>
    <w:rsid w:val="00F70951"/>
    <w:rsid w:val="00F709B1"/>
    <w:rsid w:val="00F74401"/>
    <w:rsid w:val="00F7440C"/>
    <w:rsid w:val="00F75728"/>
    <w:rsid w:val="00F7657F"/>
    <w:rsid w:val="00F76A0D"/>
    <w:rsid w:val="00F83020"/>
    <w:rsid w:val="00F85904"/>
    <w:rsid w:val="00F90557"/>
    <w:rsid w:val="00F921C4"/>
    <w:rsid w:val="00F93EEA"/>
    <w:rsid w:val="00F94CAC"/>
    <w:rsid w:val="00F958D4"/>
    <w:rsid w:val="00F95E80"/>
    <w:rsid w:val="00F96191"/>
    <w:rsid w:val="00F97623"/>
    <w:rsid w:val="00F976AB"/>
    <w:rsid w:val="00FA16EC"/>
    <w:rsid w:val="00FA29A8"/>
    <w:rsid w:val="00FA31D8"/>
    <w:rsid w:val="00FA6E64"/>
    <w:rsid w:val="00FB1254"/>
    <w:rsid w:val="00FC2756"/>
    <w:rsid w:val="00FC27A8"/>
    <w:rsid w:val="00FC4F0A"/>
    <w:rsid w:val="00FD0824"/>
    <w:rsid w:val="00FD0FFB"/>
    <w:rsid w:val="00FD1817"/>
    <w:rsid w:val="00FD1F72"/>
    <w:rsid w:val="00FD2A34"/>
    <w:rsid w:val="00FD2D99"/>
    <w:rsid w:val="00FD3F02"/>
    <w:rsid w:val="00FD522E"/>
    <w:rsid w:val="00FD6311"/>
    <w:rsid w:val="00FE686B"/>
    <w:rsid w:val="00FF074F"/>
    <w:rsid w:val="00FF0BBE"/>
    <w:rsid w:val="00FF2B4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5CD35"/>
  <w15:docId w15:val="{2FE3BCD5-B9FD-41BB-9E93-004623F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5C70B1"/>
    <w:pPr>
      <w:outlineLvl w:val="0"/>
    </w:pPr>
    <w:rPr>
      <w:b/>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5C70B1"/>
    <w:rPr>
      <w:rFonts w:ascii="Verdana" w:hAnsi="Verdana"/>
      <w:b/>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4516E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70434">
      <w:bodyDiv w:val="1"/>
      <w:marLeft w:val="0"/>
      <w:marRight w:val="0"/>
      <w:marTop w:val="0"/>
      <w:marBottom w:val="0"/>
      <w:divBdr>
        <w:top w:val="none" w:sz="0" w:space="0" w:color="auto"/>
        <w:left w:val="none" w:sz="0" w:space="0" w:color="auto"/>
        <w:bottom w:val="none" w:sz="0" w:space="0" w:color="auto"/>
        <w:right w:val="none" w:sz="0" w:space="0" w:color="auto"/>
      </w:divBdr>
      <w:divsChild>
        <w:div w:id="805700730">
          <w:marLeft w:val="547"/>
          <w:marRight w:val="0"/>
          <w:marTop w:val="77"/>
          <w:marBottom w:val="0"/>
          <w:divBdr>
            <w:top w:val="none" w:sz="0" w:space="0" w:color="auto"/>
            <w:left w:val="none" w:sz="0" w:space="0" w:color="auto"/>
            <w:bottom w:val="none" w:sz="0" w:space="0" w:color="auto"/>
            <w:right w:val="none" w:sz="0" w:space="0" w:color="auto"/>
          </w:divBdr>
        </w:div>
      </w:divsChild>
    </w:div>
    <w:div w:id="1839078048">
      <w:bodyDiv w:val="1"/>
      <w:marLeft w:val="0"/>
      <w:marRight w:val="0"/>
      <w:marTop w:val="0"/>
      <w:marBottom w:val="0"/>
      <w:divBdr>
        <w:top w:val="none" w:sz="0" w:space="0" w:color="auto"/>
        <w:left w:val="none" w:sz="0" w:space="0" w:color="auto"/>
        <w:bottom w:val="none" w:sz="0" w:space="0" w:color="auto"/>
        <w:right w:val="none" w:sz="0" w:space="0" w:color="auto"/>
      </w:divBdr>
      <w:divsChild>
        <w:div w:id="404768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4D15-48F3-49B5-83DB-8BEF7001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HIGHLIGHTS – TMEP 4th EDITION – APRIL 2005</vt:lpstr>
    </vt:vector>
  </TitlesOfParts>
  <Company>USPTO</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TMEP 4th EDITION – APRIL 2005</dc:title>
  <dc:creator>USPTO</dc:creator>
  <cp:lastModifiedBy>Cain, Catherine</cp:lastModifiedBy>
  <cp:revision>3</cp:revision>
  <cp:lastPrinted>2011-09-20T11:43:00Z</cp:lastPrinted>
  <dcterms:created xsi:type="dcterms:W3CDTF">2018-10-17T22:26:00Z</dcterms:created>
  <dcterms:modified xsi:type="dcterms:W3CDTF">2018-10-17T22:26:00Z</dcterms:modified>
</cp:coreProperties>
</file>