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2BA6B" w14:textId="4D7FE53C" w:rsidR="002027C6" w:rsidRPr="00FA6E64" w:rsidRDefault="00FA6E64" w:rsidP="00FA6E64">
      <w:pPr>
        <w:pStyle w:val="Title"/>
      </w:pPr>
      <w:r>
        <w:t xml:space="preserve">TMEP </w:t>
      </w:r>
      <w:r w:rsidR="00AE596B" w:rsidRPr="00FA6E64">
        <w:t xml:space="preserve">HIGHLIGHTS </w:t>
      </w:r>
      <w:r w:rsidR="002027C6" w:rsidRPr="00FA6E64">
        <w:t>–</w:t>
      </w:r>
      <w:r w:rsidR="00194905">
        <w:t xml:space="preserve"> OCTOBER</w:t>
      </w:r>
      <w:r w:rsidR="002961F3">
        <w:t xml:space="preserve"> 201</w:t>
      </w:r>
      <w:r w:rsidR="00864001">
        <w:t>7</w:t>
      </w:r>
    </w:p>
    <w:p w14:paraId="6CD66C9E" w14:textId="77777777" w:rsidR="002027C6" w:rsidRPr="006245EE" w:rsidRDefault="002027C6" w:rsidP="00B76D17">
      <w:pPr>
        <w:rPr>
          <w:szCs w:val="22"/>
        </w:rPr>
      </w:pPr>
    </w:p>
    <w:p w14:paraId="7911C9C1" w14:textId="156756D2" w:rsidR="002027C6" w:rsidRPr="00A91C44" w:rsidRDefault="002027C6" w:rsidP="00FE686B">
      <w:r w:rsidRPr="00A91C44">
        <w:t xml:space="preserve">This outline highlights </w:t>
      </w:r>
      <w:r w:rsidR="00FA6E64">
        <w:t xml:space="preserve">some of the </w:t>
      </w:r>
      <w:r w:rsidR="00BB5AB6">
        <w:t xml:space="preserve">clarifications and </w:t>
      </w:r>
      <w:r w:rsidRPr="00A91C44">
        <w:t xml:space="preserve">changes </w:t>
      </w:r>
      <w:r w:rsidR="00AE596B">
        <w:t>se</w:t>
      </w:r>
      <w:r w:rsidR="00F1090A">
        <w:t xml:space="preserve">t forth in the </w:t>
      </w:r>
      <w:r w:rsidR="00194905">
        <w:t xml:space="preserve">October </w:t>
      </w:r>
      <w:r w:rsidR="002961F3">
        <w:t>201</w:t>
      </w:r>
      <w:r w:rsidR="00864001">
        <w:t>7</w:t>
      </w:r>
      <w:r w:rsidR="002961F3">
        <w:t xml:space="preserve"> version of the TMEP</w:t>
      </w:r>
      <w:r w:rsidR="00C50783">
        <w:t xml:space="preserve">. </w:t>
      </w:r>
      <w:r w:rsidR="00866A17">
        <w:t xml:space="preserve"> </w:t>
      </w:r>
      <w:r w:rsidRPr="00A91C44">
        <w:t xml:space="preserve">For a more complete listing, see </w:t>
      </w:r>
      <w:r w:rsidR="008417DD" w:rsidRPr="00A91C44">
        <w:t>the</w:t>
      </w:r>
      <w:r w:rsidR="00160D04" w:rsidRPr="00A91C44">
        <w:t xml:space="preserve"> </w:t>
      </w:r>
      <w:r w:rsidR="008417DD" w:rsidRPr="00A91C44">
        <w:t>“</w:t>
      </w:r>
      <w:r w:rsidR="002961F3">
        <w:t xml:space="preserve">Index to </w:t>
      </w:r>
      <w:r w:rsidR="00F1090A">
        <w:t xml:space="preserve">Changes </w:t>
      </w:r>
      <w:r w:rsidR="002961F3">
        <w:t>in</w:t>
      </w:r>
      <w:r w:rsidR="00F1090A">
        <w:t xml:space="preserve"> TMEP</w:t>
      </w:r>
      <w:r w:rsidR="00194905">
        <w:t xml:space="preserve"> October</w:t>
      </w:r>
      <w:r w:rsidR="002961F3">
        <w:t xml:space="preserve"> 201</w:t>
      </w:r>
      <w:r w:rsidR="00864001">
        <w:t>7</w:t>
      </w:r>
      <w:r w:rsidR="008417DD" w:rsidRPr="00A91C44">
        <w:t xml:space="preserve">” document, which is posted as part of the TMEP. </w:t>
      </w:r>
    </w:p>
    <w:p w14:paraId="3A75E1BB" w14:textId="77777777" w:rsidR="00CC2628" w:rsidRDefault="00186A91" w:rsidP="00B76D17">
      <w:pPr>
        <w:rPr>
          <w:szCs w:val="22"/>
        </w:rPr>
      </w:pPr>
      <w:r>
        <w:rPr>
          <w:szCs w:val="22"/>
        </w:rPr>
        <w:t>_____________________________________________________________</w:t>
      </w:r>
    </w:p>
    <w:p w14:paraId="57619D12" w14:textId="77777777" w:rsidR="00BD297D" w:rsidRDefault="00BD297D" w:rsidP="00B76D17">
      <w:pPr>
        <w:rPr>
          <w:szCs w:val="22"/>
        </w:rPr>
      </w:pPr>
    </w:p>
    <w:p w14:paraId="386A7F20" w14:textId="54458BB9" w:rsidR="00C24661" w:rsidRDefault="00C7230E" w:rsidP="00B76D17">
      <w:pPr>
        <w:rPr>
          <w:b/>
          <w:szCs w:val="22"/>
        </w:rPr>
      </w:pPr>
      <w:r w:rsidRPr="00C7230E">
        <w:rPr>
          <w:b/>
          <w:szCs w:val="22"/>
        </w:rPr>
        <w:t>UNAUTHORIZED PRACTICE</w:t>
      </w:r>
    </w:p>
    <w:p w14:paraId="0B0E2335" w14:textId="77777777" w:rsidR="00C7230E" w:rsidRDefault="00C7230E" w:rsidP="00B76D17">
      <w:pPr>
        <w:rPr>
          <w:b/>
          <w:szCs w:val="22"/>
        </w:rPr>
      </w:pPr>
    </w:p>
    <w:p w14:paraId="0D6B409D" w14:textId="28E70E0E" w:rsidR="00B06EF6" w:rsidRPr="00B06EF6" w:rsidRDefault="00C7230E" w:rsidP="00B76D17">
      <w:pPr>
        <w:rPr>
          <w:b/>
          <w:szCs w:val="22"/>
        </w:rPr>
      </w:pPr>
      <w:r w:rsidRPr="00C7230E">
        <w:rPr>
          <w:b/>
          <w:i/>
          <w:szCs w:val="22"/>
        </w:rPr>
        <w:t xml:space="preserve">Individuals Excluded, Suspended, or Unauthorized to Practice Before the USPTO </w:t>
      </w:r>
      <w:r>
        <w:rPr>
          <w:szCs w:val="22"/>
        </w:rPr>
        <w:t>(TMEP §608.02</w:t>
      </w:r>
      <w:r w:rsidR="00C24661" w:rsidRPr="00C24661">
        <w:rPr>
          <w:szCs w:val="22"/>
        </w:rPr>
        <w:t>)</w:t>
      </w:r>
    </w:p>
    <w:p w14:paraId="39C01087" w14:textId="77777777" w:rsidR="00B06EF6" w:rsidRDefault="00B06EF6" w:rsidP="00B76D17">
      <w:pPr>
        <w:rPr>
          <w:szCs w:val="22"/>
        </w:rPr>
      </w:pPr>
    </w:p>
    <w:p w14:paraId="6ED4BD09" w14:textId="63052006" w:rsidR="00C24661" w:rsidRPr="00F60A1C" w:rsidRDefault="00C7230E" w:rsidP="00C7230E">
      <w:pPr>
        <w:pStyle w:val="Text"/>
        <w:numPr>
          <w:ilvl w:val="0"/>
          <w:numId w:val="7"/>
        </w:numPr>
      </w:pPr>
      <w:r w:rsidRPr="00C7230E">
        <w:t>A suspended or excluded individual is not a qualified practitioner and may not practice before the USPTO</w:t>
      </w:r>
      <w:r w:rsidR="00C24661" w:rsidRPr="00F60A1C">
        <w:t xml:space="preserve">.  </w:t>
      </w:r>
      <w:r w:rsidRPr="00C7230E">
        <w:t>37 C.F.R. §§2.17(a), 11.14, 11.58</w:t>
      </w:r>
      <w:r>
        <w:t>.</w:t>
      </w:r>
    </w:p>
    <w:p w14:paraId="7264EFE3" w14:textId="0287F42B" w:rsidR="00C24661" w:rsidRPr="00F60A1C" w:rsidRDefault="00C7230E" w:rsidP="00C7230E">
      <w:pPr>
        <w:pStyle w:val="Text"/>
        <w:numPr>
          <w:ilvl w:val="0"/>
          <w:numId w:val="7"/>
        </w:numPr>
      </w:pPr>
      <w:r w:rsidRPr="00C7230E">
        <w:t>When the Director of the USPTO or Commissioner for Trademarks has suspended or excluded a particular individual from practice before the USPTO, the USPTO will treat any submission signed by such individual as improperly signed and/or non-responsive.</w:t>
      </w:r>
      <w:r>
        <w:t xml:space="preserve"> </w:t>
      </w:r>
      <w:r w:rsidRPr="00C7230E">
        <w:t>37 C.F.R. §§2.17(a) and 11.14.</w:t>
      </w:r>
    </w:p>
    <w:p w14:paraId="678A2043" w14:textId="0B5ADAC9" w:rsidR="00C24661" w:rsidRDefault="00C7230E" w:rsidP="00C7230E">
      <w:pPr>
        <w:pStyle w:val="Text"/>
        <w:numPr>
          <w:ilvl w:val="0"/>
          <w:numId w:val="7"/>
        </w:numPr>
      </w:pPr>
      <w:r w:rsidRPr="00C7230E">
        <w:t>Other submissions that will be treated as improperly signed and/or non-responsive include amendments alleging use, petitions to revive or to the Director, or responses to deficiency or inquiry letters issued by USPTO specialists,</w:t>
      </w:r>
      <w:r>
        <w:t xml:space="preserve"> paralegals, or staff attorneys</w:t>
      </w:r>
      <w:r w:rsidRPr="00C7230E">
        <w:t xml:space="preserve">.  </w:t>
      </w:r>
      <w:r w:rsidR="00C24661" w:rsidRPr="00C24661">
        <w:t xml:space="preserve">  </w:t>
      </w:r>
    </w:p>
    <w:p w14:paraId="28C57256" w14:textId="5A5703D8" w:rsidR="00B06EF6" w:rsidRDefault="00B06EF6" w:rsidP="00B76D17">
      <w:pPr>
        <w:rPr>
          <w:szCs w:val="22"/>
        </w:rPr>
      </w:pPr>
      <w:r w:rsidRPr="00B06EF6">
        <w:rPr>
          <w:szCs w:val="22"/>
        </w:rPr>
        <w:t>_____________________________________________________________</w:t>
      </w:r>
    </w:p>
    <w:p w14:paraId="38696A6B" w14:textId="77777777" w:rsidR="00C7230E" w:rsidRDefault="00C7230E" w:rsidP="00435942">
      <w:pPr>
        <w:rPr>
          <w:szCs w:val="22"/>
        </w:rPr>
      </w:pPr>
    </w:p>
    <w:p w14:paraId="3F244D42" w14:textId="6F5BB5D8" w:rsidR="00C7230E" w:rsidRDefault="00C7230E" w:rsidP="00435942">
      <w:pPr>
        <w:rPr>
          <w:b/>
          <w:szCs w:val="22"/>
        </w:rPr>
      </w:pPr>
      <w:r w:rsidRPr="00C7230E">
        <w:rPr>
          <w:b/>
          <w:szCs w:val="22"/>
        </w:rPr>
        <w:t>SIGNATURE ON CORRESPONDENCE</w:t>
      </w:r>
    </w:p>
    <w:p w14:paraId="2C5C1C60" w14:textId="77777777" w:rsidR="00C7230E" w:rsidRDefault="00C7230E" w:rsidP="00435942">
      <w:pPr>
        <w:rPr>
          <w:b/>
          <w:szCs w:val="22"/>
        </w:rPr>
      </w:pPr>
    </w:p>
    <w:p w14:paraId="64B960EB" w14:textId="336FAA16" w:rsidR="00C7230E" w:rsidRDefault="00C7230E" w:rsidP="00435942">
      <w:pPr>
        <w:rPr>
          <w:szCs w:val="22"/>
        </w:rPr>
      </w:pPr>
      <w:r w:rsidRPr="00C7230E">
        <w:rPr>
          <w:b/>
          <w:i/>
          <w:szCs w:val="22"/>
        </w:rPr>
        <w:t>Proper Person to Sign</w:t>
      </w:r>
      <w:r>
        <w:rPr>
          <w:b/>
          <w:szCs w:val="22"/>
        </w:rPr>
        <w:t xml:space="preserve"> </w:t>
      </w:r>
      <w:r w:rsidRPr="00C7230E">
        <w:rPr>
          <w:szCs w:val="22"/>
        </w:rPr>
        <w:t>(TMEP §611.03</w:t>
      </w:r>
      <w:r>
        <w:rPr>
          <w:szCs w:val="22"/>
        </w:rPr>
        <w:t>)</w:t>
      </w:r>
    </w:p>
    <w:p w14:paraId="34A4DAEE" w14:textId="77777777" w:rsidR="00C7230E" w:rsidRDefault="00C7230E" w:rsidP="00435942">
      <w:pPr>
        <w:rPr>
          <w:szCs w:val="22"/>
        </w:rPr>
      </w:pPr>
    </w:p>
    <w:p w14:paraId="6A63705D" w14:textId="77777777" w:rsidR="00C7230E" w:rsidRDefault="00C7230E" w:rsidP="00C7230E">
      <w:pPr>
        <w:pStyle w:val="ListParagraph"/>
        <w:numPr>
          <w:ilvl w:val="0"/>
          <w:numId w:val="21"/>
        </w:numPr>
        <w:rPr>
          <w:szCs w:val="22"/>
        </w:rPr>
      </w:pPr>
      <w:r>
        <w:rPr>
          <w:szCs w:val="22"/>
        </w:rPr>
        <w:t>I</w:t>
      </w:r>
      <w:r w:rsidRPr="00C7230E">
        <w:rPr>
          <w:szCs w:val="22"/>
        </w:rPr>
        <w:t xml:space="preserve">f an application or registration owner who is not represented by a qualified practitioner becomes deceased or legally incapacitated, only a party authorized under the relevant state law regarding wills or intestate succession may sign a document required to be signed by the owner.  For example, if the owner’s estate has not been settled, the executor may be an authorized party under the relevant state law.  </w:t>
      </w:r>
    </w:p>
    <w:p w14:paraId="5DDCEEB9" w14:textId="0020FAF9" w:rsidR="00C7230E" w:rsidRPr="00C7230E" w:rsidRDefault="00C7230E" w:rsidP="00C7230E">
      <w:pPr>
        <w:pStyle w:val="ListParagraph"/>
        <w:numPr>
          <w:ilvl w:val="0"/>
          <w:numId w:val="21"/>
        </w:numPr>
        <w:rPr>
          <w:szCs w:val="22"/>
        </w:rPr>
      </w:pPr>
      <w:r w:rsidRPr="00C7230E">
        <w:rPr>
          <w:szCs w:val="22"/>
        </w:rPr>
        <w:t>In such situations, the document must state that the owner is deceased or legally incapacitated and that the signatory is authorized to sign under the relevant state law</w:t>
      </w:r>
      <w:r w:rsidR="00377FD9">
        <w:rPr>
          <w:szCs w:val="22"/>
        </w:rPr>
        <w:t>.</w:t>
      </w:r>
    </w:p>
    <w:p w14:paraId="17A76E97" w14:textId="77777777" w:rsidR="00435942" w:rsidRDefault="00435942" w:rsidP="00435942">
      <w:pPr>
        <w:rPr>
          <w:szCs w:val="22"/>
        </w:rPr>
      </w:pPr>
      <w:r w:rsidRPr="00B06EF6">
        <w:rPr>
          <w:szCs w:val="22"/>
        </w:rPr>
        <w:t>_____________________________________________________________</w:t>
      </w:r>
    </w:p>
    <w:p w14:paraId="55780BCC" w14:textId="77777777" w:rsidR="009060EE" w:rsidRDefault="009060EE" w:rsidP="001109D0">
      <w:pPr>
        <w:pStyle w:val="Heading1"/>
        <w:rPr>
          <w:caps/>
        </w:rPr>
      </w:pPr>
    </w:p>
    <w:p w14:paraId="71E1D7CF" w14:textId="78CF27BC" w:rsidR="001109D0" w:rsidRPr="00A135BD" w:rsidRDefault="002A127B" w:rsidP="001109D0">
      <w:pPr>
        <w:pStyle w:val="Heading1"/>
        <w:rPr>
          <w:caps/>
        </w:rPr>
      </w:pPr>
      <w:r>
        <w:rPr>
          <w:caps/>
        </w:rPr>
        <w:t>examiner’s amendments</w:t>
      </w:r>
    </w:p>
    <w:p w14:paraId="00211970" w14:textId="77777777" w:rsidR="001109D0" w:rsidRDefault="001109D0" w:rsidP="001109D0">
      <w:pPr>
        <w:rPr>
          <w:caps/>
        </w:rPr>
      </w:pPr>
    </w:p>
    <w:p w14:paraId="55E2AE9F" w14:textId="2126635B" w:rsidR="0059589C" w:rsidRDefault="0059589C" w:rsidP="0059589C">
      <w:pPr>
        <w:rPr>
          <w:szCs w:val="22"/>
        </w:rPr>
      </w:pPr>
      <w:r>
        <w:rPr>
          <w:b/>
          <w:i/>
          <w:szCs w:val="22"/>
        </w:rPr>
        <w:t xml:space="preserve">Examiner’s Amendment </w:t>
      </w:r>
      <w:r w:rsidRPr="0059589C">
        <w:rPr>
          <w:b/>
          <w:i/>
          <w:szCs w:val="22"/>
        </w:rPr>
        <w:t>Without Prior Authorization</w:t>
      </w:r>
      <w:r>
        <w:rPr>
          <w:b/>
          <w:szCs w:val="22"/>
        </w:rPr>
        <w:t xml:space="preserve"> </w:t>
      </w:r>
      <w:r>
        <w:rPr>
          <w:szCs w:val="22"/>
        </w:rPr>
        <w:t>(TMEP §707.02)</w:t>
      </w:r>
    </w:p>
    <w:p w14:paraId="7451F97A" w14:textId="77777777" w:rsidR="0059589C" w:rsidRDefault="0059589C" w:rsidP="0059589C">
      <w:pPr>
        <w:rPr>
          <w:szCs w:val="22"/>
        </w:rPr>
      </w:pPr>
    </w:p>
    <w:p w14:paraId="07DCB6DC" w14:textId="5E948BDC" w:rsidR="0059589C" w:rsidRDefault="0059589C" w:rsidP="0059589C">
      <w:pPr>
        <w:pStyle w:val="ListParagraph"/>
        <w:numPr>
          <w:ilvl w:val="0"/>
          <w:numId w:val="21"/>
        </w:numPr>
        <w:rPr>
          <w:szCs w:val="22"/>
        </w:rPr>
      </w:pPr>
      <w:r w:rsidRPr="0059589C">
        <w:rPr>
          <w:szCs w:val="22"/>
        </w:rPr>
        <w:t xml:space="preserve">When </w:t>
      </w:r>
      <w:r w:rsidRPr="0059589C">
        <w:rPr>
          <w:b/>
          <w:szCs w:val="22"/>
        </w:rPr>
        <w:t>an application under §1 or §44</w:t>
      </w:r>
      <w:r w:rsidRPr="0059589C">
        <w:rPr>
          <w:szCs w:val="22"/>
        </w:rPr>
        <w:t xml:space="preserve"> includes a disclaimer of the entire mark, and the application would otherwise be in condition for </w:t>
      </w:r>
      <w:r w:rsidRPr="0059589C">
        <w:rPr>
          <w:szCs w:val="22"/>
        </w:rPr>
        <w:lastRenderedPageBreak/>
        <w:t xml:space="preserve">approval for publication or registration without the need to contact the applicant or issue an Office action, the examining attorney may issue an examiner’s amendment noting that the entire mark may not be disclaimed and that the disclaimer will be deleted from the record.  </w:t>
      </w:r>
      <w:r w:rsidRPr="00C7230E">
        <w:rPr>
          <w:szCs w:val="22"/>
        </w:rPr>
        <w:t xml:space="preserve">.  </w:t>
      </w:r>
    </w:p>
    <w:p w14:paraId="395FBB03" w14:textId="2183D04C" w:rsidR="0059589C" w:rsidRPr="00C7230E" w:rsidRDefault="0059589C" w:rsidP="0059589C">
      <w:pPr>
        <w:pStyle w:val="ListParagraph"/>
        <w:numPr>
          <w:ilvl w:val="0"/>
          <w:numId w:val="21"/>
        </w:numPr>
        <w:rPr>
          <w:szCs w:val="22"/>
        </w:rPr>
      </w:pPr>
      <w:r w:rsidRPr="0059589C">
        <w:rPr>
          <w:szCs w:val="22"/>
        </w:rPr>
        <w:t xml:space="preserve">When </w:t>
      </w:r>
      <w:r w:rsidRPr="0059589C">
        <w:rPr>
          <w:b/>
          <w:szCs w:val="22"/>
        </w:rPr>
        <w:t>a response to an Office action</w:t>
      </w:r>
      <w:r w:rsidRPr="0059589C">
        <w:rPr>
          <w:szCs w:val="22"/>
        </w:rPr>
        <w:t xml:space="preserve"> includes a disclaimer of the entire mark, and the application would otherwise be in condition for approval for publication or registration, the examining attorney may issue an examiner’s amendment noting that the entire mark may not be disclaimed and that the disclaimer will be deleted from the record</w:t>
      </w:r>
      <w:r>
        <w:rPr>
          <w:szCs w:val="22"/>
        </w:rPr>
        <w:t>.</w:t>
      </w:r>
    </w:p>
    <w:p w14:paraId="562DC95A" w14:textId="77777777" w:rsidR="002D6FD4" w:rsidRDefault="002D6FD4" w:rsidP="002D6FD4">
      <w:r w:rsidRPr="008A23D1">
        <w:t>_____________________________________________________________</w:t>
      </w:r>
    </w:p>
    <w:p w14:paraId="3592649A" w14:textId="77777777" w:rsidR="002D6FD4" w:rsidRDefault="002D6FD4" w:rsidP="002D6FD4"/>
    <w:p w14:paraId="377E2813" w14:textId="5440AF26" w:rsidR="008C548B" w:rsidRPr="0059589C" w:rsidRDefault="0059589C" w:rsidP="008C548B">
      <w:pPr>
        <w:rPr>
          <w:b/>
        </w:rPr>
      </w:pPr>
      <w:r>
        <w:rPr>
          <w:b/>
        </w:rPr>
        <w:t>ABANDONMENT OF MULTIPLE-BASIS APPLICATIONS</w:t>
      </w:r>
    </w:p>
    <w:p w14:paraId="7372359D" w14:textId="257485FF" w:rsidR="008C548B" w:rsidRDefault="008C548B" w:rsidP="0059589C"/>
    <w:p w14:paraId="0CB95B56" w14:textId="25374942" w:rsidR="0059589C" w:rsidRDefault="0059589C" w:rsidP="0059589C">
      <w:pPr>
        <w:rPr>
          <w:szCs w:val="22"/>
        </w:rPr>
      </w:pPr>
      <w:r w:rsidRPr="0059589C">
        <w:rPr>
          <w:b/>
          <w:i/>
          <w:szCs w:val="22"/>
        </w:rPr>
        <w:t xml:space="preserve">Failure to Respond to an Office Action </w:t>
      </w:r>
      <w:r>
        <w:rPr>
          <w:szCs w:val="22"/>
        </w:rPr>
        <w:t>(TMEP §</w:t>
      </w:r>
      <w:r w:rsidRPr="0059589C">
        <w:rPr>
          <w:szCs w:val="22"/>
        </w:rPr>
        <w:t>806.02(d)(i)</w:t>
      </w:r>
      <w:r>
        <w:rPr>
          <w:szCs w:val="22"/>
        </w:rPr>
        <w:t>)</w:t>
      </w:r>
    </w:p>
    <w:p w14:paraId="7A0EE4F6" w14:textId="77777777" w:rsidR="0059589C" w:rsidRDefault="0059589C" w:rsidP="00942988"/>
    <w:p w14:paraId="58377F9B" w14:textId="77777777" w:rsidR="0059589C" w:rsidRDefault="0059589C" w:rsidP="0059589C">
      <w:pPr>
        <w:pStyle w:val="ListParagraph"/>
        <w:numPr>
          <w:ilvl w:val="0"/>
          <w:numId w:val="22"/>
        </w:numPr>
      </w:pPr>
      <w:r w:rsidRPr="0059589C">
        <w:t xml:space="preserve">When an applicant fails to respond to an Office action in which a refusal or requirement was specifically limited to particular goods/services/classes, the examining attorney will abandon the application in part as to the particular goods/services/classes to which the refusal or requirement is limited.  </w:t>
      </w:r>
    </w:p>
    <w:p w14:paraId="2872AAC1" w14:textId="64273C77" w:rsidR="0059589C" w:rsidRDefault="0059589C" w:rsidP="0059589C">
      <w:pPr>
        <w:pStyle w:val="ListParagraph"/>
        <w:numPr>
          <w:ilvl w:val="1"/>
          <w:numId w:val="22"/>
        </w:numPr>
      </w:pPr>
      <w:r w:rsidRPr="0059589C">
        <w:t xml:space="preserve">To the extent those goods/services/classes are the only goods/services/classes </w:t>
      </w:r>
      <w:r w:rsidRPr="0059589C">
        <w:rPr>
          <w:b/>
        </w:rPr>
        <w:t>supported by one basis of multiple filing bases</w:t>
      </w:r>
      <w:r w:rsidRPr="0059589C">
        <w:t>, the filing basis corresponding to such goods/services/classes will also be deleted from the application.</w:t>
      </w:r>
    </w:p>
    <w:p w14:paraId="14833DBE" w14:textId="2745C02E" w:rsidR="0059589C" w:rsidRDefault="0059589C" w:rsidP="0059589C">
      <w:pPr>
        <w:pStyle w:val="ListParagraph"/>
        <w:numPr>
          <w:ilvl w:val="1"/>
          <w:numId w:val="22"/>
        </w:numPr>
      </w:pPr>
      <w:r>
        <w:t>I</w:t>
      </w:r>
      <w:r w:rsidRPr="0059589C">
        <w:t xml:space="preserve">f </w:t>
      </w:r>
      <w:r w:rsidRPr="0059589C">
        <w:rPr>
          <w:b/>
        </w:rPr>
        <w:t>the different bases apply to all goods/services within a class or to all classes</w:t>
      </w:r>
      <w:r w:rsidRPr="003A1090">
        <w:rPr>
          <w:b/>
        </w:rPr>
        <w:t>, a partial-abandonment advisory must not be given</w:t>
      </w:r>
      <w:r w:rsidRPr="0059589C">
        <w:t>.  The failure to respond will result in abandonment of the entire application.</w:t>
      </w:r>
    </w:p>
    <w:p w14:paraId="34C97CC0" w14:textId="77777777" w:rsidR="003A1090" w:rsidRDefault="003A1090" w:rsidP="003A1090"/>
    <w:p w14:paraId="27DB03CD" w14:textId="4B45ED41" w:rsidR="003A1090" w:rsidRPr="003A1090" w:rsidRDefault="003A1090" w:rsidP="003A1090">
      <w:pPr>
        <w:rPr>
          <w:b/>
          <w:i/>
          <w:szCs w:val="22"/>
        </w:rPr>
      </w:pPr>
      <w:r w:rsidRPr="0059589C">
        <w:rPr>
          <w:b/>
          <w:i/>
          <w:szCs w:val="22"/>
        </w:rPr>
        <w:t xml:space="preserve">Failure to Respond to </w:t>
      </w:r>
      <w:r>
        <w:rPr>
          <w:b/>
          <w:i/>
          <w:szCs w:val="22"/>
        </w:rPr>
        <w:t xml:space="preserve">a Notice of Allowance </w:t>
      </w:r>
      <w:r>
        <w:rPr>
          <w:szCs w:val="22"/>
        </w:rPr>
        <w:t>(TMEP §</w:t>
      </w:r>
      <w:r w:rsidRPr="0059589C">
        <w:rPr>
          <w:szCs w:val="22"/>
        </w:rPr>
        <w:t>806.02(d)(i</w:t>
      </w:r>
      <w:r>
        <w:rPr>
          <w:szCs w:val="22"/>
        </w:rPr>
        <w:t>i</w:t>
      </w:r>
      <w:r w:rsidRPr="0059589C">
        <w:rPr>
          <w:szCs w:val="22"/>
        </w:rPr>
        <w:t>)</w:t>
      </w:r>
      <w:r>
        <w:rPr>
          <w:szCs w:val="22"/>
        </w:rPr>
        <w:t>)</w:t>
      </w:r>
    </w:p>
    <w:p w14:paraId="182D99E1" w14:textId="77777777" w:rsidR="003A1090" w:rsidRDefault="003A1090" w:rsidP="003A1090"/>
    <w:p w14:paraId="7D512B0D" w14:textId="50717AEA" w:rsidR="003A1090" w:rsidRDefault="003A1090" w:rsidP="003A1090">
      <w:pPr>
        <w:pStyle w:val="ListParagraph"/>
        <w:numPr>
          <w:ilvl w:val="0"/>
          <w:numId w:val="22"/>
        </w:numPr>
      </w:pPr>
      <w:r w:rsidRPr="003A1090">
        <w:t>If an applicant fails to respond to a notice of allowance that applies to some or all of the goods and/or services in a multiple-basis application, the failure to respond will result in abandonment of the entire application.  The Office will not partially abandon the goods/services to which the §1(b) basis applies, nor will it abandon the §1(b) basis as it applies to any or all goods/services in the application.</w:t>
      </w:r>
    </w:p>
    <w:p w14:paraId="3D5012AA" w14:textId="77777777" w:rsidR="00B02E24" w:rsidRDefault="00B02E24" w:rsidP="00942988">
      <w:r>
        <w:t>_____________________________________________________________</w:t>
      </w:r>
    </w:p>
    <w:p w14:paraId="43E8E9BC" w14:textId="77777777" w:rsidR="00B02E24" w:rsidRDefault="00B02E24" w:rsidP="00B02E24">
      <w:pPr>
        <w:pStyle w:val="Heading1"/>
      </w:pPr>
    </w:p>
    <w:p w14:paraId="083BB49E" w14:textId="6408081C" w:rsidR="002A2353" w:rsidRDefault="009E780C" w:rsidP="00B02E24">
      <w:pPr>
        <w:pStyle w:val="Heading1"/>
      </w:pPr>
      <w:r>
        <w:t>ELIGIBLE APPLICANTS UNDER §44</w:t>
      </w:r>
    </w:p>
    <w:p w14:paraId="659817A0" w14:textId="77777777" w:rsidR="002A2353" w:rsidRDefault="002A2353" w:rsidP="002A2353"/>
    <w:p w14:paraId="3F85AF55" w14:textId="52A84381" w:rsidR="00146DF4" w:rsidRDefault="009E780C" w:rsidP="009E780C">
      <w:r w:rsidRPr="009E780C">
        <w:rPr>
          <w:b/>
          <w:i/>
        </w:rPr>
        <w:t>Establishing Entitlement Under a Treaty</w:t>
      </w:r>
      <w:r>
        <w:t xml:space="preserve"> (TMEP §1002.03)</w:t>
      </w:r>
    </w:p>
    <w:p w14:paraId="1C327F90" w14:textId="77777777" w:rsidR="009E780C" w:rsidRDefault="009E780C" w:rsidP="009E780C"/>
    <w:p w14:paraId="33E83EA8" w14:textId="77777777" w:rsidR="009E780C" w:rsidRDefault="009E780C" w:rsidP="009E780C">
      <w:pPr>
        <w:pStyle w:val="ListParagraph"/>
        <w:numPr>
          <w:ilvl w:val="0"/>
          <w:numId w:val="22"/>
        </w:numPr>
      </w:pPr>
      <w:r>
        <w:t>C</w:t>
      </w:r>
      <w:r w:rsidRPr="009E780C">
        <w:t xml:space="preserve">itizens of British overseas territories and Crown Dependencies are also citizens of the United Kingdom.  </w:t>
      </w:r>
    </w:p>
    <w:p w14:paraId="287EE42E" w14:textId="77777777" w:rsidR="00CF5280" w:rsidRDefault="009E780C" w:rsidP="009E780C">
      <w:pPr>
        <w:pStyle w:val="ListParagraph"/>
        <w:numPr>
          <w:ilvl w:val="0"/>
          <w:numId w:val="22"/>
        </w:numPr>
      </w:pPr>
      <w:r>
        <w:t>I</w:t>
      </w:r>
      <w:r w:rsidRPr="009E780C">
        <w:t xml:space="preserve">ndividuals claiming citizenship in Anguilla, Bermuda, British Antarctic Territory, British Indian Ocean Territory, British Virgin Islands, Cayman Islands, Falkland Islands, Gibraltar, Montserrat. Pitcairn Islands, Saint </w:t>
      </w:r>
      <w:r w:rsidRPr="009E780C">
        <w:lastRenderedPageBreak/>
        <w:t xml:space="preserve">Helena, Ascension and Tristan da Cunha, South Georgia and the South Sandwich Islands, Turks and Caicos Islands, the Bailiwick of Jersey, the Bailiwick of Guernsey, and the Isle of Man will be considered as having the United Kingdom as one of their countries of origin.  However, this exception does </w:t>
      </w:r>
      <w:r w:rsidR="00CF5280">
        <w:t xml:space="preserve">not apply to juristic persons. </w:t>
      </w:r>
    </w:p>
    <w:p w14:paraId="585466AB" w14:textId="2704722F" w:rsidR="009E780C" w:rsidRPr="002C13AB" w:rsidRDefault="009E780C" w:rsidP="009E780C">
      <w:pPr>
        <w:pStyle w:val="ListParagraph"/>
        <w:numPr>
          <w:ilvl w:val="0"/>
          <w:numId w:val="22"/>
        </w:numPr>
      </w:pPr>
      <w:r w:rsidRPr="009E780C">
        <w:t>Accordingly, individuals, but not juristic persons, from one of the British overseas territories or Crown Dependencies, are entitled to priority under §44(d) or registration under §44(e) so long as the relevant foreign registration issued from a country that is party to a treaty or agreement with the United States.</w:t>
      </w:r>
    </w:p>
    <w:p w14:paraId="3E4D4F50" w14:textId="59F6D157" w:rsidR="007C2A0C" w:rsidRDefault="007C2A0C" w:rsidP="007C2A0C">
      <w:r>
        <w:t>_____________________________________________________________</w:t>
      </w:r>
    </w:p>
    <w:p w14:paraId="33DFCE99" w14:textId="77777777" w:rsidR="007F6BCE" w:rsidRDefault="007F6BCE" w:rsidP="007F6BCE"/>
    <w:p w14:paraId="2C058452" w14:textId="513BB40C" w:rsidR="007F6BCE" w:rsidRDefault="007F6BCE" w:rsidP="007F6BCE">
      <w:pPr>
        <w:pStyle w:val="Heading1"/>
      </w:pPr>
      <w:r>
        <w:t>USE OF SUBJECT MATTER AS TRADEMARK</w:t>
      </w:r>
    </w:p>
    <w:p w14:paraId="6AB2153A" w14:textId="77777777" w:rsidR="007F6BCE" w:rsidRDefault="007F6BCE" w:rsidP="007F6BCE"/>
    <w:p w14:paraId="7A77222C" w14:textId="316D5764" w:rsidR="007F6BCE" w:rsidRDefault="007F6BCE" w:rsidP="007F6BCE">
      <w:r w:rsidRPr="007F6BCE">
        <w:rPr>
          <w:b/>
          <w:i/>
        </w:rPr>
        <w:t>Title of a Single Creative Work</w:t>
      </w:r>
      <w:r>
        <w:t xml:space="preserve"> (TMEP §1202.08)</w:t>
      </w:r>
    </w:p>
    <w:p w14:paraId="4766EED1" w14:textId="77777777" w:rsidR="007F6BCE" w:rsidRDefault="007F6BCE" w:rsidP="007F6BCE"/>
    <w:p w14:paraId="4CE5514C" w14:textId="35A57390" w:rsidR="007F6BCE" w:rsidRPr="00FD2A34" w:rsidRDefault="007F6BCE" w:rsidP="007F6BCE">
      <w:pPr>
        <w:pStyle w:val="ListParagraph"/>
        <w:numPr>
          <w:ilvl w:val="0"/>
          <w:numId w:val="11"/>
        </w:numPr>
      </w:pPr>
      <w:r w:rsidRPr="007F6BCE">
        <w:t>When a title, or a portion of a title, of a single creative work appears in a composite mark with registrable matter, the title must be disclaimed, if otherwise appropriate, as an unregistrable component of the mark, unless the evidence shows use of the title on a series of creative works.</w:t>
      </w:r>
    </w:p>
    <w:p w14:paraId="146CBAC9" w14:textId="77777777" w:rsidR="007F6BCE" w:rsidRDefault="007F6BCE" w:rsidP="007F6BCE">
      <w:r>
        <w:t>_____________________________________________________________</w:t>
      </w:r>
    </w:p>
    <w:p w14:paraId="2E944014" w14:textId="77777777" w:rsidR="00DA229D" w:rsidRDefault="00DA229D" w:rsidP="00DA229D"/>
    <w:p w14:paraId="0E0E253C" w14:textId="49592DB8" w:rsidR="00DA229D" w:rsidRDefault="00DA229D" w:rsidP="00DA229D">
      <w:pPr>
        <w:rPr>
          <w:b/>
        </w:rPr>
      </w:pPr>
      <w:r>
        <w:rPr>
          <w:b/>
        </w:rPr>
        <w:t>SECTION 2(a)</w:t>
      </w:r>
    </w:p>
    <w:p w14:paraId="74179FC5" w14:textId="77777777" w:rsidR="00DA229D" w:rsidRDefault="00DA229D" w:rsidP="00DA229D">
      <w:pPr>
        <w:rPr>
          <w:b/>
        </w:rPr>
      </w:pPr>
    </w:p>
    <w:p w14:paraId="4FB737ED" w14:textId="0ED8B0B4" w:rsidR="00DA229D" w:rsidRPr="003C1112" w:rsidRDefault="00DA229D" w:rsidP="00DA229D">
      <w:r w:rsidRPr="00DA229D">
        <w:rPr>
          <w:b/>
          <w:i/>
        </w:rPr>
        <w:t>Refusal on Basis of Matter that May Disparage or Bring into Contempt or Disrepute</w:t>
      </w:r>
      <w:r>
        <w:t xml:space="preserve"> (TMEP §§1203 and 1203.03(b))</w:t>
      </w:r>
    </w:p>
    <w:p w14:paraId="42E963BA" w14:textId="77777777" w:rsidR="00DA229D" w:rsidRDefault="00DA229D" w:rsidP="00DA229D">
      <w:pPr>
        <w:rPr>
          <w:b/>
        </w:rPr>
      </w:pPr>
    </w:p>
    <w:p w14:paraId="1C794208" w14:textId="77777777" w:rsidR="00DA229D" w:rsidRDefault="00DA229D" w:rsidP="00DA229D">
      <w:pPr>
        <w:pStyle w:val="ListParagraph"/>
        <w:numPr>
          <w:ilvl w:val="0"/>
          <w:numId w:val="11"/>
        </w:numPr>
      </w:pPr>
      <w:r w:rsidRPr="00DA229D">
        <w:t>Until June 19, 2017, the USPTO examined applications pursuant to the provision in Section 2(a) of the Trademark Act</w:t>
      </w:r>
      <w:r>
        <w:t xml:space="preserve"> </w:t>
      </w:r>
      <w:r w:rsidRPr="00DA229D">
        <w:t>that prohibits the registration of a mark that consists of or comprises matter that may disparage, or bring into contempt or disrepute, persons, institutions, beliefs, or national symbols.</w:t>
      </w:r>
    </w:p>
    <w:p w14:paraId="744C551B" w14:textId="3184E460" w:rsidR="00DA229D" w:rsidRDefault="00DA229D" w:rsidP="005A7CF6">
      <w:pPr>
        <w:pStyle w:val="ListParagraph"/>
        <w:numPr>
          <w:ilvl w:val="0"/>
          <w:numId w:val="11"/>
        </w:numPr>
      </w:pPr>
      <w:r>
        <w:t>I</w:t>
      </w:r>
      <w:r w:rsidRPr="00DA229D">
        <w:t xml:space="preserve">n </w:t>
      </w:r>
      <w:r w:rsidRPr="00DA229D">
        <w:rPr>
          <w:i/>
        </w:rPr>
        <w:t>Matal v. Tam</w:t>
      </w:r>
      <w:r w:rsidRPr="00DA229D">
        <w:t>, 582 U.S. ___</w:t>
      </w:r>
      <w:r w:rsidR="005A7CF6">
        <w:t xml:space="preserve">, </w:t>
      </w:r>
      <w:r w:rsidR="005A7CF6" w:rsidRPr="005A7CF6">
        <w:t>122 USPQ2d 1757 (U.S. 2017)</w:t>
      </w:r>
      <w:r w:rsidR="005A7CF6">
        <w:t xml:space="preserve">, </w:t>
      </w:r>
      <w:r w:rsidRPr="00DA229D">
        <w:t xml:space="preserve">the Supreme Court of the United States held that the disparagement provision of 15 U.S.C. §1052(a) violates the Free Speech </w:t>
      </w:r>
      <w:r>
        <w:t>Clause of the First Amendment.</w:t>
      </w:r>
    </w:p>
    <w:p w14:paraId="6CAF4AFF" w14:textId="2F69F494" w:rsidR="00DA229D" w:rsidRDefault="00DA229D" w:rsidP="00DA229D">
      <w:pPr>
        <w:pStyle w:val="ListParagraph"/>
        <w:numPr>
          <w:ilvl w:val="0"/>
          <w:numId w:val="11"/>
        </w:numPr>
      </w:pPr>
      <w:r w:rsidRPr="00DA229D">
        <w:t>Accordingly, that a mark may “disparage . . . or bring . . . into contempt, or disrepute” is no longer a valid ground on which to refuse registration or cancel a registration.</w:t>
      </w:r>
    </w:p>
    <w:p w14:paraId="5AF4957C" w14:textId="1BDCFCAB" w:rsidR="00DA229D" w:rsidRPr="00B06EF6" w:rsidRDefault="00DA229D" w:rsidP="00DA229D">
      <w:r w:rsidRPr="00B06EF6">
        <w:t>_______________________________________________________</w:t>
      </w:r>
      <w:r>
        <w:t>______</w:t>
      </w:r>
    </w:p>
    <w:p w14:paraId="678D1031" w14:textId="77777777" w:rsidR="007F6BCE" w:rsidRDefault="007F6BCE" w:rsidP="002C36D0"/>
    <w:p w14:paraId="7BA99918" w14:textId="4ED77767" w:rsidR="000F2049" w:rsidRDefault="000F2049" w:rsidP="000F2049">
      <w:pPr>
        <w:rPr>
          <w:b/>
        </w:rPr>
      </w:pPr>
      <w:r>
        <w:rPr>
          <w:b/>
        </w:rPr>
        <w:t>SECTION 2(b)</w:t>
      </w:r>
    </w:p>
    <w:p w14:paraId="346316C5" w14:textId="77777777" w:rsidR="000F2049" w:rsidRDefault="000F2049" w:rsidP="000F2049">
      <w:pPr>
        <w:rPr>
          <w:b/>
        </w:rPr>
      </w:pPr>
    </w:p>
    <w:p w14:paraId="586D5084" w14:textId="690DAEB2" w:rsidR="000F2049" w:rsidRPr="003C1112" w:rsidRDefault="00874D56" w:rsidP="000F2049">
      <w:r>
        <w:rPr>
          <w:b/>
          <w:i/>
        </w:rPr>
        <w:t>Designs T</w:t>
      </w:r>
      <w:r w:rsidR="000F2049" w:rsidRPr="000F2049">
        <w:rPr>
          <w:b/>
          <w:i/>
        </w:rPr>
        <w:t>hat Should Not Be Refused Under §2(b)</w:t>
      </w:r>
      <w:r w:rsidR="000F2049">
        <w:t xml:space="preserve"> (TMEP §1204.02(c))</w:t>
      </w:r>
    </w:p>
    <w:p w14:paraId="74B6C6B2" w14:textId="77777777" w:rsidR="000F2049" w:rsidRDefault="000F2049" w:rsidP="000F2049">
      <w:pPr>
        <w:rPr>
          <w:b/>
        </w:rPr>
      </w:pPr>
    </w:p>
    <w:p w14:paraId="773152CE" w14:textId="77777777" w:rsidR="000F2049" w:rsidRDefault="000F2049" w:rsidP="000F2049">
      <w:pPr>
        <w:pStyle w:val="ListParagraph"/>
        <w:numPr>
          <w:ilvl w:val="0"/>
          <w:numId w:val="11"/>
        </w:numPr>
      </w:pPr>
      <w:r w:rsidRPr="005A75FA">
        <w:lastRenderedPageBreak/>
        <w:t>Designs that do not rise to the level of being emblems of national authority, or emblems of state or municipal authority,</w:t>
      </w:r>
      <w:r>
        <w:t xml:space="preserve"> </w:t>
      </w:r>
      <w:r w:rsidRPr="009E18D5">
        <w:t xml:space="preserve">should not be refused.  </w:t>
      </w:r>
    </w:p>
    <w:p w14:paraId="7CB493D0" w14:textId="77777777" w:rsidR="000F2049" w:rsidRDefault="000F2049" w:rsidP="000F2049">
      <w:pPr>
        <w:pStyle w:val="ListParagraph"/>
        <w:numPr>
          <w:ilvl w:val="0"/>
          <w:numId w:val="11"/>
        </w:numPr>
      </w:pPr>
      <w:r w:rsidRPr="001807F0">
        <w:rPr>
          <w:i/>
        </w:rPr>
        <w:t>Exception</w:t>
      </w:r>
      <w:r>
        <w:t xml:space="preserve">: </w:t>
      </w:r>
      <w:r w:rsidRPr="001807F0">
        <w:t>As a result of the enactment of Public Law 98 525 on October 19, 1984, the initials, seal, and emblem of the United States Marine Corps are “deemed to be insignia of the United States</w:t>
      </w:r>
      <w:r>
        <w:t>.</w:t>
      </w:r>
      <w:r w:rsidRPr="001807F0">
        <w:t xml:space="preserve">” </w:t>
      </w:r>
    </w:p>
    <w:p w14:paraId="7F249501" w14:textId="3697892D" w:rsidR="000F2049" w:rsidRDefault="000F2049" w:rsidP="000F2049">
      <w:pPr>
        <w:pStyle w:val="ListParagraph"/>
        <w:numPr>
          <w:ilvl w:val="0"/>
          <w:numId w:val="11"/>
        </w:numPr>
      </w:pPr>
      <w:r>
        <w:t>The amendments adding this section do not affect rights that vested before October 19, 1984.  Applications claiming use after October 19, 1984 must be refused.</w:t>
      </w:r>
    </w:p>
    <w:p w14:paraId="39754445" w14:textId="77777777" w:rsidR="000F2049" w:rsidRPr="00B06EF6" w:rsidRDefault="000F2049" w:rsidP="000F2049">
      <w:r w:rsidRPr="00B06EF6">
        <w:t>_______________________________________________________</w:t>
      </w:r>
      <w:r>
        <w:t>______</w:t>
      </w:r>
    </w:p>
    <w:p w14:paraId="29DE39D1" w14:textId="77777777" w:rsidR="000F2049" w:rsidRDefault="000F2049" w:rsidP="002C36D0"/>
    <w:p w14:paraId="1A639DA3" w14:textId="5AE3C4E7" w:rsidR="00874D56" w:rsidRDefault="00874D56" w:rsidP="00874D56">
      <w:pPr>
        <w:rPr>
          <w:b/>
        </w:rPr>
      </w:pPr>
      <w:r>
        <w:rPr>
          <w:b/>
        </w:rPr>
        <w:t>DESCRIPTIVENESS</w:t>
      </w:r>
    </w:p>
    <w:p w14:paraId="7AA335AD" w14:textId="77777777" w:rsidR="00874D56" w:rsidRDefault="00874D56" w:rsidP="00874D56">
      <w:pPr>
        <w:rPr>
          <w:b/>
        </w:rPr>
      </w:pPr>
    </w:p>
    <w:p w14:paraId="624F2847" w14:textId="00524BBD" w:rsidR="00874D56" w:rsidRPr="003C1112" w:rsidRDefault="00874D56" w:rsidP="00874D56">
      <w:r w:rsidRPr="00874D56">
        <w:rPr>
          <w:b/>
          <w:i/>
        </w:rPr>
        <w:t>Dictionary Listing</w:t>
      </w:r>
      <w:r>
        <w:t xml:space="preserve"> (TMEP §1209.03(b))</w:t>
      </w:r>
    </w:p>
    <w:p w14:paraId="11C92481" w14:textId="77777777" w:rsidR="00874D56" w:rsidRDefault="00874D56" w:rsidP="00874D56">
      <w:pPr>
        <w:rPr>
          <w:b/>
        </w:rPr>
      </w:pPr>
    </w:p>
    <w:p w14:paraId="083D915B" w14:textId="438588D1" w:rsidR="00874D56" w:rsidRDefault="00874D56" w:rsidP="00874D56">
      <w:pPr>
        <w:pStyle w:val="ListParagraph"/>
        <w:numPr>
          <w:ilvl w:val="0"/>
          <w:numId w:val="25"/>
        </w:numPr>
      </w:pPr>
      <w:r>
        <w:t>I</w:t>
      </w:r>
      <w:r w:rsidRPr="00874D56">
        <w:t xml:space="preserve">n terms of establishing a term’s likely meaning to consumers, evidence of the current usage may carry more weight than an older dictionary meaning.  </w:t>
      </w:r>
      <w:r w:rsidRPr="00874D56">
        <w:rPr>
          <w:i/>
        </w:rPr>
        <w:t>See In re Well Living Lab Inc.</w:t>
      </w:r>
      <w:r w:rsidRPr="00874D56">
        <w:t>, 122 USPQ2d 1777, 1781 (TTAB 2017)</w:t>
      </w:r>
      <w:r>
        <w:t>.</w:t>
      </w:r>
    </w:p>
    <w:p w14:paraId="248954C3" w14:textId="77777777" w:rsidR="00874D56" w:rsidRDefault="00874D56" w:rsidP="00874D56"/>
    <w:p w14:paraId="4CB90267" w14:textId="1B1A246B" w:rsidR="00874D56" w:rsidRDefault="00874D56" w:rsidP="00874D56">
      <w:pPr>
        <w:rPr>
          <w:lang w:val="en"/>
        </w:rPr>
      </w:pPr>
      <w:r w:rsidRPr="00874D56">
        <w:rPr>
          <w:b/>
          <w:i/>
          <w:lang w:val="en"/>
        </w:rPr>
        <w:t>Historical Figure Names and Fictional Character Names</w:t>
      </w:r>
      <w:r>
        <w:rPr>
          <w:lang w:val="en"/>
        </w:rPr>
        <w:t xml:space="preserve"> (TMEP §1209.03(x))</w:t>
      </w:r>
    </w:p>
    <w:p w14:paraId="0B8F7F7A" w14:textId="77777777" w:rsidR="00874D56" w:rsidRDefault="00874D56" w:rsidP="00874D56">
      <w:pPr>
        <w:rPr>
          <w:lang w:val="en"/>
        </w:rPr>
      </w:pPr>
    </w:p>
    <w:p w14:paraId="0809C47E" w14:textId="19003200" w:rsidR="00874D56" w:rsidRDefault="00874D56" w:rsidP="00874D56">
      <w:pPr>
        <w:pStyle w:val="ListParagraph"/>
        <w:numPr>
          <w:ilvl w:val="0"/>
          <w:numId w:val="25"/>
        </w:numPr>
      </w:pPr>
      <w:r w:rsidRPr="00874D56">
        <w:t>The determination of whether a mark comprising the name of an historical figure or a fictional character serves as a source identifier or is merely descriptive turns on</w:t>
      </w:r>
      <w:r>
        <w:t>:</w:t>
      </w:r>
      <w:r w:rsidRPr="00874D56">
        <w:t xml:space="preserve"> </w:t>
      </w:r>
    </w:p>
    <w:p w14:paraId="69459450" w14:textId="77777777" w:rsidR="00874D56" w:rsidRDefault="00874D56" w:rsidP="00874D56">
      <w:pPr>
        <w:pStyle w:val="ListParagraph"/>
        <w:numPr>
          <w:ilvl w:val="1"/>
          <w:numId w:val="25"/>
        </w:numPr>
      </w:pPr>
      <w:r w:rsidRPr="00874D56">
        <w:t xml:space="preserve">whether consumers link the mark to a particular commercial entity or </w:t>
      </w:r>
    </w:p>
    <w:p w14:paraId="54F3E015" w14:textId="2D57B67A" w:rsidR="00874D56" w:rsidRDefault="00874D56" w:rsidP="00874D56">
      <w:pPr>
        <w:pStyle w:val="ListParagraph"/>
        <w:numPr>
          <w:ilvl w:val="1"/>
          <w:numId w:val="25"/>
        </w:numPr>
      </w:pPr>
      <w:r w:rsidRPr="00874D56">
        <w:t xml:space="preserve">whether others have a competitive need to use the name to describe their products.  </w:t>
      </w:r>
    </w:p>
    <w:p w14:paraId="26010E7F" w14:textId="51DA7999" w:rsidR="00874D56" w:rsidRPr="00874D56" w:rsidRDefault="00874D56" w:rsidP="00874D56">
      <w:pPr>
        <w:pStyle w:val="ListParagraph"/>
        <w:numPr>
          <w:ilvl w:val="0"/>
          <w:numId w:val="25"/>
        </w:numPr>
      </w:pPr>
      <w:r>
        <w:t>T</w:t>
      </w:r>
      <w:r w:rsidRPr="00874D56">
        <w:t>he case law has drawn a distinction between situations where the applicant owns intellectual property rights in the work(s) from which the character arose and those where the character is a historical figure or is in the public domain</w:t>
      </w:r>
    </w:p>
    <w:p w14:paraId="6463A2A1" w14:textId="19EBC7BC" w:rsidR="00874D56" w:rsidRDefault="00874D56" w:rsidP="002C36D0">
      <w:r w:rsidRPr="00B06EF6">
        <w:t>_______________________________________________________</w:t>
      </w:r>
      <w:r>
        <w:t>______</w:t>
      </w:r>
    </w:p>
    <w:p w14:paraId="38F9A51E" w14:textId="77777777" w:rsidR="00874D56" w:rsidRDefault="00874D56" w:rsidP="002C36D0"/>
    <w:p w14:paraId="499E7900" w14:textId="2BD1A430" w:rsidR="00874D56" w:rsidRDefault="00874D56" w:rsidP="00874D56">
      <w:pPr>
        <w:rPr>
          <w:b/>
        </w:rPr>
      </w:pPr>
      <w:r>
        <w:rPr>
          <w:b/>
        </w:rPr>
        <w:t>SURNAMES</w:t>
      </w:r>
    </w:p>
    <w:p w14:paraId="5F94DF9F" w14:textId="77777777" w:rsidR="00874D56" w:rsidRDefault="00874D56" w:rsidP="00874D56">
      <w:pPr>
        <w:rPr>
          <w:b/>
        </w:rPr>
      </w:pPr>
    </w:p>
    <w:p w14:paraId="6D53C2CE" w14:textId="779A2A25" w:rsidR="00874D56" w:rsidRPr="003C1112" w:rsidRDefault="00874D56" w:rsidP="00874D56">
      <w:r w:rsidRPr="00874D56">
        <w:rPr>
          <w:b/>
          <w:i/>
        </w:rPr>
        <w:t>Surname Combined with Additional Matter</w:t>
      </w:r>
      <w:r>
        <w:t xml:space="preserve"> (TMEP §§1211.01(b) and (b)(vi))</w:t>
      </w:r>
    </w:p>
    <w:p w14:paraId="41655631" w14:textId="77777777" w:rsidR="00874D56" w:rsidRDefault="00874D56" w:rsidP="00874D56">
      <w:pPr>
        <w:rPr>
          <w:b/>
        </w:rPr>
      </w:pPr>
    </w:p>
    <w:p w14:paraId="703A4B5C" w14:textId="3F7F0DA2" w:rsidR="00874D56" w:rsidRDefault="00874D56" w:rsidP="00874D56">
      <w:pPr>
        <w:pStyle w:val="ListParagraph"/>
        <w:numPr>
          <w:ilvl w:val="0"/>
          <w:numId w:val="23"/>
        </w:numPr>
      </w:pPr>
      <w:r>
        <w:t>T</w:t>
      </w:r>
      <w:r w:rsidRPr="00504C3F">
        <w:t xml:space="preserve">he </w:t>
      </w:r>
      <w:r>
        <w:t>determination of whether a word that, standing by itself, would be primarily merely a surname, would be perceived by the public as a surname when coupled with additional matter involves:</w:t>
      </w:r>
    </w:p>
    <w:p w14:paraId="2BA54373" w14:textId="77777777" w:rsidR="00CF5280" w:rsidRDefault="00874D56" w:rsidP="00874D56">
      <w:pPr>
        <w:pStyle w:val="ListParagraph"/>
        <w:numPr>
          <w:ilvl w:val="1"/>
          <w:numId w:val="23"/>
        </w:numPr>
      </w:pPr>
      <w:r>
        <w:t>assessing the distinctivene</w:t>
      </w:r>
      <w:r w:rsidR="00CF5280">
        <w:t>ss of the additional matter and</w:t>
      </w:r>
    </w:p>
    <w:p w14:paraId="4328FFC0" w14:textId="2C6F28DA" w:rsidR="00874D56" w:rsidRPr="003C1112" w:rsidRDefault="00CF5280" w:rsidP="00874D56">
      <w:pPr>
        <w:pStyle w:val="ListParagraph"/>
        <w:numPr>
          <w:ilvl w:val="1"/>
          <w:numId w:val="23"/>
        </w:numPr>
      </w:pPr>
      <w:r>
        <w:t xml:space="preserve">assessing </w:t>
      </w:r>
      <w:r w:rsidR="00874D56">
        <w:t xml:space="preserve">whether its addition to the surname </w:t>
      </w:r>
      <w:r w:rsidR="00874D56" w:rsidRPr="00504C3F">
        <w:t>alters the primary significance of the mark as a whole</w:t>
      </w:r>
      <w:r w:rsidR="00874D56">
        <w:t xml:space="preserve"> to the purchasing public</w:t>
      </w:r>
      <w:r w:rsidR="00874D56" w:rsidRPr="00504C3F">
        <w:t>.</w:t>
      </w:r>
    </w:p>
    <w:p w14:paraId="37331AEF" w14:textId="772F9A1F" w:rsidR="00CF5280" w:rsidRPr="00A3462B" w:rsidRDefault="00874D56" w:rsidP="002C36D0">
      <w:r w:rsidRPr="00B06EF6">
        <w:t>_______________________________________________________</w:t>
      </w:r>
      <w:r>
        <w:t>______</w:t>
      </w:r>
    </w:p>
    <w:p w14:paraId="78388A93" w14:textId="77777777" w:rsidR="00A3462B" w:rsidRDefault="00A3462B" w:rsidP="002C36D0">
      <w:pPr>
        <w:rPr>
          <w:b/>
        </w:rPr>
      </w:pPr>
    </w:p>
    <w:p w14:paraId="1E76AA48" w14:textId="4D967592" w:rsidR="003C39DD" w:rsidRDefault="003C1112" w:rsidP="002C36D0">
      <w:pPr>
        <w:rPr>
          <w:b/>
        </w:rPr>
      </w:pPr>
      <w:bookmarkStart w:id="0" w:name="_GoBack"/>
      <w:bookmarkEnd w:id="0"/>
      <w:r>
        <w:rPr>
          <w:b/>
        </w:rPr>
        <w:t>LAWFUL USE</w:t>
      </w:r>
    </w:p>
    <w:p w14:paraId="1142DFF5" w14:textId="77777777" w:rsidR="003C1112" w:rsidRDefault="003C1112" w:rsidP="002C36D0">
      <w:pPr>
        <w:rPr>
          <w:b/>
        </w:rPr>
      </w:pPr>
    </w:p>
    <w:p w14:paraId="5A7D65EF" w14:textId="25F57FC1" w:rsidR="003C1112" w:rsidRPr="003C1112" w:rsidRDefault="003C1112" w:rsidP="002C36D0">
      <w:r w:rsidRPr="003C1112">
        <w:rPr>
          <w:b/>
          <w:i/>
        </w:rPr>
        <w:t>Ivory, Bone, Whalebone, Horn, and Tusks</w:t>
      </w:r>
      <w:r>
        <w:t xml:space="preserve"> (TMEP §1401.14(f))</w:t>
      </w:r>
    </w:p>
    <w:p w14:paraId="17BC778A" w14:textId="77777777" w:rsidR="003C1112" w:rsidRDefault="003C1112" w:rsidP="002C36D0">
      <w:pPr>
        <w:rPr>
          <w:b/>
        </w:rPr>
      </w:pPr>
    </w:p>
    <w:p w14:paraId="626FE3F9" w14:textId="75EDF861" w:rsidR="003C1112" w:rsidRDefault="003C1112" w:rsidP="003C1112">
      <w:pPr>
        <w:pStyle w:val="ListParagraph"/>
        <w:numPr>
          <w:ilvl w:val="0"/>
          <w:numId w:val="23"/>
        </w:numPr>
      </w:pPr>
      <w:r w:rsidRPr="003C1112">
        <w:t xml:space="preserve">Identifications that include “ivory,” “bone,” “whalebone,” “horn,” or “tusks” may necessitate an inquiry regarding lawful use in commerce in connection with, for example, the Endangered Species Act (ESA), the African Elephant Conservation Act, and/or the Marine Mammal Protection Act (MMPA).  </w:t>
      </w:r>
    </w:p>
    <w:p w14:paraId="20294B64" w14:textId="00BD04CB" w:rsidR="003C1112" w:rsidRPr="003C1112" w:rsidRDefault="003C1112" w:rsidP="003C1112">
      <w:pPr>
        <w:pStyle w:val="ListParagraph"/>
        <w:numPr>
          <w:ilvl w:val="0"/>
          <w:numId w:val="23"/>
        </w:numPr>
      </w:pPr>
      <w:r w:rsidRPr="003C1112">
        <w:t>ID Manual entries related to those goods were deleted effective January 1, 2017.</w:t>
      </w:r>
    </w:p>
    <w:p w14:paraId="59DF619D" w14:textId="20A5DF5B" w:rsidR="00B06EF6" w:rsidRPr="00B06EF6" w:rsidRDefault="00B06EF6" w:rsidP="00B06EF6">
      <w:r w:rsidRPr="00B06EF6">
        <w:t>_______________________________________________________</w:t>
      </w:r>
      <w:r>
        <w:t>______</w:t>
      </w:r>
    </w:p>
    <w:p w14:paraId="3CCAC272" w14:textId="77777777" w:rsidR="00B06EF6" w:rsidRDefault="00B06EF6" w:rsidP="002C36D0">
      <w:pPr>
        <w:rPr>
          <w:b/>
        </w:rPr>
      </w:pPr>
    </w:p>
    <w:p w14:paraId="7A82DE7D" w14:textId="792B554D" w:rsidR="002A2353" w:rsidRDefault="003C1112" w:rsidP="002C36D0">
      <w:pPr>
        <w:rPr>
          <w:b/>
        </w:rPr>
      </w:pPr>
      <w:r>
        <w:rPr>
          <w:b/>
        </w:rPr>
        <w:t>IDENTIFICATION OF GOODS AND SERVICES</w:t>
      </w:r>
    </w:p>
    <w:p w14:paraId="5632E295" w14:textId="77777777" w:rsidR="003C1112" w:rsidRDefault="003C1112" w:rsidP="002C36D0">
      <w:pPr>
        <w:rPr>
          <w:b/>
        </w:rPr>
      </w:pPr>
    </w:p>
    <w:p w14:paraId="0E746FC0" w14:textId="59DA50C2" w:rsidR="003C1112" w:rsidRDefault="003C1112" w:rsidP="002C36D0">
      <w:r w:rsidRPr="003C1112">
        <w:rPr>
          <w:b/>
          <w:i/>
        </w:rPr>
        <w:t>Specifying the Goods/Services</w:t>
      </w:r>
      <w:r>
        <w:rPr>
          <w:b/>
        </w:rPr>
        <w:t xml:space="preserve"> </w:t>
      </w:r>
      <w:r w:rsidRPr="003C1112">
        <w:t>(TMEP §</w:t>
      </w:r>
      <w:r w:rsidR="007F6BCE">
        <w:t>§</w:t>
      </w:r>
      <w:r w:rsidRPr="003C1112">
        <w:t>1402.01</w:t>
      </w:r>
      <w:r w:rsidR="007F6BCE">
        <w:t xml:space="preserve"> and </w:t>
      </w:r>
      <w:r w:rsidR="007F6BCE" w:rsidRPr="007F6BCE">
        <w:t>1402.06(a)</w:t>
      </w:r>
      <w:r w:rsidRPr="003C1112">
        <w:t>)</w:t>
      </w:r>
    </w:p>
    <w:p w14:paraId="40B72789" w14:textId="77777777" w:rsidR="003C1112" w:rsidRDefault="003C1112" w:rsidP="002C36D0"/>
    <w:p w14:paraId="4D7497D9" w14:textId="361EAE87" w:rsidR="003C1112" w:rsidRDefault="003C1112" w:rsidP="003C1112">
      <w:pPr>
        <w:pStyle w:val="ListParagraph"/>
        <w:numPr>
          <w:ilvl w:val="0"/>
          <w:numId w:val="24"/>
        </w:numPr>
      </w:pPr>
      <w:r w:rsidRPr="003C1112">
        <w:t xml:space="preserve">An identification that fails to identify the goods and services with specificity is indefinite, either because the nature of the goods or services is not clear or because the wording is so broad that it may include goods or services in more than one class.  </w:t>
      </w:r>
    </w:p>
    <w:p w14:paraId="521A3F58" w14:textId="2905C8E4" w:rsidR="003C1112" w:rsidRPr="003C1112" w:rsidRDefault="003C1112" w:rsidP="003C1112">
      <w:pPr>
        <w:pStyle w:val="ListParagraph"/>
        <w:numPr>
          <w:ilvl w:val="0"/>
          <w:numId w:val="24"/>
        </w:numPr>
      </w:pPr>
      <w:r w:rsidRPr="003C1112">
        <w:t>Wording such as “included in this class” is not the common name of particular goods or services.  If an identification includes wording such as “included in this class,” “belonging in this class,” or “excluding goods/services in other classes,” or the like, the examining attorney will require the applicant to delete such wording because it does not identify a particular good or service</w:t>
      </w:r>
      <w:r>
        <w:t>.</w:t>
      </w:r>
    </w:p>
    <w:p w14:paraId="0A62770E" w14:textId="090DB6F3" w:rsidR="00DE758E" w:rsidRDefault="00DE758E" w:rsidP="00DE758E">
      <w:r>
        <w:t>_____________________________________________________________</w:t>
      </w:r>
    </w:p>
    <w:p w14:paraId="38C57E41" w14:textId="71048E5B" w:rsidR="005D149D" w:rsidRDefault="005D149D" w:rsidP="007F6BCE"/>
    <w:p w14:paraId="684F8B72" w14:textId="4EA57E4A" w:rsidR="007F6BCE" w:rsidRDefault="007F6BCE" w:rsidP="007F6BCE">
      <w:pPr>
        <w:rPr>
          <w:b/>
        </w:rPr>
      </w:pPr>
      <w:r w:rsidRPr="007F6BCE">
        <w:rPr>
          <w:b/>
        </w:rPr>
        <w:t>POST REGISTRATION</w:t>
      </w:r>
    </w:p>
    <w:p w14:paraId="3DEAA99C" w14:textId="77777777" w:rsidR="007F6BCE" w:rsidRDefault="007F6BCE" w:rsidP="007F6BCE">
      <w:pPr>
        <w:rPr>
          <w:b/>
        </w:rPr>
      </w:pPr>
    </w:p>
    <w:p w14:paraId="6E799F82" w14:textId="080C4241" w:rsidR="007F6BCE" w:rsidRPr="007F6BCE" w:rsidRDefault="007F6BCE" w:rsidP="007F6BCE">
      <w:pPr>
        <w:rPr>
          <w:b/>
        </w:rPr>
      </w:pPr>
      <w:r w:rsidRPr="007F6BCE">
        <w:rPr>
          <w:b/>
          <w:i/>
        </w:rPr>
        <w:t>Amendment of Mark</w:t>
      </w:r>
      <w:r>
        <w:rPr>
          <w:b/>
        </w:rPr>
        <w:t xml:space="preserve"> </w:t>
      </w:r>
      <w:r w:rsidRPr="007F6BCE">
        <w:rPr>
          <w:b/>
          <w:i/>
        </w:rPr>
        <w:t>in Registration Based on §1 or §44</w:t>
      </w:r>
      <w:r w:rsidRPr="007F6BCE">
        <w:rPr>
          <w:b/>
        </w:rPr>
        <w:t xml:space="preserve"> </w:t>
      </w:r>
      <w:r w:rsidRPr="007F6BCE">
        <w:t>(TMEP §1609.02)</w:t>
      </w:r>
    </w:p>
    <w:p w14:paraId="12BE667E" w14:textId="77777777" w:rsidR="004E751E" w:rsidRDefault="004E751E" w:rsidP="004E751E"/>
    <w:p w14:paraId="3D6D0A18" w14:textId="0D0BD598" w:rsidR="00EE2B9B" w:rsidRPr="004E751E" w:rsidRDefault="007F6BCE" w:rsidP="007F6BCE">
      <w:pPr>
        <w:pStyle w:val="ListParagraph"/>
        <w:numPr>
          <w:ilvl w:val="0"/>
          <w:numId w:val="11"/>
        </w:numPr>
      </w:pPr>
      <w:r>
        <w:t>A request to add a standard-</w:t>
      </w:r>
      <w:r w:rsidRPr="007F6BCE">
        <w:t xml:space="preserve">character claim to a mark designated as a typed drawing must be submitted pursuant to §7(e) and meet all of the requirements for an amendment to a registration that involves a change in the mark, including a new drawing, supporting specimen per class, and declaration.  </w:t>
      </w:r>
    </w:p>
    <w:p w14:paraId="6C953C89" w14:textId="77777777" w:rsidR="004E751E" w:rsidRDefault="004E751E" w:rsidP="004E751E">
      <w:r>
        <w:t>_____________________________________________________________</w:t>
      </w:r>
    </w:p>
    <w:sectPr w:rsidR="004E751E">
      <w:headerReference w:type="even"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3654" w14:textId="77777777" w:rsidR="00150653" w:rsidRDefault="00150653">
      <w:r>
        <w:separator/>
      </w:r>
    </w:p>
    <w:p w14:paraId="0D180571" w14:textId="77777777" w:rsidR="00150653" w:rsidRDefault="00150653"/>
    <w:p w14:paraId="6D957A1E" w14:textId="77777777" w:rsidR="00150653" w:rsidRDefault="00150653" w:rsidP="00801ABB"/>
    <w:p w14:paraId="1A7AC856" w14:textId="77777777" w:rsidR="00150653" w:rsidRDefault="00150653" w:rsidP="00801ABB"/>
    <w:p w14:paraId="73645365" w14:textId="77777777" w:rsidR="00150653" w:rsidRDefault="00150653" w:rsidP="00943EFD"/>
    <w:p w14:paraId="6AE046D2" w14:textId="77777777" w:rsidR="00150653" w:rsidRDefault="00150653" w:rsidP="003355B2"/>
    <w:p w14:paraId="3909CD51" w14:textId="77777777" w:rsidR="00150653" w:rsidRDefault="00150653" w:rsidP="003355B2"/>
    <w:p w14:paraId="48166CF9" w14:textId="77777777" w:rsidR="00150653" w:rsidRDefault="00150653" w:rsidP="007F1DC0"/>
    <w:p w14:paraId="1F5F706A" w14:textId="77777777" w:rsidR="00150653" w:rsidRDefault="00150653" w:rsidP="007F1DC0"/>
    <w:p w14:paraId="2B6851D3" w14:textId="77777777" w:rsidR="00150653" w:rsidRDefault="00150653" w:rsidP="00151665"/>
  </w:endnote>
  <w:endnote w:type="continuationSeparator" w:id="0">
    <w:p w14:paraId="18D7E676" w14:textId="77777777" w:rsidR="00150653" w:rsidRDefault="00150653">
      <w:r>
        <w:continuationSeparator/>
      </w:r>
    </w:p>
    <w:p w14:paraId="2DB0F990" w14:textId="77777777" w:rsidR="00150653" w:rsidRDefault="00150653"/>
    <w:p w14:paraId="7962C1BB" w14:textId="77777777" w:rsidR="00150653" w:rsidRDefault="00150653" w:rsidP="00801ABB"/>
    <w:p w14:paraId="5CAF1A85" w14:textId="77777777" w:rsidR="00150653" w:rsidRDefault="00150653" w:rsidP="00801ABB"/>
    <w:p w14:paraId="44993642" w14:textId="77777777" w:rsidR="00150653" w:rsidRDefault="00150653" w:rsidP="00943EFD"/>
    <w:p w14:paraId="44C368EE" w14:textId="77777777" w:rsidR="00150653" w:rsidRDefault="00150653" w:rsidP="003355B2"/>
    <w:p w14:paraId="179D3BF8" w14:textId="77777777" w:rsidR="00150653" w:rsidRDefault="00150653" w:rsidP="003355B2"/>
    <w:p w14:paraId="061253D7" w14:textId="77777777" w:rsidR="00150653" w:rsidRDefault="00150653" w:rsidP="007F1DC0"/>
    <w:p w14:paraId="0827222C" w14:textId="77777777" w:rsidR="00150653" w:rsidRDefault="00150653" w:rsidP="007F1DC0"/>
    <w:p w14:paraId="605694E6" w14:textId="77777777" w:rsidR="00150653" w:rsidRDefault="00150653" w:rsidP="00151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B6BFB"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A4696" w14:textId="77777777" w:rsidR="00F57D98" w:rsidRDefault="00F57D98">
    <w:pPr>
      <w:pStyle w:val="Footer"/>
    </w:pPr>
  </w:p>
  <w:p w14:paraId="1CF2D07F" w14:textId="77777777" w:rsidR="00F57D98" w:rsidRDefault="00F57D98"/>
  <w:p w14:paraId="2A35501C" w14:textId="77777777" w:rsidR="00F57D98" w:rsidRDefault="00F57D98" w:rsidP="00801ABB"/>
  <w:p w14:paraId="5A4F0FF2" w14:textId="77777777" w:rsidR="00F57D98" w:rsidRDefault="00F57D98" w:rsidP="00801ABB"/>
  <w:p w14:paraId="2623A596" w14:textId="77777777" w:rsidR="00F57D98" w:rsidRDefault="00F57D98" w:rsidP="00943EFD"/>
  <w:p w14:paraId="409429D5" w14:textId="77777777" w:rsidR="00F57D98" w:rsidRDefault="00F57D98" w:rsidP="003355B2"/>
  <w:p w14:paraId="0F15AF04" w14:textId="77777777" w:rsidR="00F57D98" w:rsidRDefault="00F57D98" w:rsidP="003355B2"/>
  <w:p w14:paraId="4DE7EFBD" w14:textId="77777777" w:rsidR="00F57D98" w:rsidRDefault="00F57D98" w:rsidP="007F1DC0"/>
  <w:p w14:paraId="55E503D8" w14:textId="77777777" w:rsidR="00F57D98" w:rsidRDefault="00F57D98" w:rsidP="007F1DC0"/>
  <w:p w14:paraId="4DD15BAC" w14:textId="77777777" w:rsidR="00F57D98" w:rsidRDefault="00F57D98" w:rsidP="001516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4DC" w14:textId="77777777" w:rsidR="00F57D98" w:rsidRDefault="00F57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462B">
      <w:rPr>
        <w:rStyle w:val="PageNumber"/>
        <w:noProof/>
      </w:rPr>
      <w:t>5</w:t>
    </w:r>
    <w:r>
      <w:rPr>
        <w:rStyle w:val="PageNumber"/>
      </w:rPr>
      <w:fldChar w:fldCharType="end"/>
    </w:r>
  </w:p>
  <w:p w14:paraId="138631C1" w14:textId="77777777" w:rsidR="00F57D98" w:rsidRPr="005E5DFA" w:rsidRDefault="00F57D98" w:rsidP="00151665">
    <w:pPr>
      <w:rPr>
        <w:szCs w:val="24"/>
      </w:rPr>
    </w:pPr>
    <w:r>
      <w:rPr>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52774" w14:textId="77777777" w:rsidR="00150653" w:rsidRDefault="00150653">
      <w:r>
        <w:separator/>
      </w:r>
    </w:p>
    <w:p w14:paraId="4287761E" w14:textId="77777777" w:rsidR="00150653" w:rsidRDefault="00150653"/>
    <w:p w14:paraId="61CB22BB" w14:textId="77777777" w:rsidR="00150653" w:rsidRDefault="00150653" w:rsidP="00801ABB"/>
    <w:p w14:paraId="490044DD" w14:textId="77777777" w:rsidR="00150653" w:rsidRDefault="00150653" w:rsidP="00801ABB"/>
    <w:p w14:paraId="2A5E9F77" w14:textId="77777777" w:rsidR="00150653" w:rsidRDefault="00150653" w:rsidP="00943EFD"/>
    <w:p w14:paraId="0B184F28" w14:textId="77777777" w:rsidR="00150653" w:rsidRDefault="00150653" w:rsidP="003355B2"/>
    <w:p w14:paraId="3EA16A7A" w14:textId="77777777" w:rsidR="00150653" w:rsidRDefault="00150653" w:rsidP="003355B2"/>
    <w:p w14:paraId="517EA5F5" w14:textId="77777777" w:rsidR="00150653" w:rsidRDefault="00150653" w:rsidP="007F1DC0"/>
    <w:p w14:paraId="02B18777" w14:textId="77777777" w:rsidR="00150653" w:rsidRDefault="00150653" w:rsidP="007F1DC0"/>
    <w:p w14:paraId="6FA6A370" w14:textId="77777777" w:rsidR="00150653" w:rsidRDefault="00150653" w:rsidP="00151665"/>
  </w:footnote>
  <w:footnote w:type="continuationSeparator" w:id="0">
    <w:p w14:paraId="2D791B1B" w14:textId="77777777" w:rsidR="00150653" w:rsidRDefault="00150653">
      <w:r>
        <w:continuationSeparator/>
      </w:r>
    </w:p>
    <w:p w14:paraId="1A11A8E3" w14:textId="77777777" w:rsidR="00150653" w:rsidRDefault="00150653"/>
    <w:p w14:paraId="3288CA48" w14:textId="77777777" w:rsidR="00150653" w:rsidRDefault="00150653" w:rsidP="00801ABB"/>
    <w:p w14:paraId="44C50060" w14:textId="77777777" w:rsidR="00150653" w:rsidRDefault="00150653" w:rsidP="00801ABB"/>
    <w:p w14:paraId="54AC4302" w14:textId="77777777" w:rsidR="00150653" w:rsidRDefault="00150653" w:rsidP="00943EFD"/>
    <w:p w14:paraId="6F937F49" w14:textId="77777777" w:rsidR="00150653" w:rsidRDefault="00150653" w:rsidP="003355B2"/>
    <w:p w14:paraId="08871260" w14:textId="77777777" w:rsidR="00150653" w:rsidRDefault="00150653" w:rsidP="003355B2"/>
    <w:p w14:paraId="40D8B448" w14:textId="77777777" w:rsidR="00150653" w:rsidRDefault="00150653" w:rsidP="007F1DC0"/>
    <w:p w14:paraId="54890BF7" w14:textId="77777777" w:rsidR="00150653" w:rsidRDefault="00150653" w:rsidP="007F1DC0"/>
    <w:p w14:paraId="289CEC75" w14:textId="77777777" w:rsidR="00150653" w:rsidRDefault="00150653" w:rsidP="001516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3023" w14:textId="77777777" w:rsidR="00F57D98" w:rsidRDefault="00F57D98"/>
  <w:p w14:paraId="455C828F" w14:textId="77777777" w:rsidR="00F57D98" w:rsidRDefault="00F57D98"/>
  <w:p w14:paraId="09098B9C" w14:textId="77777777" w:rsidR="00F57D98" w:rsidRDefault="00F57D98" w:rsidP="00801ABB"/>
  <w:p w14:paraId="4E3D831D" w14:textId="77777777" w:rsidR="00F57D98" w:rsidRDefault="00F57D98" w:rsidP="00943EFD"/>
  <w:p w14:paraId="28DBC627" w14:textId="77777777" w:rsidR="00F57D98" w:rsidRDefault="00F57D98" w:rsidP="003355B2"/>
  <w:p w14:paraId="124D9F1C" w14:textId="77777777" w:rsidR="00F57D98" w:rsidRDefault="00F57D98" w:rsidP="003355B2"/>
  <w:p w14:paraId="46DDBFF3" w14:textId="77777777" w:rsidR="00F57D98" w:rsidRDefault="00F57D98" w:rsidP="007F1DC0"/>
  <w:p w14:paraId="4419B1C2" w14:textId="77777777" w:rsidR="00F57D98" w:rsidRDefault="00F57D98" w:rsidP="007F1DC0"/>
  <w:p w14:paraId="28C52935" w14:textId="77777777" w:rsidR="00F57D98" w:rsidRDefault="00F57D98" w:rsidP="00151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587D" w14:textId="77777777" w:rsidR="00F57D98" w:rsidRPr="00BA3899" w:rsidRDefault="00F57D98">
    <w:pPr>
      <w:pStyle w:val="Header"/>
      <w:rPr>
        <w:sz w:val="28"/>
        <w:szCs w:val="28"/>
        <w14:shadow w14:blurRad="50800" w14:dist="38100" w14:dir="2700000" w14:sx="100000" w14:sy="100000" w14:kx="0" w14:ky="0" w14:algn="tl">
          <w14:srgbClr w14:val="000000">
            <w14:alpha w14:val="60000"/>
          </w14:srgbClr>
        </w14:shadow>
      </w:rPr>
    </w:pPr>
    <w:r w:rsidRPr="00BA3899">
      <w:rPr>
        <w:sz w:val="28"/>
        <w:szCs w:val="28"/>
        <w14:shadow w14:blurRad="50800" w14:dist="38100" w14:dir="2700000" w14:sx="100000" w14:sy="100000" w14:kx="0" w14:ky="0" w14:algn="tl">
          <w14:srgbClr w14:val="000000">
            <w14:alpha w14:val="60000"/>
          </w14:srgbClr>
        </w14:shadow>
      </w:rPr>
      <w:tab/>
    </w:r>
    <w:r w:rsidRPr="00BA3899">
      <w:rPr>
        <w:sz w:val="28"/>
        <w:szCs w:val="28"/>
        <w14:shadow w14:blurRad="50800" w14:dist="38100" w14:dir="2700000" w14:sx="100000" w14:sy="100000" w14:kx="0" w14:ky="0" w14:algn="tl">
          <w14:srgbClr w14:val="000000">
            <w14:alpha w14:val="60000"/>
          </w14:srgbClr>
        </w14:shad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E4DF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5F84"/>
    <w:multiLevelType w:val="hybridMultilevel"/>
    <w:tmpl w:val="2C4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5CA9"/>
    <w:multiLevelType w:val="hybridMultilevel"/>
    <w:tmpl w:val="2BF8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24CB"/>
    <w:multiLevelType w:val="hybridMultilevel"/>
    <w:tmpl w:val="86E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D27A5"/>
    <w:multiLevelType w:val="hybridMultilevel"/>
    <w:tmpl w:val="18C2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E6A36"/>
    <w:multiLevelType w:val="hybridMultilevel"/>
    <w:tmpl w:val="88CC5C96"/>
    <w:lvl w:ilvl="0" w:tplc="04090001">
      <w:start w:val="1"/>
      <w:numFmt w:val="bullet"/>
      <w:lvlText w:val=""/>
      <w:lvlJc w:val="left"/>
      <w:pPr>
        <w:ind w:left="720" w:hanging="360"/>
      </w:pPr>
      <w:rPr>
        <w:rFonts w:ascii="Symbol" w:hAnsi="Symbol" w:hint="default"/>
      </w:rPr>
    </w:lvl>
    <w:lvl w:ilvl="1" w:tplc="4F0ABB2C">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41F7"/>
    <w:multiLevelType w:val="hybridMultilevel"/>
    <w:tmpl w:val="B8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D24F1"/>
    <w:multiLevelType w:val="hybridMultilevel"/>
    <w:tmpl w:val="F9C2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34444"/>
    <w:multiLevelType w:val="hybridMultilevel"/>
    <w:tmpl w:val="33C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A2F82"/>
    <w:multiLevelType w:val="hybridMultilevel"/>
    <w:tmpl w:val="8F7A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E3831"/>
    <w:multiLevelType w:val="hybridMultilevel"/>
    <w:tmpl w:val="A4F6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D7818"/>
    <w:multiLevelType w:val="hybridMultilevel"/>
    <w:tmpl w:val="D6A6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857DA"/>
    <w:multiLevelType w:val="hybridMultilevel"/>
    <w:tmpl w:val="6FF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81F92"/>
    <w:multiLevelType w:val="hybridMultilevel"/>
    <w:tmpl w:val="78D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C67E0"/>
    <w:multiLevelType w:val="hybridMultilevel"/>
    <w:tmpl w:val="94B2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46B3D"/>
    <w:multiLevelType w:val="hybridMultilevel"/>
    <w:tmpl w:val="C0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33FAE"/>
    <w:multiLevelType w:val="hybridMultilevel"/>
    <w:tmpl w:val="6610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B4002"/>
    <w:multiLevelType w:val="hybridMultilevel"/>
    <w:tmpl w:val="AC6E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93DBE"/>
    <w:multiLevelType w:val="hybridMultilevel"/>
    <w:tmpl w:val="51466FBA"/>
    <w:lvl w:ilvl="0" w:tplc="04090001">
      <w:start w:val="1"/>
      <w:numFmt w:val="bullet"/>
      <w:lvlText w:val=""/>
      <w:lvlJc w:val="left"/>
      <w:pPr>
        <w:tabs>
          <w:tab w:val="num" w:pos="720"/>
        </w:tabs>
        <w:ind w:left="720" w:hanging="360"/>
      </w:pPr>
      <w:rPr>
        <w:rFonts w:ascii="Symbol" w:hAnsi="Symbol" w:hint="default"/>
      </w:rPr>
    </w:lvl>
    <w:lvl w:ilvl="1" w:tplc="B310F188">
      <w:start w:val="1"/>
      <w:numFmt w:val="bullet"/>
      <w:pStyle w:val="BulletList3"/>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175F5"/>
    <w:multiLevelType w:val="singleLevel"/>
    <w:tmpl w:val="EFECBEB0"/>
    <w:lvl w:ilvl="0">
      <w:start w:val="1"/>
      <w:numFmt w:val="lowerLetter"/>
      <w:pStyle w:val="Heading4"/>
      <w:lvlText w:val="%1. "/>
      <w:lvlJc w:val="left"/>
      <w:pPr>
        <w:tabs>
          <w:tab w:val="num" w:pos="375"/>
        </w:tabs>
        <w:ind w:left="375" w:hanging="375"/>
      </w:pPr>
      <w:rPr>
        <w:rFonts w:hint="default"/>
      </w:rPr>
    </w:lvl>
  </w:abstractNum>
  <w:abstractNum w:abstractNumId="20" w15:restartNumberingAfterBreak="0">
    <w:nsid w:val="6DAD67A7"/>
    <w:multiLevelType w:val="hybridMultilevel"/>
    <w:tmpl w:val="84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C32AB"/>
    <w:multiLevelType w:val="hybridMultilevel"/>
    <w:tmpl w:val="008E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00515"/>
    <w:multiLevelType w:val="hybridMultilevel"/>
    <w:tmpl w:val="5BB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FE8"/>
    <w:multiLevelType w:val="hybridMultilevel"/>
    <w:tmpl w:val="024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11113"/>
    <w:multiLevelType w:val="hybridMultilevel"/>
    <w:tmpl w:val="B582EF80"/>
    <w:lvl w:ilvl="0" w:tplc="B2BE8F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5"/>
  </w:num>
  <w:num w:numId="5">
    <w:abstractNumId w:val="24"/>
  </w:num>
  <w:num w:numId="6">
    <w:abstractNumId w:val="17"/>
  </w:num>
  <w:num w:numId="7">
    <w:abstractNumId w:val="6"/>
  </w:num>
  <w:num w:numId="8">
    <w:abstractNumId w:val="10"/>
  </w:num>
  <w:num w:numId="9">
    <w:abstractNumId w:val="12"/>
  </w:num>
  <w:num w:numId="10">
    <w:abstractNumId w:val="15"/>
  </w:num>
  <w:num w:numId="11">
    <w:abstractNumId w:val="13"/>
  </w:num>
  <w:num w:numId="12">
    <w:abstractNumId w:val="22"/>
  </w:num>
  <w:num w:numId="13">
    <w:abstractNumId w:val="1"/>
  </w:num>
  <w:num w:numId="14">
    <w:abstractNumId w:val="20"/>
  </w:num>
  <w:num w:numId="15">
    <w:abstractNumId w:val="2"/>
  </w:num>
  <w:num w:numId="16">
    <w:abstractNumId w:val="16"/>
  </w:num>
  <w:num w:numId="17">
    <w:abstractNumId w:val="4"/>
  </w:num>
  <w:num w:numId="18">
    <w:abstractNumId w:val="8"/>
  </w:num>
  <w:num w:numId="19">
    <w:abstractNumId w:val="23"/>
  </w:num>
  <w:num w:numId="20">
    <w:abstractNumId w:val="21"/>
  </w:num>
  <w:num w:numId="21">
    <w:abstractNumId w:val="9"/>
  </w:num>
  <w:num w:numId="22">
    <w:abstractNumId w:val="14"/>
  </w:num>
  <w:num w:numId="23">
    <w:abstractNumId w:val="7"/>
  </w:num>
  <w:num w:numId="24">
    <w:abstractNumId w:val="3"/>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2B"/>
    <w:rsid w:val="0000047B"/>
    <w:rsid w:val="00000D05"/>
    <w:rsid w:val="00002326"/>
    <w:rsid w:val="000035E3"/>
    <w:rsid w:val="000063D9"/>
    <w:rsid w:val="0000746B"/>
    <w:rsid w:val="00012B00"/>
    <w:rsid w:val="00013E79"/>
    <w:rsid w:val="00016D65"/>
    <w:rsid w:val="00016E12"/>
    <w:rsid w:val="00020605"/>
    <w:rsid w:val="00020A87"/>
    <w:rsid w:val="0002519E"/>
    <w:rsid w:val="00031587"/>
    <w:rsid w:val="00031DDE"/>
    <w:rsid w:val="00031F7A"/>
    <w:rsid w:val="00032415"/>
    <w:rsid w:val="000324B6"/>
    <w:rsid w:val="00034823"/>
    <w:rsid w:val="00035672"/>
    <w:rsid w:val="00035C75"/>
    <w:rsid w:val="00042CA0"/>
    <w:rsid w:val="00043A9B"/>
    <w:rsid w:val="00045778"/>
    <w:rsid w:val="00050D24"/>
    <w:rsid w:val="00051D2B"/>
    <w:rsid w:val="00053967"/>
    <w:rsid w:val="0006106E"/>
    <w:rsid w:val="00061523"/>
    <w:rsid w:val="000616D7"/>
    <w:rsid w:val="00062463"/>
    <w:rsid w:val="00063D03"/>
    <w:rsid w:val="00064350"/>
    <w:rsid w:val="00065786"/>
    <w:rsid w:val="00073826"/>
    <w:rsid w:val="0007438D"/>
    <w:rsid w:val="00077BA0"/>
    <w:rsid w:val="00082752"/>
    <w:rsid w:val="00087F6A"/>
    <w:rsid w:val="000925A4"/>
    <w:rsid w:val="00093168"/>
    <w:rsid w:val="000951F6"/>
    <w:rsid w:val="000978CE"/>
    <w:rsid w:val="000A0650"/>
    <w:rsid w:val="000A0EB0"/>
    <w:rsid w:val="000A1425"/>
    <w:rsid w:val="000A5124"/>
    <w:rsid w:val="000B1094"/>
    <w:rsid w:val="000B18B0"/>
    <w:rsid w:val="000B3756"/>
    <w:rsid w:val="000B5677"/>
    <w:rsid w:val="000B7A74"/>
    <w:rsid w:val="000C0998"/>
    <w:rsid w:val="000C1415"/>
    <w:rsid w:val="000C45E4"/>
    <w:rsid w:val="000D038B"/>
    <w:rsid w:val="000D2230"/>
    <w:rsid w:val="000D3DD2"/>
    <w:rsid w:val="000D4F0B"/>
    <w:rsid w:val="000D607D"/>
    <w:rsid w:val="000E1882"/>
    <w:rsid w:val="000E53A4"/>
    <w:rsid w:val="000E6B93"/>
    <w:rsid w:val="000E7320"/>
    <w:rsid w:val="000F02A5"/>
    <w:rsid w:val="000F203C"/>
    <w:rsid w:val="000F2049"/>
    <w:rsid w:val="000F41A1"/>
    <w:rsid w:val="000F41D5"/>
    <w:rsid w:val="000F57A9"/>
    <w:rsid w:val="00103A82"/>
    <w:rsid w:val="0010727E"/>
    <w:rsid w:val="001109D0"/>
    <w:rsid w:val="00113D02"/>
    <w:rsid w:val="00114F7F"/>
    <w:rsid w:val="001272AA"/>
    <w:rsid w:val="00127B1F"/>
    <w:rsid w:val="00134E17"/>
    <w:rsid w:val="00137590"/>
    <w:rsid w:val="00141455"/>
    <w:rsid w:val="0014258A"/>
    <w:rsid w:val="00146C0E"/>
    <w:rsid w:val="00146DF4"/>
    <w:rsid w:val="00150653"/>
    <w:rsid w:val="00151665"/>
    <w:rsid w:val="00152887"/>
    <w:rsid w:val="001546C8"/>
    <w:rsid w:val="00154846"/>
    <w:rsid w:val="00155CC6"/>
    <w:rsid w:val="00156B24"/>
    <w:rsid w:val="00160D04"/>
    <w:rsid w:val="001625C1"/>
    <w:rsid w:val="00172950"/>
    <w:rsid w:val="0017585D"/>
    <w:rsid w:val="00176157"/>
    <w:rsid w:val="00183B3B"/>
    <w:rsid w:val="00186536"/>
    <w:rsid w:val="00186A91"/>
    <w:rsid w:val="00186EC9"/>
    <w:rsid w:val="00191D34"/>
    <w:rsid w:val="00192ACC"/>
    <w:rsid w:val="00192E5B"/>
    <w:rsid w:val="001930D0"/>
    <w:rsid w:val="0019465B"/>
    <w:rsid w:val="00194905"/>
    <w:rsid w:val="001A10EE"/>
    <w:rsid w:val="001A702C"/>
    <w:rsid w:val="001B4390"/>
    <w:rsid w:val="001C0E6F"/>
    <w:rsid w:val="001C20AF"/>
    <w:rsid w:val="001C3981"/>
    <w:rsid w:val="001D1AAD"/>
    <w:rsid w:val="001D6A35"/>
    <w:rsid w:val="001D73A6"/>
    <w:rsid w:val="001E0171"/>
    <w:rsid w:val="001E0EFE"/>
    <w:rsid w:val="001F1B01"/>
    <w:rsid w:val="001F3DFB"/>
    <w:rsid w:val="001F6F14"/>
    <w:rsid w:val="00201E8E"/>
    <w:rsid w:val="002027C6"/>
    <w:rsid w:val="00204386"/>
    <w:rsid w:val="00204398"/>
    <w:rsid w:val="00207E8B"/>
    <w:rsid w:val="00210413"/>
    <w:rsid w:val="00211D3D"/>
    <w:rsid w:val="00212781"/>
    <w:rsid w:val="00214114"/>
    <w:rsid w:val="0021485B"/>
    <w:rsid w:val="00214DD3"/>
    <w:rsid w:val="002160E5"/>
    <w:rsid w:val="0022018F"/>
    <w:rsid w:val="002256C3"/>
    <w:rsid w:val="00230BCE"/>
    <w:rsid w:val="0023284D"/>
    <w:rsid w:val="00240116"/>
    <w:rsid w:val="00243BA9"/>
    <w:rsid w:val="002470FA"/>
    <w:rsid w:val="00252A68"/>
    <w:rsid w:val="002550F0"/>
    <w:rsid w:val="0025649C"/>
    <w:rsid w:val="002604E9"/>
    <w:rsid w:val="00263E86"/>
    <w:rsid w:val="0026450E"/>
    <w:rsid w:val="00265094"/>
    <w:rsid w:val="002672C3"/>
    <w:rsid w:val="002715D9"/>
    <w:rsid w:val="002764AF"/>
    <w:rsid w:val="00281D18"/>
    <w:rsid w:val="00285258"/>
    <w:rsid w:val="00285855"/>
    <w:rsid w:val="002915DB"/>
    <w:rsid w:val="002961F3"/>
    <w:rsid w:val="00296343"/>
    <w:rsid w:val="002A127B"/>
    <w:rsid w:val="002A1818"/>
    <w:rsid w:val="002A2353"/>
    <w:rsid w:val="002A2CF8"/>
    <w:rsid w:val="002A4BDA"/>
    <w:rsid w:val="002A76C8"/>
    <w:rsid w:val="002B2A27"/>
    <w:rsid w:val="002B35AA"/>
    <w:rsid w:val="002B65E2"/>
    <w:rsid w:val="002C13AB"/>
    <w:rsid w:val="002C36D0"/>
    <w:rsid w:val="002C4100"/>
    <w:rsid w:val="002D1C63"/>
    <w:rsid w:val="002D6B3E"/>
    <w:rsid w:val="002D6FD4"/>
    <w:rsid w:val="002D754F"/>
    <w:rsid w:val="002D7707"/>
    <w:rsid w:val="002E0640"/>
    <w:rsid w:val="002E2E40"/>
    <w:rsid w:val="002E4B66"/>
    <w:rsid w:val="00301F6F"/>
    <w:rsid w:val="00305023"/>
    <w:rsid w:val="0030533C"/>
    <w:rsid w:val="00306BBE"/>
    <w:rsid w:val="00310352"/>
    <w:rsid w:val="00312CFB"/>
    <w:rsid w:val="003234F9"/>
    <w:rsid w:val="00323A8C"/>
    <w:rsid w:val="003267B7"/>
    <w:rsid w:val="00333B38"/>
    <w:rsid w:val="003355B2"/>
    <w:rsid w:val="00340333"/>
    <w:rsid w:val="003473BB"/>
    <w:rsid w:val="00350733"/>
    <w:rsid w:val="0035700D"/>
    <w:rsid w:val="00357717"/>
    <w:rsid w:val="0036027C"/>
    <w:rsid w:val="003623FC"/>
    <w:rsid w:val="00377FD9"/>
    <w:rsid w:val="00384B6E"/>
    <w:rsid w:val="00386250"/>
    <w:rsid w:val="003A0172"/>
    <w:rsid w:val="003A0CAE"/>
    <w:rsid w:val="003A1090"/>
    <w:rsid w:val="003A3523"/>
    <w:rsid w:val="003A423D"/>
    <w:rsid w:val="003A58AB"/>
    <w:rsid w:val="003A7B8C"/>
    <w:rsid w:val="003B3D01"/>
    <w:rsid w:val="003B6FEB"/>
    <w:rsid w:val="003B79C7"/>
    <w:rsid w:val="003C090E"/>
    <w:rsid w:val="003C1112"/>
    <w:rsid w:val="003C23CB"/>
    <w:rsid w:val="003C3610"/>
    <w:rsid w:val="003C39DD"/>
    <w:rsid w:val="003C5ECE"/>
    <w:rsid w:val="003C60EE"/>
    <w:rsid w:val="003C6F50"/>
    <w:rsid w:val="003D139E"/>
    <w:rsid w:val="003D3BF5"/>
    <w:rsid w:val="003D5912"/>
    <w:rsid w:val="003D75B3"/>
    <w:rsid w:val="003E230D"/>
    <w:rsid w:val="003E4967"/>
    <w:rsid w:val="003E655F"/>
    <w:rsid w:val="003F12D6"/>
    <w:rsid w:val="003F28AE"/>
    <w:rsid w:val="003F3E92"/>
    <w:rsid w:val="003F46E8"/>
    <w:rsid w:val="003F7609"/>
    <w:rsid w:val="003F7CC1"/>
    <w:rsid w:val="0040062B"/>
    <w:rsid w:val="004029AD"/>
    <w:rsid w:val="0040329A"/>
    <w:rsid w:val="0040604E"/>
    <w:rsid w:val="00406D56"/>
    <w:rsid w:val="00410EAC"/>
    <w:rsid w:val="00413E62"/>
    <w:rsid w:val="004157A4"/>
    <w:rsid w:val="00417270"/>
    <w:rsid w:val="004176D9"/>
    <w:rsid w:val="00420B2D"/>
    <w:rsid w:val="00421E38"/>
    <w:rsid w:val="00422273"/>
    <w:rsid w:val="00422B38"/>
    <w:rsid w:val="00425C2D"/>
    <w:rsid w:val="00426220"/>
    <w:rsid w:val="00426E4E"/>
    <w:rsid w:val="00426FF0"/>
    <w:rsid w:val="0043139F"/>
    <w:rsid w:val="0043401F"/>
    <w:rsid w:val="00434954"/>
    <w:rsid w:val="00435942"/>
    <w:rsid w:val="0043602C"/>
    <w:rsid w:val="0044305E"/>
    <w:rsid w:val="004457D4"/>
    <w:rsid w:val="0045094B"/>
    <w:rsid w:val="00450B8B"/>
    <w:rsid w:val="00450D74"/>
    <w:rsid w:val="004516EB"/>
    <w:rsid w:val="00451B9B"/>
    <w:rsid w:val="0045286D"/>
    <w:rsid w:val="0045496F"/>
    <w:rsid w:val="00463645"/>
    <w:rsid w:val="00464EC1"/>
    <w:rsid w:val="00467678"/>
    <w:rsid w:val="00472470"/>
    <w:rsid w:val="004768BB"/>
    <w:rsid w:val="004807F3"/>
    <w:rsid w:val="0048343B"/>
    <w:rsid w:val="0048439F"/>
    <w:rsid w:val="00485194"/>
    <w:rsid w:val="00486D7F"/>
    <w:rsid w:val="00490495"/>
    <w:rsid w:val="00490902"/>
    <w:rsid w:val="00490F1D"/>
    <w:rsid w:val="0049290B"/>
    <w:rsid w:val="00494660"/>
    <w:rsid w:val="004962A2"/>
    <w:rsid w:val="004968FE"/>
    <w:rsid w:val="00496B2F"/>
    <w:rsid w:val="0049786A"/>
    <w:rsid w:val="004A4E4B"/>
    <w:rsid w:val="004A5069"/>
    <w:rsid w:val="004B203D"/>
    <w:rsid w:val="004B2763"/>
    <w:rsid w:val="004B35AF"/>
    <w:rsid w:val="004B703A"/>
    <w:rsid w:val="004B70D1"/>
    <w:rsid w:val="004C0175"/>
    <w:rsid w:val="004C0AE4"/>
    <w:rsid w:val="004C1F0A"/>
    <w:rsid w:val="004C2BF5"/>
    <w:rsid w:val="004C3435"/>
    <w:rsid w:val="004C46D5"/>
    <w:rsid w:val="004D7E9D"/>
    <w:rsid w:val="004E55A7"/>
    <w:rsid w:val="004E751E"/>
    <w:rsid w:val="004F2134"/>
    <w:rsid w:val="004F6A18"/>
    <w:rsid w:val="005023F8"/>
    <w:rsid w:val="00504AC8"/>
    <w:rsid w:val="005132C0"/>
    <w:rsid w:val="0051408D"/>
    <w:rsid w:val="0051532C"/>
    <w:rsid w:val="00520E86"/>
    <w:rsid w:val="005228C9"/>
    <w:rsid w:val="005228CB"/>
    <w:rsid w:val="00524911"/>
    <w:rsid w:val="00524D13"/>
    <w:rsid w:val="00525D65"/>
    <w:rsid w:val="005268A7"/>
    <w:rsid w:val="00526D8D"/>
    <w:rsid w:val="00527A1B"/>
    <w:rsid w:val="0053204B"/>
    <w:rsid w:val="00532C90"/>
    <w:rsid w:val="0053475F"/>
    <w:rsid w:val="005441A1"/>
    <w:rsid w:val="00544CFA"/>
    <w:rsid w:val="005475B1"/>
    <w:rsid w:val="00550739"/>
    <w:rsid w:val="00551027"/>
    <w:rsid w:val="00551963"/>
    <w:rsid w:val="005555DD"/>
    <w:rsid w:val="0056059D"/>
    <w:rsid w:val="005613CA"/>
    <w:rsid w:val="00562F02"/>
    <w:rsid w:val="00566AC5"/>
    <w:rsid w:val="00571C37"/>
    <w:rsid w:val="0057451D"/>
    <w:rsid w:val="00576277"/>
    <w:rsid w:val="00581681"/>
    <w:rsid w:val="00582082"/>
    <w:rsid w:val="00585EB5"/>
    <w:rsid w:val="005870BF"/>
    <w:rsid w:val="00590434"/>
    <w:rsid w:val="0059084F"/>
    <w:rsid w:val="0059486B"/>
    <w:rsid w:val="0059589C"/>
    <w:rsid w:val="005A5F6B"/>
    <w:rsid w:val="005A7CF6"/>
    <w:rsid w:val="005B58D7"/>
    <w:rsid w:val="005B5A47"/>
    <w:rsid w:val="005B6C7F"/>
    <w:rsid w:val="005C3C6F"/>
    <w:rsid w:val="005C70B1"/>
    <w:rsid w:val="005C7CCE"/>
    <w:rsid w:val="005D149D"/>
    <w:rsid w:val="005D3E20"/>
    <w:rsid w:val="005D770A"/>
    <w:rsid w:val="005E38A1"/>
    <w:rsid w:val="005E42A9"/>
    <w:rsid w:val="005E5C13"/>
    <w:rsid w:val="005E5DFA"/>
    <w:rsid w:val="005F1689"/>
    <w:rsid w:val="00601FA3"/>
    <w:rsid w:val="00602CC6"/>
    <w:rsid w:val="00614390"/>
    <w:rsid w:val="00614D32"/>
    <w:rsid w:val="006176A2"/>
    <w:rsid w:val="00620D07"/>
    <w:rsid w:val="00621C4E"/>
    <w:rsid w:val="00623081"/>
    <w:rsid w:val="006245EE"/>
    <w:rsid w:val="00624AC5"/>
    <w:rsid w:val="00624F2B"/>
    <w:rsid w:val="006250A5"/>
    <w:rsid w:val="006306D6"/>
    <w:rsid w:val="006331AC"/>
    <w:rsid w:val="00634C45"/>
    <w:rsid w:val="00635DCC"/>
    <w:rsid w:val="00637641"/>
    <w:rsid w:val="00641135"/>
    <w:rsid w:val="006416CD"/>
    <w:rsid w:val="00646035"/>
    <w:rsid w:val="00650132"/>
    <w:rsid w:val="00650556"/>
    <w:rsid w:val="00654B4A"/>
    <w:rsid w:val="00656E1A"/>
    <w:rsid w:val="00657616"/>
    <w:rsid w:val="00660C2A"/>
    <w:rsid w:val="00665DEC"/>
    <w:rsid w:val="00666432"/>
    <w:rsid w:val="00667B03"/>
    <w:rsid w:val="00681BE1"/>
    <w:rsid w:val="00681EC3"/>
    <w:rsid w:val="00683219"/>
    <w:rsid w:val="00693699"/>
    <w:rsid w:val="00696FE1"/>
    <w:rsid w:val="006A263E"/>
    <w:rsid w:val="006A4027"/>
    <w:rsid w:val="006B2869"/>
    <w:rsid w:val="006B29D9"/>
    <w:rsid w:val="006B3AA6"/>
    <w:rsid w:val="006B6DBC"/>
    <w:rsid w:val="006C12D8"/>
    <w:rsid w:val="006C3D69"/>
    <w:rsid w:val="006C483C"/>
    <w:rsid w:val="006C6285"/>
    <w:rsid w:val="006C7B8C"/>
    <w:rsid w:val="006C7DA7"/>
    <w:rsid w:val="006D04EF"/>
    <w:rsid w:val="006D178A"/>
    <w:rsid w:val="006E5FB9"/>
    <w:rsid w:val="006F0E44"/>
    <w:rsid w:val="006F2A45"/>
    <w:rsid w:val="00701207"/>
    <w:rsid w:val="00704D15"/>
    <w:rsid w:val="007070BF"/>
    <w:rsid w:val="00710878"/>
    <w:rsid w:val="0071134E"/>
    <w:rsid w:val="007137DB"/>
    <w:rsid w:val="00713A14"/>
    <w:rsid w:val="00720875"/>
    <w:rsid w:val="007246E8"/>
    <w:rsid w:val="007249CF"/>
    <w:rsid w:val="007314B3"/>
    <w:rsid w:val="00732D20"/>
    <w:rsid w:val="00733091"/>
    <w:rsid w:val="007356DD"/>
    <w:rsid w:val="007358DE"/>
    <w:rsid w:val="007417B4"/>
    <w:rsid w:val="0074189C"/>
    <w:rsid w:val="00741E94"/>
    <w:rsid w:val="007468D1"/>
    <w:rsid w:val="00746C92"/>
    <w:rsid w:val="0075218A"/>
    <w:rsid w:val="00752FDB"/>
    <w:rsid w:val="0075333B"/>
    <w:rsid w:val="00754795"/>
    <w:rsid w:val="00757116"/>
    <w:rsid w:val="00761386"/>
    <w:rsid w:val="00761A46"/>
    <w:rsid w:val="00763D19"/>
    <w:rsid w:val="007658C4"/>
    <w:rsid w:val="00767239"/>
    <w:rsid w:val="0077195F"/>
    <w:rsid w:val="00771AEF"/>
    <w:rsid w:val="00773839"/>
    <w:rsid w:val="00774D25"/>
    <w:rsid w:val="0078006F"/>
    <w:rsid w:val="007818EF"/>
    <w:rsid w:val="00782387"/>
    <w:rsid w:val="00783E34"/>
    <w:rsid w:val="0078592A"/>
    <w:rsid w:val="00793765"/>
    <w:rsid w:val="00796C58"/>
    <w:rsid w:val="007A02E2"/>
    <w:rsid w:val="007A02E7"/>
    <w:rsid w:val="007A0BAB"/>
    <w:rsid w:val="007A26E0"/>
    <w:rsid w:val="007A2E45"/>
    <w:rsid w:val="007A6F48"/>
    <w:rsid w:val="007B0936"/>
    <w:rsid w:val="007B3867"/>
    <w:rsid w:val="007B47D8"/>
    <w:rsid w:val="007B57C3"/>
    <w:rsid w:val="007B5F4D"/>
    <w:rsid w:val="007C0C8F"/>
    <w:rsid w:val="007C1166"/>
    <w:rsid w:val="007C23FA"/>
    <w:rsid w:val="007C2A0C"/>
    <w:rsid w:val="007C3197"/>
    <w:rsid w:val="007D5024"/>
    <w:rsid w:val="007E2630"/>
    <w:rsid w:val="007E3083"/>
    <w:rsid w:val="007E3D5D"/>
    <w:rsid w:val="007E5A29"/>
    <w:rsid w:val="007F0F78"/>
    <w:rsid w:val="007F1DC0"/>
    <w:rsid w:val="007F2743"/>
    <w:rsid w:val="007F337B"/>
    <w:rsid w:val="007F6BCE"/>
    <w:rsid w:val="007F7718"/>
    <w:rsid w:val="00801ABB"/>
    <w:rsid w:val="00801ED1"/>
    <w:rsid w:val="00803279"/>
    <w:rsid w:val="0080611B"/>
    <w:rsid w:val="00807C13"/>
    <w:rsid w:val="00807D47"/>
    <w:rsid w:val="0082178F"/>
    <w:rsid w:val="00824CAC"/>
    <w:rsid w:val="008304AE"/>
    <w:rsid w:val="00830E41"/>
    <w:rsid w:val="008324A4"/>
    <w:rsid w:val="00835364"/>
    <w:rsid w:val="00836161"/>
    <w:rsid w:val="00837051"/>
    <w:rsid w:val="00837BA7"/>
    <w:rsid w:val="008417DD"/>
    <w:rsid w:val="008427BC"/>
    <w:rsid w:val="00843C30"/>
    <w:rsid w:val="00843C82"/>
    <w:rsid w:val="0084454E"/>
    <w:rsid w:val="008454D8"/>
    <w:rsid w:val="00851D21"/>
    <w:rsid w:val="0085553B"/>
    <w:rsid w:val="008569D6"/>
    <w:rsid w:val="00864001"/>
    <w:rsid w:val="00866A17"/>
    <w:rsid w:val="00873401"/>
    <w:rsid w:val="008749AF"/>
    <w:rsid w:val="008749CC"/>
    <w:rsid w:val="00874D56"/>
    <w:rsid w:val="00874ECB"/>
    <w:rsid w:val="00881896"/>
    <w:rsid w:val="008916C8"/>
    <w:rsid w:val="0089195C"/>
    <w:rsid w:val="00896281"/>
    <w:rsid w:val="008966A0"/>
    <w:rsid w:val="00897BA2"/>
    <w:rsid w:val="008A23D1"/>
    <w:rsid w:val="008A25E8"/>
    <w:rsid w:val="008A2AE3"/>
    <w:rsid w:val="008B1E20"/>
    <w:rsid w:val="008B2BE7"/>
    <w:rsid w:val="008B3947"/>
    <w:rsid w:val="008B74A3"/>
    <w:rsid w:val="008B7820"/>
    <w:rsid w:val="008C06CA"/>
    <w:rsid w:val="008C0F84"/>
    <w:rsid w:val="008C37F0"/>
    <w:rsid w:val="008C3936"/>
    <w:rsid w:val="008C548B"/>
    <w:rsid w:val="008C5614"/>
    <w:rsid w:val="008C745A"/>
    <w:rsid w:val="008D0937"/>
    <w:rsid w:val="008D0A9D"/>
    <w:rsid w:val="008D0DAC"/>
    <w:rsid w:val="008D13D3"/>
    <w:rsid w:val="008D1F97"/>
    <w:rsid w:val="008D39AD"/>
    <w:rsid w:val="008E029D"/>
    <w:rsid w:val="008E13A5"/>
    <w:rsid w:val="008E2EBD"/>
    <w:rsid w:val="008E5D22"/>
    <w:rsid w:val="008E5F9F"/>
    <w:rsid w:val="008E6073"/>
    <w:rsid w:val="008E7585"/>
    <w:rsid w:val="008F182D"/>
    <w:rsid w:val="008F479C"/>
    <w:rsid w:val="008F6A1E"/>
    <w:rsid w:val="00900DD4"/>
    <w:rsid w:val="00901C48"/>
    <w:rsid w:val="00903A8B"/>
    <w:rsid w:val="00905838"/>
    <w:rsid w:val="00905F49"/>
    <w:rsid w:val="009060EE"/>
    <w:rsid w:val="009075AB"/>
    <w:rsid w:val="00910AFB"/>
    <w:rsid w:val="00913C9A"/>
    <w:rsid w:val="009141FD"/>
    <w:rsid w:val="00915406"/>
    <w:rsid w:val="00916BE6"/>
    <w:rsid w:val="00922074"/>
    <w:rsid w:val="00922BB7"/>
    <w:rsid w:val="00923658"/>
    <w:rsid w:val="0092455C"/>
    <w:rsid w:val="009337E2"/>
    <w:rsid w:val="009363E4"/>
    <w:rsid w:val="00940EA8"/>
    <w:rsid w:val="00942988"/>
    <w:rsid w:val="00943EFD"/>
    <w:rsid w:val="0095483B"/>
    <w:rsid w:val="00961CB8"/>
    <w:rsid w:val="0096506E"/>
    <w:rsid w:val="00965896"/>
    <w:rsid w:val="0098347C"/>
    <w:rsid w:val="0098428B"/>
    <w:rsid w:val="009856C5"/>
    <w:rsid w:val="0099428C"/>
    <w:rsid w:val="00994C65"/>
    <w:rsid w:val="00994F1C"/>
    <w:rsid w:val="0099684E"/>
    <w:rsid w:val="009968AD"/>
    <w:rsid w:val="00996F63"/>
    <w:rsid w:val="009A028F"/>
    <w:rsid w:val="009A25EA"/>
    <w:rsid w:val="009A67BB"/>
    <w:rsid w:val="009B21AF"/>
    <w:rsid w:val="009B2ADA"/>
    <w:rsid w:val="009B41FC"/>
    <w:rsid w:val="009B4717"/>
    <w:rsid w:val="009C1488"/>
    <w:rsid w:val="009C522B"/>
    <w:rsid w:val="009D4607"/>
    <w:rsid w:val="009D70B7"/>
    <w:rsid w:val="009D78E4"/>
    <w:rsid w:val="009E1EFA"/>
    <w:rsid w:val="009E332F"/>
    <w:rsid w:val="009E3778"/>
    <w:rsid w:val="009E3C7B"/>
    <w:rsid w:val="009E6AE6"/>
    <w:rsid w:val="009E780C"/>
    <w:rsid w:val="009E78B4"/>
    <w:rsid w:val="009F2E9B"/>
    <w:rsid w:val="009F5B37"/>
    <w:rsid w:val="00A11460"/>
    <w:rsid w:val="00A126A1"/>
    <w:rsid w:val="00A13276"/>
    <w:rsid w:val="00A135BD"/>
    <w:rsid w:val="00A162C8"/>
    <w:rsid w:val="00A26AE5"/>
    <w:rsid w:val="00A32D97"/>
    <w:rsid w:val="00A336F5"/>
    <w:rsid w:val="00A3462B"/>
    <w:rsid w:val="00A420F0"/>
    <w:rsid w:val="00A43798"/>
    <w:rsid w:val="00A506AE"/>
    <w:rsid w:val="00A50F84"/>
    <w:rsid w:val="00A52A86"/>
    <w:rsid w:val="00A54735"/>
    <w:rsid w:val="00A577B6"/>
    <w:rsid w:val="00A626DE"/>
    <w:rsid w:val="00A64A6E"/>
    <w:rsid w:val="00A64E52"/>
    <w:rsid w:val="00A66D4F"/>
    <w:rsid w:val="00A74BBA"/>
    <w:rsid w:val="00A77384"/>
    <w:rsid w:val="00A82239"/>
    <w:rsid w:val="00A82E01"/>
    <w:rsid w:val="00A83E0F"/>
    <w:rsid w:val="00A84E2A"/>
    <w:rsid w:val="00A8595F"/>
    <w:rsid w:val="00A86203"/>
    <w:rsid w:val="00A8688B"/>
    <w:rsid w:val="00A9168B"/>
    <w:rsid w:val="00A91C44"/>
    <w:rsid w:val="00A91C8E"/>
    <w:rsid w:val="00A9351C"/>
    <w:rsid w:val="00A93731"/>
    <w:rsid w:val="00A93FDD"/>
    <w:rsid w:val="00AA19A3"/>
    <w:rsid w:val="00AA37EC"/>
    <w:rsid w:val="00AA4D12"/>
    <w:rsid w:val="00AA6109"/>
    <w:rsid w:val="00AB59B3"/>
    <w:rsid w:val="00AC4293"/>
    <w:rsid w:val="00AC4A63"/>
    <w:rsid w:val="00AC51BA"/>
    <w:rsid w:val="00AD0ABA"/>
    <w:rsid w:val="00AD1865"/>
    <w:rsid w:val="00AD4C80"/>
    <w:rsid w:val="00AE17E5"/>
    <w:rsid w:val="00AE2C94"/>
    <w:rsid w:val="00AE4913"/>
    <w:rsid w:val="00AE596B"/>
    <w:rsid w:val="00AE59B4"/>
    <w:rsid w:val="00AE7F9D"/>
    <w:rsid w:val="00AF2584"/>
    <w:rsid w:val="00AF53A1"/>
    <w:rsid w:val="00AF5C68"/>
    <w:rsid w:val="00B004A5"/>
    <w:rsid w:val="00B00DD4"/>
    <w:rsid w:val="00B02E24"/>
    <w:rsid w:val="00B04B24"/>
    <w:rsid w:val="00B06EF6"/>
    <w:rsid w:val="00B10EDA"/>
    <w:rsid w:val="00B11AA0"/>
    <w:rsid w:val="00B17084"/>
    <w:rsid w:val="00B17D2C"/>
    <w:rsid w:val="00B32CF9"/>
    <w:rsid w:val="00B33852"/>
    <w:rsid w:val="00B37E34"/>
    <w:rsid w:val="00B43A27"/>
    <w:rsid w:val="00B459C0"/>
    <w:rsid w:val="00B45D9B"/>
    <w:rsid w:val="00B46A2E"/>
    <w:rsid w:val="00B538AC"/>
    <w:rsid w:val="00B5523F"/>
    <w:rsid w:val="00B60182"/>
    <w:rsid w:val="00B6052E"/>
    <w:rsid w:val="00B628F5"/>
    <w:rsid w:val="00B62A31"/>
    <w:rsid w:val="00B63A92"/>
    <w:rsid w:val="00B65B17"/>
    <w:rsid w:val="00B70257"/>
    <w:rsid w:val="00B748CD"/>
    <w:rsid w:val="00B76D17"/>
    <w:rsid w:val="00B8232F"/>
    <w:rsid w:val="00B92316"/>
    <w:rsid w:val="00B92F85"/>
    <w:rsid w:val="00B963BF"/>
    <w:rsid w:val="00BA0282"/>
    <w:rsid w:val="00BA0597"/>
    <w:rsid w:val="00BA3899"/>
    <w:rsid w:val="00BA5B39"/>
    <w:rsid w:val="00BA5D46"/>
    <w:rsid w:val="00BB0C77"/>
    <w:rsid w:val="00BB431F"/>
    <w:rsid w:val="00BB5AB6"/>
    <w:rsid w:val="00BB60DF"/>
    <w:rsid w:val="00BB694B"/>
    <w:rsid w:val="00BB7A56"/>
    <w:rsid w:val="00BB7F4C"/>
    <w:rsid w:val="00BC0927"/>
    <w:rsid w:val="00BC1A6D"/>
    <w:rsid w:val="00BC21EF"/>
    <w:rsid w:val="00BC3347"/>
    <w:rsid w:val="00BC5A89"/>
    <w:rsid w:val="00BC62EA"/>
    <w:rsid w:val="00BD297D"/>
    <w:rsid w:val="00BD5E64"/>
    <w:rsid w:val="00BD649A"/>
    <w:rsid w:val="00BD6E47"/>
    <w:rsid w:val="00BE010A"/>
    <w:rsid w:val="00BE43BD"/>
    <w:rsid w:val="00BE556E"/>
    <w:rsid w:val="00BE607E"/>
    <w:rsid w:val="00BF42A7"/>
    <w:rsid w:val="00BF4D1C"/>
    <w:rsid w:val="00BF63A7"/>
    <w:rsid w:val="00C0117C"/>
    <w:rsid w:val="00C03E28"/>
    <w:rsid w:val="00C06BAA"/>
    <w:rsid w:val="00C1219C"/>
    <w:rsid w:val="00C12A7B"/>
    <w:rsid w:val="00C15C5F"/>
    <w:rsid w:val="00C16ABC"/>
    <w:rsid w:val="00C201E0"/>
    <w:rsid w:val="00C20BD3"/>
    <w:rsid w:val="00C24661"/>
    <w:rsid w:val="00C25CE3"/>
    <w:rsid w:val="00C25F65"/>
    <w:rsid w:val="00C26187"/>
    <w:rsid w:val="00C33C68"/>
    <w:rsid w:val="00C344B7"/>
    <w:rsid w:val="00C34860"/>
    <w:rsid w:val="00C36893"/>
    <w:rsid w:val="00C377A4"/>
    <w:rsid w:val="00C41E6C"/>
    <w:rsid w:val="00C41E7B"/>
    <w:rsid w:val="00C432C8"/>
    <w:rsid w:val="00C43F5A"/>
    <w:rsid w:val="00C4660C"/>
    <w:rsid w:val="00C47715"/>
    <w:rsid w:val="00C50783"/>
    <w:rsid w:val="00C56637"/>
    <w:rsid w:val="00C57F2B"/>
    <w:rsid w:val="00C607FB"/>
    <w:rsid w:val="00C6402D"/>
    <w:rsid w:val="00C6447F"/>
    <w:rsid w:val="00C654BD"/>
    <w:rsid w:val="00C67092"/>
    <w:rsid w:val="00C7230E"/>
    <w:rsid w:val="00C76226"/>
    <w:rsid w:val="00C83423"/>
    <w:rsid w:val="00C83EDC"/>
    <w:rsid w:val="00C84142"/>
    <w:rsid w:val="00C8499A"/>
    <w:rsid w:val="00C84B8A"/>
    <w:rsid w:val="00C90ADB"/>
    <w:rsid w:val="00C92B34"/>
    <w:rsid w:val="00C92EDB"/>
    <w:rsid w:val="00C93E8F"/>
    <w:rsid w:val="00C96AB2"/>
    <w:rsid w:val="00CA1146"/>
    <w:rsid w:val="00CA3096"/>
    <w:rsid w:val="00CA4FB0"/>
    <w:rsid w:val="00CA6241"/>
    <w:rsid w:val="00CB4F2E"/>
    <w:rsid w:val="00CC2628"/>
    <w:rsid w:val="00CD4B1D"/>
    <w:rsid w:val="00CD4B39"/>
    <w:rsid w:val="00CD752C"/>
    <w:rsid w:val="00CE08AE"/>
    <w:rsid w:val="00CE0B1C"/>
    <w:rsid w:val="00CE2791"/>
    <w:rsid w:val="00CE7341"/>
    <w:rsid w:val="00CF0E7A"/>
    <w:rsid w:val="00CF2B48"/>
    <w:rsid w:val="00CF40F0"/>
    <w:rsid w:val="00CF414A"/>
    <w:rsid w:val="00CF4C25"/>
    <w:rsid w:val="00CF5280"/>
    <w:rsid w:val="00CF6E74"/>
    <w:rsid w:val="00CF7B43"/>
    <w:rsid w:val="00D01D49"/>
    <w:rsid w:val="00D05E3C"/>
    <w:rsid w:val="00D07690"/>
    <w:rsid w:val="00D11BBE"/>
    <w:rsid w:val="00D16B40"/>
    <w:rsid w:val="00D24760"/>
    <w:rsid w:val="00D24D3D"/>
    <w:rsid w:val="00D2682B"/>
    <w:rsid w:val="00D30F4B"/>
    <w:rsid w:val="00D35590"/>
    <w:rsid w:val="00D3633E"/>
    <w:rsid w:val="00D413AB"/>
    <w:rsid w:val="00D444EC"/>
    <w:rsid w:val="00D453F9"/>
    <w:rsid w:val="00D461A3"/>
    <w:rsid w:val="00D51B5A"/>
    <w:rsid w:val="00D531A1"/>
    <w:rsid w:val="00D5370D"/>
    <w:rsid w:val="00D53AA1"/>
    <w:rsid w:val="00D5596B"/>
    <w:rsid w:val="00D622E5"/>
    <w:rsid w:val="00D630A0"/>
    <w:rsid w:val="00D64536"/>
    <w:rsid w:val="00D65CBC"/>
    <w:rsid w:val="00D75A86"/>
    <w:rsid w:val="00D7678E"/>
    <w:rsid w:val="00D7791B"/>
    <w:rsid w:val="00D83138"/>
    <w:rsid w:val="00D839E9"/>
    <w:rsid w:val="00D9547A"/>
    <w:rsid w:val="00DA033F"/>
    <w:rsid w:val="00DA0ACE"/>
    <w:rsid w:val="00DA1D49"/>
    <w:rsid w:val="00DA229D"/>
    <w:rsid w:val="00DA520B"/>
    <w:rsid w:val="00DA6101"/>
    <w:rsid w:val="00DB00E5"/>
    <w:rsid w:val="00DB0765"/>
    <w:rsid w:val="00DB11D9"/>
    <w:rsid w:val="00DB397A"/>
    <w:rsid w:val="00DB3C91"/>
    <w:rsid w:val="00DB44D3"/>
    <w:rsid w:val="00DC205D"/>
    <w:rsid w:val="00DC3589"/>
    <w:rsid w:val="00DC37D7"/>
    <w:rsid w:val="00DC39C4"/>
    <w:rsid w:val="00DC715B"/>
    <w:rsid w:val="00DC72A4"/>
    <w:rsid w:val="00DE4A9F"/>
    <w:rsid w:val="00DE5F00"/>
    <w:rsid w:val="00DE758E"/>
    <w:rsid w:val="00DF2755"/>
    <w:rsid w:val="00DF5F57"/>
    <w:rsid w:val="00DF62B2"/>
    <w:rsid w:val="00E034D4"/>
    <w:rsid w:val="00E03BEB"/>
    <w:rsid w:val="00E14175"/>
    <w:rsid w:val="00E243D8"/>
    <w:rsid w:val="00E25E55"/>
    <w:rsid w:val="00E27475"/>
    <w:rsid w:val="00E420FF"/>
    <w:rsid w:val="00E43225"/>
    <w:rsid w:val="00E46D6B"/>
    <w:rsid w:val="00E518A8"/>
    <w:rsid w:val="00E51DA2"/>
    <w:rsid w:val="00E617DA"/>
    <w:rsid w:val="00E627CA"/>
    <w:rsid w:val="00E651E7"/>
    <w:rsid w:val="00E65C71"/>
    <w:rsid w:val="00E672AF"/>
    <w:rsid w:val="00E75357"/>
    <w:rsid w:val="00E82478"/>
    <w:rsid w:val="00E849B7"/>
    <w:rsid w:val="00E861EB"/>
    <w:rsid w:val="00E90795"/>
    <w:rsid w:val="00E95E8B"/>
    <w:rsid w:val="00E96991"/>
    <w:rsid w:val="00E969B0"/>
    <w:rsid w:val="00E97426"/>
    <w:rsid w:val="00EA442B"/>
    <w:rsid w:val="00EA5F3A"/>
    <w:rsid w:val="00EB3665"/>
    <w:rsid w:val="00EB36F7"/>
    <w:rsid w:val="00EB6E77"/>
    <w:rsid w:val="00EC0A64"/>
    <w:rsid w:val="00EC1922"/>
    <w:rsid w:val="00EC3870"/>
    <w:rsid w:val="00EC39E7"/>
    <w:rsid w:val="00EC4DC9"/>
    <w:rsid w:val="00EC5634"/>
    <w:rsid w:val="00EC64D6"/>
    <w:rsid w:val="00EC6FC6"/>
    <w:rsid w:val="00ED1F09"/>
    <w:rsid w:val="00ED404C"/>
    <w:rsid w:val="00ED74D2"/>
    <w:rsid w:val="00ED78A3"/>
    <w:rsid w:val="00EE04AB"/>
    <w:rsid w:val="00EE2B9B"/>
    <w:rsid w:val="00EE67AB"/>
    <w:rsid w:val="00EE770C"/>
    <w:rsid w:val="00EF0FFF"/>
    <w:rsid w:val="00EF2998"/>
    <w:rsid w:val="00EF6CB6"/>
    <w:rsid w:val="00EF7895"/>
    <w:rsid w:val="00F0060F"/>
    <w:rsid w:val="00F00AC2"/>
    <w:rsid w:val="00F00B54"/>
    <w:rsid w:val="00F03202"/>
    <w:rsid w:val="00F03495"/>
    <w:rsid w:val="00F048E7"/>
    <w:rsid w:val="00F062D4"/>
    <w:rsid w:val="00F1090A"/>
    <w:rsid w:val="00F112D0"/>
    <w:rsid w:val="00F11D7F"/>
    <w:rsid w:val="00F20AB3"/>
    <w:rsid w:val="00F24E15"/>
    <w:rsid w:val="00F347A0"/>
    <w:rsid w:val="00F44724"/>
    <w:rsid w:val="00F44F11"/>
    <w:rsid w:val="00F469C4"/>
    <w:rsid w:val="00F46B47"/>
    <w:rsid w:val="00F51D70"/>
    <w:rsid w:val="00F55984"/>
    <w:rsid w:val="00F5617D"/>
    <w:rsid w:val="00F57D98"/>
    <w:rsid w:val="00F60A1C"/>
    <w:rsid w:val="00F610AF"/>
    <w:rsid w:val="00F61EA2"/>
    <w:rsid w:val="00F62CF4"/>
    <w:rsid w:val="00F62FB7"/>
    <w:rsid w:val="00F63C50"/>
    <w:rsid w:val="00F653B4"/>
    <w:rsid w:val="00F70951"/>
    <w:rsid w:val="00F709B1"/>
    <w:rsid w:val="00F74401"/>
    <w:rsid w:val="00F7440C"/>
    <w:rsid w:val="00F75728"/>
    <w:rsid w:val="00F7657F"/>
    <w:rsid w:val="00F76A0D"/>
    <w:rsid w:val="00F83020"/>
    <w:rsid w:val="00F85904"/>
    <w:rsid w:val="00F90557"/>
    <w:rsid w:val="00F921C4"/>
    <w:rsid w:val="00F93EEA"/>
    <w:rsid w:val="00F94CAC"/>
    <w:rsid w:val="00F958D4"/>
    <w:rsid w:val="00F95E80"/>
    <w:rsid w:val="00F96191"/>
    <w:rsid w:val="00F97623"/>
    <w:rsid w:val="00F976AB"/>
    <w:rsid w:val="00FA16EC"/>
    <w:rsid w:val="00FA29A8"/>
    <w:rsid w:val="00FA31D8"/>
    <w:rsid w:val="00FA6E64"/>
    <w:rsid w:val="00FB1254"/>
    <w:rsid w:val="00FC2756"/>
    <w:rsid w:val="00FC27A8"/>
    <w:rsid w:val="00FC4F0A"/>
    <w:rsid w:val="00FD0824"/>
    <w:rsid w:val="00FD0FFB"/>
    <w:rsid w:val="00FD1817"/>
    <w:rsid w:val="00FD1F72"/>
    <w:rsid w:val="00FD2A34"/>
    <w:rsid w:val="00FD2D99"/>
    <w:rsid w:val="00FD3F02"/>
    <w:rsid w:val="00FD522E"/>
    <w:rsid w:val="00FD6311"/>
    <w:rsid w:val="00FE686B"/>
    <w:rsid w:val="00FF074F"/>
    <w:rsid w:val="00FF0BBE"/>
    <w:rsid w:val="00FF2B48"/>
    <w:rsid w:val="00F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5CD35"/>
  <w15:docId w15:val="{2FE3BCD5-B9FD-41BB-9E93-004623F2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FB"/>
    <w:rPr>
      <w:rFonts w:ascii="Verdana" w:hAnsi="Verdana"/>
      <w:sz w:val="22"/>
    </w:rPr>
  </w:style>
  <w:style w:type="paragraph" w:styleId="Heading1">
    <w:name w:val="heading 1"/>
    <w:basedOn w:val="Normal"/>
    <w:next w:val="Normal"/>
    <w:link w:val="Heading1Char"/>
    <w:qFormat/>
    <w:rsid w:val="005C70B1"/>
    <w:pPr>
      <w:outlineLvl w:val="0"/>
    </w:pPr>
    <w:rPr>
      <w:b/>
      <w:szCs w:val="22"/>
    </w:rPr>
  </w:style>
  <w:style w:type="paragraph" w:styleId="Heading2">
    <w:name w:val="heading 2"/>
    <w:basedOn w:val="Normal"/>
    <w:next w:val="Normal"/>
    <w:link w:val="Heading2Char"/>
    <w:qFormat/>
    <w:rsid w:val="00FE686B"/>
    <w:pPr>
      <w:outlineLvl w:val="1"/>
    </w:pPr>
    <w:rPr>
      <w:b/>
      <w:i/>
      <w:szCs w:val="22"/>
    </w:rPr>
  </w:style>
  <w:style w:type="paragraph" w:styleId="Heading3">
    <w:name w:val="heading 3"/>
    <w:basedOn w:val="Normal"/>
    <w:next w:val="Normal"/>
    <w:link w:val="Heading3Char"/>
    <w:autoRedefine/>
    <w:qFormat/>
    <w:rsid w:val="00F51D70"/>
    <w:pPr>
      <w:outlineLvl w:val="2"/>
    </w:pPr>
    <w:rPr>
      <w:b/>
      <w:i/>
      <w:szCs w:val="22"/>
    </w:rPr>
  </w:style>
  <w:style w:type="paragraph" w:styleId="Heading4">
    <w:name w:val="heading 4"/>
    <w:basedOn w:val="Normal"/>
    <w:next w:val="Normal"/>
    <w:qFormat/>
    <w:pPr>
      <w:keepNext/>
      <w:numPr>
        <w:numId w:val="1"/>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1C44"/>
    <w:rPr>
      <w:szCs w:val="22"/>
    </w:rPr>
  </w:style>
  <w:style w:type="paragraph" w:customStyle="1" w:styleId="Indent">
    <w:name w:val="Indent"/>
    <w:basedOn w:val="Normal"/>
    <w:pPr>
      <w:ind w:left="720" w:right="360"/>
    </w:pPr>
  </w:style>
  <w:style w:type="paragraph" w:styleId="TOC1">
    <w:name w:val="toc 1"/>
    <w:basedOn w:val="Normal"/>
    <w:next w:val="Normal"/>
    <w:autoRedefine/>
    <w:semiHidden/>
    <w:pPr>
      <w:keepNext/>
      <w:tabs>
        <w:tab w:val="left" w:pos="965"/>
        <w:tab w:val="right" w:leader="dot" w:pos="8640"/>
      </w:tabs>
    </w:pPr>
    <w:rPr>
      <w:b/>
      <w:caps/>
    </w:rPr>
  </w:style>
  <w:style w:type="paragraph" w:styleId="TOC2">
    <w:name w:val="toc 2"/>
    <w:basedOn w:val="Normal"/>
    <w:next w:val="Normal"/>
    <w:autoRedefine/>
    <w:semiHidden/>
    <w:pPr>
      <w:ind w:left="245"/>
    </w:pPr>
    <w:rPr>
      <w:b/>
      <w:noProof/>
      <w:sz w:val="20"/>
    </w:rPr>
  </w:style>
  <w:style w:type="paragraph" w:styleId="Title">
    <w:name w:val="Title"/>
    <w:basedOn w:val="Normal"/>
    <w:qFormat/>
    <w:rsid w:val="00EC5634"/>
    <w:pPr>
      <w:jc w:val="center"/>
    </w:pPr>
    <w:rPr>
      <w:b/>
      <w:bCs/>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szCs w:val="24"/>
    </w:rPr>
  </w:style>
  <w:style w:type="paragraph" w:styleId="BodyText">
    <w:name w:val="Body Text"/>
    <w:basedOn w:val="Normal"/>
    <w:rPr>
      <w:i/>
      <w:iCs/>
    </w:rPr>
  </w:style>
  <w:style w:type="paragraph" w:customStyle="1" w:styleId="Changes">
    <w:name w:val="Changes"/>
    <w:basedOn w:val="Normal"/>
    <w:link w:val="ChangesChar"/>
    <w:pPr>
      <w:tabs>
        <w:tab w:val="left" w:pos="2340"/>
      </w:tabs>
      <w:ind w:left="2340" w:hanging="2412"/>
    </w:pPr>
    <w:rPr>
      <w:rFonts w:ascii="Arial" w:hAnsi="Arial"/>
      <w:szCs w:val="24"/>
    </w:rPr>
  </w:style>
  <w:style w:type="character" w:customStyle="1" w:styleId="ChangesChar">
    <w:name w:val="Changes Char"/>
    <w:basedOn w:val="DefaultParagraphFont"/>
    <w:link w:val="Changes"/>
    <w:rPr>
      <w:rFonts w:ascii="Arial" w:hAnsi="Arial"/>
      <w:sz w:val="24"/>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character" w:styleId="Emphasis">
    <w:name w:val="Emphasis"/>
    <w:basedOn w:val="DefaultParagraphFont"/>
    <w:qFormat/>
    <w:rPr>
      <w:i/>
      <w:iCs/>
    </w:rPr>
  </w:style>
  <w:style w:type="character" w:customStyle="1" w:styleId="Heading3Char">
    <w:name w:val="Heading 3 Char"/>
    <w:basedOn w:val="DefaultParagraphFont"/>
    <w:link w:val="Heading3"/>
    <w:rsid w:val="00F51D70"/>
    <w:rPr>
      <w:rFonts w:ascii="Verdana" w:hAnsi="Verdana"/>
      <w:b/>
      <w:i/>
      <w:sz w:val="22"/>
      <w:szCs w:val="22"/>
      <w:lang w:val="en-US" w:eastAsia="en-US" w:bidi="ar-SA"/>
    </w:rPr>
  </w:style>
  <w:style w:type="character" w:customStyle="1" w:styleId="Heading2Char">
    <w:name w:val="Heading 2 Char"/>
    <w:basedOn w:val="DefaultParagraphFont"/>
    <w:link w:val="Heading2"/>
    <w:rsid w:val="00FE686B"/>
    <w:rPr>
      <w:rFonts w:ascii="Verdana" w:hAnsi="Verdana"/>
      <w:b/>
      <w:i/>
      <w:sz w:val="22"/>
      <w:szCs w:val="22"/>
    </w:rPr>
  </w:style>
  <w:style w:type="paragraph" w:customStyle="1" w:styleId="BulletList">
    <w:name w:val="Bullet List"/>
    <w:basedOn w:val="Text"/>
    <w:rsid w:val="00FE686B"/>
    <w:pPr>
      <w:numPr>
        <w:numId w:val="5"/>
      </w:numPr>
    </w:pPr>
  </w:style>
  <w:style w:type="paragraph" w:customStyle="1" w:styleId="BulletList2">
    <w:name w:val="Bullet List 2"/>
    <w:basedOn w:val="ListParagraph"/>
    <w:link w:val="BulletList2Char"/>
    <w:rsid w:val="00FE686B"/>
    <w:pPr>
      <w:numPr>
        <w:ilvl w:val="1"/>
        <w:numId w:val="4"/>
      </w:numPr>
    </w:pPr>
    <w:rPr>
      <w:szCs w:val="22"/>
    </w:rPr>
  </w:style>
  <w:style w:type="paragraph" w:styleId="ListBullet">
    <w:name w:val="List Bullet"/>
    <w:basedOn w:val="Normal"/>
    <w:link w:val="ListBulletChar"/>
    <w:rsid w:val="0000746B"/>
    <w:pPr>
      <w:numPr>
        <w:numId w:val="3"/>
      </w:numPr>
    </w:pPr>
  </w:style>
  <w:style w:type="paragraph" w:customStyle="1" w:styleId="Text-Shaded">
    <w:name w:val="Text-Shaded"/>
    <w:basedOn w:val="Text"/>
    <w:rsid w:val="00263E86"/>
    <w:pPr>
      <w:shd w:val="clear" w:color="auto" w:fill="CCCCCC"/>
    </w:pPr>
  </w:style>
  <w:style w:type="character" w:customStyle="1" w:styleId="ListBulletChar">
    <w:name w:val="List Bullet Char"/>
    <w:basedOn w:val="DefaultParagraphFont"/>
    <w:link w:val="ListBullet"/>
    <w:rsid w:val="00263E86"/>
    <w:rPr>
      <w:rFonts w:ascii="Verdana" w:hAnsi="Verdana"/>
      <w:sz w:val="22"/>
    </w:rPr>
  </w:style>
  <w:style w:type="character" w:customStyle="1" w:styleId="BulletList2Char">
    <w:name w:val="Bullet List 2 Char"/>
    <w:basedOn w:val="ListBulletChar"/>
    <w:link w:val="BulletList2"/>
    <w:rsid w:val="00FE686B"/>
    <w:rPr>
      <w:rFonts w:ascii="Verdana" w:hAnsi="Verdana"/>
      <w:sz w:val="22"/>
      <w:szCs w:val="22"/>
    </w:rPr>
  </w:style>
  <w:style w:type="paragraph" w:customStyle="1" w:styleId="BulletList3">
    <w:name w:val="Bullet List 3"/>
    <w:basedOn w:val="ListBullet"/>
    <w:rsid w:val="004B203D"/>
    <w:pPr>
      <w:numPr>
        <w:ilvl w:val="1"/>
        <w:numId w:val="2"/>
      </w:numPr>
    </w:pPr>
    <w:rPr>
      <w:i/>
      <w:szCs w:val="22"/>
    </w:rPr>
  </w:style>
  <w:style w:type="paragraph" w:styleId="ListParagraph">
    <w:name w:val="List Paragraph"/>
    <w:basedOn w:val="Normal"/>
    <w:uiPriority w:val="34"/>
    <w:qFormat/>
    <w:rsid w:val="006D04EF"/>
    <w:pPr>
      <w:ind w:left="720"/>
      <w:contextualSpacing/>
    </w:pPr>
  </w:style>
  <w:style w:type="character" w:customStyle="1" w:styleId="Heading1Char">
    <w:name w:val="Heading 1 Char"/>
    <w:basedOn w:val="DefaultParagraphFont"/>
    <w:link w:val="Heading1"/>
    <w:rsid w:val="005C70B1"/>
    <w:rPr>
      <w:rFonts w:ascii="Verdana" w:hAnsi="Verdana"/>
      <w:b/>
      <w:sz w:val="22"/>
      <w:szCs w:val="22"/>
    </w:rPr>
  </w:style>
  <w:style w:type="character" w:customStyle="1" w:styleId="TextChar">
    <w:name w:val="Text Char"/>
    <w:basedOn w:val="DefaultParagraphFont"/>
    <w:link w:val="Text"/>
    <w:rsid w:val="00ED404C"/>
    <w:rPr>
      <w:rFonts w:ascii="Verdana" w:hAnsi="Verdana"/>
      <w:sz w:val="22"/>
      <w:szCs w:val="22"/>
    </w:rPr>
  </w:style>
  <w:style w:type="table" w:styleId="TableGrid">
    <w:name w:val="Table Grid"/>
    <w:basedOn w:val="TableNormal"/>
    <w:uiPriority w:val="59"/>
    <w:rsid w:val="0056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4516E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8048">
      <w:bodyDiv w:val="1"/>
      <w:marLeft w:val="0"/>
      <w:marRight w:val="0"/>
      <w:marTop w:val="0"/>
      <w:marBottom w:val="0"/>
      <w:divBdr>
        <w:top w:val="none" w:sz="0" w:space="0" w:color="auto"/>
        <w:left w:val="none" w:sz="0" w:space="0" w:color="auto"/>
        <w:bottom w:val="none" w:sz="0" w:space="0" w:color="auto"/>
        <w:right w:val="none" w:sz="0" w:space="0" w:color="auto"/>
      </w:divBdr>
      <w:divsChild>
        <w:div w:id="404768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E422-3C24-48E6-B925-32D48E18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HIGHLIGHTS – TMEP 4th EDITION – APRIL 2005</vt:lpstr>
    </vt:vector>
  </TitlesOfParts>
  <Company>USPTO</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 – TMEP 4th EDITION – APRIL 2005</dc:title>
  <dc:creator>USPTO</dc:creator>
  <cp:lastModifiedBy>Cain, Catherine</cp:lastModifiedBy>
  <cp:revision>11</cp:revision>
  <cp:lastPrinted>2011-09-20T11:43:00Z</cp:lastPrinted>
  <dcterms:created xsi:type="dcterms:W3CDTF">2017-09-26T19:36:00Z</dcterms:created>
  <dcterms:modified xsi:type="dcterms:W3CDTF">2017-10-10T14:56:00Z</dcterms:modified>
</cp:coreProperties>
</file>