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2BA6B" w14:textId="27E92859" w:rsidR="002027C6" w:rsidRPr="00FA6E64" w:rsidRDefault="00FA6E64" w:rsidP="00FA6E64">
      <w:pPr>
        <w:pStyle w:val="Title"/>
      </w:pPr>
      <w:bookmarkStart w:id="0" w:name="_GoBack"/>
      <w:bookmarkEnd w:id="0"/>
      <w:r>
        <w:t xml:space="preserve">TMEP </w:t>
      </w:r>
      <w:r w:rsidR="00AE596B" w:rsidRPr="00FA6E64">
        <w:t xml:space="preserve">HIGHLIGHTS </w:t>
      </w:r>
      <w:r w:rsidR="002027C6" w:rsidRPr="00FA6E64">
        <w:t>–</w:t>
      </w:r>
      <w:r w:rsidR="00194905">
        <w:t xml:space="preserve"> OCTOBER</w:t>
      </w:r>
      <w:r w:rsidR="002961F3">
        <w:t xml:space="preserve"> 201</w:t>
      </w:r>
      <w:r w:rsidR="004516EB">
        <w:t>6</w:t>
      </w:r>
    </w:p>
    <w:p w14:paraId="6CD66C9E" w14:textId="77777777" w:rsidR="002027C6" w:rsidRPr="006245EE" w:rsidRDefault="002027C6" w:rsidP="00B76D17">
      <w:pPr>
        <w:rPr>
          <w:szCs w:val="22"/>
        </w:rPr>
      </w:pPr>
    </w:p>
    <w:p w14:paraId="7911C9C1" w14:textId="693C9256" w:rsidR="002027C6" w:rsidRPr="00A91C44" w:rsidRDefault="002027C6" w:rsidP="00FE686B">
      <w:r w:rsidRPr="00A91C44">
        <w:t xml:space="preserve">This outline highlights </w:t>
      </w:r>
      <w:r w:rsidR="00FA6E64">
        <w:t xml:space="preserve">some of the </w:t>
      </w:r>
      <w:r w:rsidR="00BB5AB6">
        <w:t xml:space="preserve">clarifications and </w:t>
      </w:r>
      <w:r w:rsidRPr="00A91C44">
        <w:t xml:space="preserve">changes </w:t>
      </w:r>
      <w:r w:rsidR="00AE596B">
        <w:t>se</w:t>
      </w:r>
      <w:r w:rsidR="00F1090A">
        <w:t xml:space="preserve">t forth in the </w:t>
      </w:r>
      <w:r w:rsidR="00194905">
        <w:t xml:space="preserve">October </w:t>
      </w:r>
      <w:r w:rsidR="002961F3">
        <w:t>201</w:t>
      </w:r>
      <w:r w:rsidR="004516EB">
        <w:t>6</w:t>
      </w:r>
      <w:r w:rsidR="002961F3">
        <w:t xml:space="preserve"> version of the TMEP</w:t>
      </w:r>
      <w:r w:rsidR="00C50783">
        <w:t xml:space="preserve">. </w:t>
      </w:r>
      <w:r w:rsidR="00866A17">
        <w:t xml:space="preserve"> </w:t>
      </w:r>
      <w:r w:rsidRPr="00A91C44">
        <w:t xml:space="preserve">For a more complete listing, see </w:t>
      </w:r>
      <w:r w:rsidR="008417DD" w:rsidRPr="00A91C44">
        <w:t>the</w:t>
      </w:r>
      <w:r w:rsidR="00160D04" w:rsidRPr="00A91C44">
        <w:t xml:space="preserve"> </w:t>
      </w:r>
      <w:r w:rsidR="008417DD" w:rsidRPr="00A91C44">
        <w:t>“</w:t>
      </w:r>
      <w:r w:rsidR="002961F3">
        <w:t xml:space="preserve">Index to </w:t>
      </w:r>
      <w:r w:rsidR="00F1090A">
        <w:t xml:space="preserve">Changes </w:t>
      </w:r>
      <w:r w:rsidR="002961F3">
        <w:t>in</w:t>
      </w:r>
      <w:r w:rsidR="00F1090A">
        <w:t xml:space="preserve"> TMEP</w:t>
      </w:r>
      <w:r w:rsidR="00194905">
        <w:t xml:space="preserve"> October</w:t>
      </w:r>
      <w:r w:rsidR="002961F3">
        <w:t xml:space="preserve"> 201</w:t>
      </w:r>
      <w:r w:rsidR="004516EB">
        <w:t>6</w:t>
      </w:r>
      <w:r w:rsidR="008417DD" w:rsidRPr="00A91C44">
        <w:t xml:space="preserve">” document, which is posted as part of the TMEP. </w:t>
      </w:r>
    </w:p>
    <w:p w14:paraId="3A75E1BB" w14:textId="77777777" w:rsidR="00CC2628" w:rsidRDefault="00186A91" w:rsidP="00B76D17">
      <w:pPr>
        <w:rPr>
          <w:szCs w:val="22"/>
        </w:rPr>
      </w:pPr>
      <w:r>
        <w:rPr>
          <w:szCs w:val="22"/>
        </w:rPr>
        <w:t>_____________________________________________________________</w:t>
      </w:r>
    </w:p>
    <w:p w14:paraId="57619D12" w14:textId="77777777" w:rsidR="00BD297D" w:rsidRDefault="00BD297D" w:rsidP="00B76D17">
      <w:pPr>
        <w:rPr>
          <w:szCs w:val="22"/>
        </w:rPr>
      </w:pPr>
    </w:p>
    <w:p w14:paraId="3A79C43C" w14:textId="77777777" w:rsidR="00C24661" w:rsidRPr="00C24661" w:rsidRDefault="00C24661" w:rsidP="00F60A1C">
      <w:pPr>
        <w:pStyle w:val="Heading1"/>
      </w:pPr>
      <w:r w:rsidRPr="00F60A1C">
        <w:t>PRIORITY</w:t>
      </w:r>
      <w:r w:rsidRPr="00C24661">
        <w:t xml:space="preserve"> </w:t>
      </w:r>
    </w:p>
    <w:p w14:paraId="386A7F20" w14:textId="77777777" w:rsidR="00C24661" w:rsidRDefault="00C24661" w:rsidP="00B76D17">
      <w:pPr>
        <w:rPr>
          <w:b/>
          <w:szCs w:val="22"/>
        </w:rPr>
      </w:pPr>
    </w:p>
    <w:p w14:paraId="0D6B409D" w14:textId="521D8AD6" w:rsidR="00B06EF6" w:rsidRPr="00B06EF6" w:rsidRDefault="00C24661" w:rsidP="00B76D17">
      <w:pPr>
        <w:rPr>
          <w:b/>
          <w:szCs w:val="22"/>
        </w:rPr>
      </w:pPr>
      <w:r>
        <w:rPr>
          <w:rStyle w:val="Heading2Char"/>
        </w:rPr>
        <w:t>§44(d) and</w:t>
      </w:r>
      <w:r w:rsidRPr="00C24661">
        <w:rPr>
          <w:rStyle w:val="Heading2Char"/>
        </w:rPr>
        <w:t xml:space="preserve"> §66(a) A</w:t>
      </w:r>
      <w:r>
        <w:rPr>
          <w:rStyle w:val="Heading2Char"/>
        </w:rPr>
        <w:t>pplications</w:t>
      </w:r>
      <w:r>
        <w:rPr>
          <w:b/>
          <w:szCs w:val="22"/>
        </w:rPr>
        <w:t xml:space="preserve"> </w:t>
      </w:r>
      <w:r w:rsidRPr="00C24661">
        <w:rPr>
          <w:szCs w:val="22"/>
        </w:rPr>
        <w:t>(TMEP §§206.02, 1003.05, 1715.01(a), 1904.01(e))</w:t>
      </w:r>
    </w:p>
    <w:p w14:paraId="39C01087" w14:textId="77777777" w:rsidR="00B06EF6" w:rsidRDefault="00B06EF6" w:rsidP="00B76D17">
      <w:pPr>
        <w:rPr>
          <w:szCs w:val="22"/>
        </w:rPr>
      </w:pPr>
    </w:p>
    <w:p w14:paraId="6ED4BD09" w14:textId="77777777" w:rsidR="00C24661" w:rsidRPr="00F60A1C" w:rsidRDefault="00C24661" w:rsidP="00050D24">
      <w:pPr>
        <w:pStyle w:val="Text"/>
        <w:numPr>
          <w:ilvl w:val="0"/>
          <w:numId w:val="7"/>
        </w:numPr>
      </w:pPr>
      <w:r w:rsidRPr="00F60A1C">
        <w:t xml:space="preserve">If the priority date is included in the original §44(d) or §66(a) application, the examining attorney must determine, while conducting a search of USPTO records for conflicting marks, whether there are any applications for conflicting marks that would be deemed later filed.  The examining attorney must also notify the examining attorney assigned to any later-filed application so that the application may be suspended pending disposition of the §44(d) or §66(a) application with the earlier effective filing date.  </w:t>
      </w:r>
    </w:p>
    <w:p w14:paraId="70DEEDFE" w14:textId="77777777" w:rsidR="00C24661" w:rsidRPr="00F60A1C" w:rsidRDefault="00C24661" w:rsidP="00F60A1C">
      <w:pPr>
        <w:pStyle w:val="Text"/>
      </w:pPr>
    </w:p>
    <w:p w14:paraId="7264EFE3" w14:textId="17F7DF41" w:rsidR="00C24661" w:rsidRPr="00F60A1C" w:rsidRDefault="00C24661" w:rsidP="00050D24">
      <w:pPr>
        <w:pStyle w:val="Text"/>
        <w:numPr>
          <w:ilvl w:val="0"/>
          <w:numId w:val="7"/>
        </w:numPr>
      </w:pPr>
      <w:r w:rsidRPr="00F60A1C">
        <w:t xml:space="preserve">If the priority claim in a §44(d) or §66(a) application is submitted after the examining attorney has conducted a search of USPTO records for conflicting marks, the examining attorney must conduct a new search to determine whether, in view of the new earlier effective filing date, there are any applications for conflicting marks that would now be deemed later filed.  The examining attorney must also notify the examining attorney assigned to any now later-filed application so that the application may be suspended pending disposition of the application with the earlier effective filing date.  </w:t>
      </w:r>
    </w:p>
    <w:p w14:paraId="390491AB" w14:textId="77777777" w:rsidR="00C24661" w:rsidRPr="00F60A1C" w:rsidRDefault="00C24661" w:rsidP="00F60A1C">
      <w:pPr>
        <w:pStyle w:val="Text"/>
      </w:pPr>
    </w:p>
    <w:p w14:paraId="678A2043" w14:textId="5D8E57A5" w:rsidR="00C24661" w:rsidRDefault="00C24661" w:rsidP="00050D24">
      <w:pPr>
        <w:pStyle w:val="Text"/>
        <w:numPr>
          <w:ilvl w:val="0"/>
          <w:numId w:val="7"/>
        </w:numPr>
      </w:pPr>
      <w:r w:rsidRPr="00F60A1C">
        <w:t>In some cases, another U.S. application filed after the §44(d) or §66(a) applicant’s priority date may proceed to publication or registration because the §44(d) applicant had not yet filed in the United States, or the request for extension of protection for the §66(a) application was not yet of record in the United States, when the examining attorney searched USPTO records.  The §44(d) or §66(a) applicant may bring the priority-date issue to the USPTO’s attention by submitting a letter of protest that includes the serial number of the §44(d) or §66(a) application in the other pending application</w:t>
      </w:r>
      <w:r w:rsidRPr="00C24661">
        <w:t xml:space="preserve">.  </w:t>
      </w:r>
    </w:p>
    <w:p w14:paraId="2BDE935C" w14:textId="77777777" w:rsidR="00C24661" w:rsidRPr="00C24661" w:rsidRDefault="00C24661" w:rsidP="00C24661">
      <w:pPr>
        <w:pStyle w:val="ListParagraph"/>
        <w:rPr>
          <w:szCs w:val="22"/>
        </w:rPr>
      </w:pPr>
    </w:p>
    <w:p w14:paraId="28C57256" w14:textId="5A5703D8" w:rsidR="00B06EF6" w:rsidRDefault="00B06EF6" w:rsidP="00B76D17">
      <w:pPr>
        <w:rPr>
          <w:szCs w:val="22"/>
        </w:rPr>
      </w:pPr>
      <w:r w:rsidRPr="00B06EF6">
        <w:rPr>
          <w:szCs w:val="22"/>
        </w:rPr>
        <w:t>_____________________________________________________________</w:t>
      </w:r>
    </w:p>
    <w:p w14:paraId="067DBC7B" w14:textId="77777777" w:rsidR="00435942" w:rsidRDefault="00435942" w:rsidP="00B76D17">
      <w:pPr>
        <w:rPr>
          <w:szCs w:val="22"/>
        </w:rPr>
      </w:pPr>
    </w:p>
    <w:p w14:paraId="762F2F41" w14:textId="294FDDE9" w:rsidR="00435942" w:rsidRDefault="00F60A1C" w:rsidP="00F60A1C">
      <w:pPr>
        <w:pStyle w:val="Heading1"/>
      </w:pPr>
      <w:r>
        <w:t>UNAUTHORIZED PRACTICE</w:t>
      </w:r>
    </w:p>
    <w:p w14:paraId="2C75411E" w14:textId="77777777" w:rsidR="00F60A1C" w:rsidRDefault="00F60A1C" w:rsidP="00435942">
      <w:pPr>
        <w:rPr>
          <w:b/>
          <w:szCs w:val="22"/>
        </w:rPr>
      </w:pPr>
    </w:p>
    <w:p w14:paraId="18D25188" w14:textId="5076F193" w:rsidR="00F60A1C" w:rsidRDefault="00F60A1C" w:rsidP="00F60A1C">
      <w:pPr>
        <w:rPr>
          <w:szCs w:val="22"/>
        </w:rPr>
      </w:pPr>
      <w:r w:rsidRPr="00F60A1C">
        <w:rPr>
          <w:rStyle w:val="Heading2Char"/>
        </w:rPr>
        <w:t>Individuals Excluded, Suspended, or Unauthorized</w:t>
      </w:r>
      <w:r>
        <w:rPr>
          <w:b/>
          <w:szCs w:val="22"/>
        </w:rPr>
        <w:t xml:space="preserve"> </w:t>
      </w:r>
      <w:r w:rsidRPr="00C24661">
        <w:rPr>
          <w:szCs w:val="22"/>
        </w:rPr>
        <w:t>(</w:t>
      </w:r>
      <w:r>
        <w:rPr>
          <w:szCs w:val="22"/>
        </w:rPr>
        <w:t>TMEP §608.02)</w:t>
      </w:r>
    </w:p>
    <w:p w14:paraId="6F83BD2F" w14:textId="31D89C9B" w:rsidR="00F60A1C" w:rsidRDefault="00F60A1C" w:rsidP="00050D24">
      <w:pPr>
        <w:pStyle w:val="Text"/>
        <w:numPr>
          <w:ilvl w:val="0"/>
          <w:numId w:val="6"/>
        </w:numPr>
      </w:pPr>
      <w:r w:rsidRPr="00F60A1C">
        <w:lastRenderedPageBreak/>
        <w:t>When an individual has been suspended or excluded from practice before the USPTO, the USPTO may notify the affected applicants or and registrants</w:t>
      </w:r>
      <w:r>
        <w:t>.</w:t>
      </w:r>
    </w:p>
    <w:p w14:paraId="4FC1EFB8" w14:textId="32447B12" w:rsidR="00F60A1C" w:rsidRPr="00B06EF6" w:rsidRDefault="00F60A1C" w:rsidP="00050D24">
      <w:pPr>
        <w:pStyle w:val="Text"/>
        <w:numPr>
          <w:ilvl w:val="0"/>
          <w:numId w:val="6"/>
        </w:numPr>
      </w:pPr>
      <w:r w:rsidRPr="00F60A1C">
        <w:t xml:space="preserve">Generally, if an Office action was sent to the correspondence address of record before the relevant party’s suspension or exclusion and the action remains outstanding, the USPTO will not send the applicant or registrant a supplemental action restating the refusals or requirements.  </w:t>
      </w:r>
    </w:p>
    <w:p w14:paraId="17A76E97" w14:textId="77777777" w:rsidR="00435942" w:rsidRDefault="00435942" w:rsidP="00435942">
      <w:pPr>
        <w:rPr>
          <w:szCs w:val="22"/>
        </w:rPr>
      </w:pPr>
      <w:r w:rsidRPr="00B06EF6">
        <w:rPr>
          <w:szCs w:val="22"/>
        </w:rPr>
        <w:t>_____________________________________________________________</w:t>
      </w:r>
    </w:p>
    <w:p w14:paraId="55780BCC" w14:textId="77777777" w:rsidR="009060EE" w:rsidRDefault="009060EE" w:rsidP="001109D0">
      <w:pPr>
        <w:pStyle w:val="Heading1"/>
        <w:rPr>
          <w:caps/>
        </w:rPr>
      </w:pPr>
    </w:p>
    <w:p w14:paraId="71E1D7CF" w14:textId="5FEA957B" w:rsidR="001109D0" w:rsidRPr="00A135BD" w:rsidRDefault="009060EE" w:rsidP="001109D0">
      <w:pPr>
        <w:pStyle w:val="Heading1"/>
        <w:rPr>
          <w:caps/>
        </w:rPr>
      </w:pPr>
      <w:r>
        <w:rPr>
          <w:caps/>
        </w:rPr>
        <w:t>SUSPENSION</w:t>
      </w:r>
    </w:p>
    <w:p w14:paraId="00211970" w14:textId="77777777" w:rsidR="001109D0" w:rsidRDefault="001109D0" w:rsidP="001109D0">
      <w:pPr>
        <w:rPr>
          <w:caps/>
        </w:rPr>
      </w:pPr>
    </w:p>
    <w:p w14:paraId="45756A6C" w14:textId="3FA4B6C4" w:rsidR="009060EE" w:rsidRDefault="009060EE" w:rsidP="001109D0">
      <w:bookmarkStart w:id="1" w:name="_Toc432252611"/>
      <w:r w:rsidRPr="009060EE">
        <w:rPr>
          <w:rStyle w:val="Heading2Char"/>
        </w:rPr>
        <w:t>Pending Cancellation or Expiration of Cited Registration</w:t>
      </w:r>
      <w:bookmarkEnd w:id="1"/>
      <w:r>
        <w:t xml:space="preserve"> (TMEP §716.02(e))</w:t>
      </w:r>
    </w:p>
    <w:p w14:paraId="72537A4A" w14:textId="77777777" w:rsidR="009060EE" w:rsidRDefault="009060EE" w:rsidP="001109D0"/>
    <w:p w14:paraId="4BD53387" w14:textId="77777777" w:rsidR="009060EE" w:rsidRDefault="009060EE" w:rsidP="00050D24">
      <w:pPr>
        <w:pStyle w:val="Text"/>
        <w:numPr>
          <w:ilvl w:val="0"/>
          <w:numId w:val="8"/>
        </w:numPr>
      </w:pPr>
      <w:r>
        <w:t>I</w:t>
      </w:r>
      <w:r w:rsidRPr="009060EE">
        <w:t>f the examining attorney is ready to issue a denial of a request for reconsideration of a final refusal of registration under §2(d)</w:t>
      </w:r>
      <w:r>
        <w:t>:</w:t>
      </w:r>
    </w:p>
    <w:p w14:paraId="534DE113" w14:textId="4D2697D6" w:rsidR="009060EE" w:rsidRDefault="009060EE" w:rsidP="00050D24">
      <w:pPr>
        <w:pStyle w:val="Text"/>
        <w:numPr>
          <w:ilvl w:val="1"/>
          <w:numId w:val="8"/>
        </w:numPr>
      </w:pPr>
      <w:r w:rsidRPr="009060EE">
        <w:t xml:space="preserve">If the registrant timely files, and the USPTO accepts, the §8 or §71 affidavit and/or the cited registration is renewed, </w:t>
      </w:r>
      <w:r w:rsidRPr="009060EE">
        <w:rPr>
          <w:i/>
        </w:rPr>
        <w:t>and the applicant has not filed an appeal</w:t>
      </w:r>
      <w:r w:rsidRPr="009060EE">
        <w:t xml:space="preserve">, the examining attorney will remove the application from suspension and issue an “Examiner’s Subsequent Final Refusal,” thereby giving the applicant six months in which to file an appeal.  </w:t>
      </w:r>
    </w:p>
    <w:p w14:paraId="07874E6A" w14:textId="314958FA" w:rsidR="009060EE" w:rsidRPr="009060EE" w:rsidRDefault="009060EE" w:rsidP="00050D24">
      <w:pPr>
        <w:pStyle w:val="Text"/>
        <w:numPr>
          <w:ilvl w:val="1"/>
          <w:numId w:val="8"/>
        </w:numPr>
      </w:pPr>
      <w:r w:rsidRPr="009060EE">
        <w:t xml:space="preserve">If the applicant filed the request for reconsideration </w:t>
      </w:r>
      <w:r w:rsidRPr="009060EE">
        <w:rPr>
          <w:i/>
        </w:rPr>
        <w:t>in conjunction with a notice of appeal</w:t>
      </w:r>
      <w:r w:rsidRPr="009060EE">
        <w:t>, the examining attorney will remove the application from suspension and issue a "Request for Reconsideration Denied – Return to TTAB."</w:t>
      </w:r>
    </w:p>
    <w:p w14:paraId="562DC95A" w14:textId="77777777" w:rsidR="002D6FD4" w:rsidRDefault="002D6FD4" w:rsidP="002D6FD4">
      <w:r w:rsidRPr="008A23D1">
        <w:t>_____________________________________________________________</w:t>
      </w:r>
    </w:p>
    <w:p w14:paraId="3592649A" w14:textId="77777777" w:rsidR="002D6FD4" w:rsidRDefault="002D6FD4" w:rsidP="002D6FD4"/>
    <w:p w14:paraId="48AE70EB" w14:textId="7DD4320C" w:rsidR="00B02E24" w:rsidRDefault="008C548B" w:rsidP="00B02E24">
      <w:pPr>
        <w:pStyle w:val="Heading1"/>
      </w:pPr>
      <w:r>
        <w:t>LEGAL ENTITY OF APPLICANT</w:t>
      </w:r>
    </w:p>
    <w:p w14:paraId="377E2813" w14:textId="77777777" w:rsidR="008C548B" w:rsidRDefault="008C548B" w:rsidP="008C548B"/>
    <w:p w14:paraId="7FCF9696" w14:textId="77777777" w:rsidR="006C6285" w:rsidRDefault="008C548B" w:rsidP="006C6285">
      <w:pPr>
        <w:pStyle w:val="Heading2"/>
        <w:rPr>
          <w:b w:val="0"/>
          <w:i w:val="0"/>
        </w:rPr>
      </w:pPr>
      <w:r w:rsidRPr="006F0005">
        <w:t>Common Terms Designating Entity of Foreign Applicants</w:t>
      </w:r>
      <w:r>
        <w:rPr>
          <w:b w:val="0"/>
          <w:i w:val="0"/>
        </w:rPr>
        <w:t xml:space="preserve"> (TMEP §803.03(i)</w:t>
      </w:r>
    </w:p>
    <w:p w14:paraId="421248B4" w14:textId="77777777" w:rsidR="006C6285" w:rsidRDefault="006C6285" w:rsidP="006C6285">
      <w:pPr>
        <w:pStyle w:val="Heading2"/>
        <w:rPr>
          <w:b w:val="0"/>
          <w:i w:val="0"/>
        </w:rPr>
      </w:pPr>
    </w:p>
    <w:p w14:paraId="7372359D" w14:textId="59D100A3" w:rsidR="008C548B" w:rsidRPr="006C6285" w:rsidRDefault="008C548B" w:rsidP="006C6285">
      <w:pPr>
        <w:pStyle w:val="ListParagraph"/>
        <w:numPr>
          <w:ilvl w:val="0"/>
          <w:numId w:val="8"/>
        </w:numPr>
      </w:pPr>
      <w:r w:rsidRPr="008C548B">
        <w:rPr>
          <w:rStyle w:val="TextChar"/>
        </w:rPr>
        <w:t>The designation Foreign Maritime Entity (FME) is not an acceptable business entity type.  A “legal entity” is “[a] body, other than a natural person, that can function legally, sue or be sued, and make decisions through agents.”  Black’s Law Dictionary (10th ed. 2014).  Here, the capacity to sue or be sued rests with the foreign entity that registers as a FME, as opposed to the FME itself.  Therefore, the term FME does not identify a legal entity</w:t>
      </w:r>
      <w:r>
        <w:t>.</w:t>
      </w:r>
    </w:p>
    <w:p w14:paraId="3D5012AA" w14:textId="77777777" w:rsidR="00B02E24" w:rsidRDefault="00B02E24" w:rsidP="00942988">
      <w:r>
        <w:t>_____________________________________________________________</w:t>
      </w:r>
    </w:p>
    <w:p w14:paraId="43E8E9BC" w14:textId="77777777" w:rsidR="00B02E24" w:rsidRDefault="00B02E24" w:rsidP="00B02E24">
      <w:pPr>
        <w:pStyle w:val="Heading1"/>
      </w:pPr>
    </w:p>
    <w:p w14:paraId="083BB49E" w14:textId="3480DF03" w:rsidR="002A2353" w:rsidRDefault="008C548B" w:rsidP="00B02E24">
      <w:pPr>
        <w:pStyle w:val="Heading1"/>
      </w:pPr>
      <w:r>
        <w:t xml:space="preserve">REQUESTING ADDITIONAL INFORMATION </w:t>
      </w:r>
    </w:p>
    <w:p w14:paraId="659817A0" w14:textId="77777777" w:rsidR="002A2353" w:rsidRDefault="002A2353" w:rsidP="002A2353"/>
    <w:p w14:paraId="041E6965" w14:textId="04F92F00" w:rsidR="00B02E24" w:rsidRDefault="008C548B" w:rsidP="00B02E24">
      <w:r w:rsidRPr="008C548B">
        <w:rPr>
          <w:rStyle w:val="Heading2Char"/>
        </w:rPr>
        <w:t>Rule 2.61(b)</w:t>
      </w:r>
      <w:r>
        <w:t xml:space="preserve"> </w:t>
      </w:r>
      <w:r w:rsidRPr="008C548B">
        <w:t>(TMEP §814)</w:t>
      </w:r>
    </w:p>
    <w:p w14:paraId="1DBDF52D" w14:textId="77777777" w:rsidR="00A135BD" w:rsidRDefault="00A135BD" w:rsidP="00CF7B43"/>
    <w:p w14:paraId="7DD699E4" w14:textId="71926CE9" w:rsidR="007C2A0C" w:rsidRDefault="00146DF4" w:rsidP="00050D24">
      <w:pPr>
        <w:pStyle w:val="ListParagraph"/>
        <w:numPr>
          <w:ilvl w:val="0"/>
          <w:numId w:val="8"/>
        </w:numPr>
      </w:pPr>
      <w:r w:rsidRPr="00146DF4">
        <w:t>This rule is designed to encourage high-quality, efficient examination and recognizes that an applicant is often in the best position to provide the facts and information that the USPTO needs to properly examine an application and assess registrability of the applicant’s mark.</w:t>
      </w:r>
    </w:p>
    <w:p w14:paraId="648F2291" w14:textId="77777777" w:rsidR="00146DF4" w:rsidRDefault="00146DF4" w:rsidP="00050D24">
      <w:pPr>
        <w:pStyle w:val="ListParagraph"/>
        <w:numPr>
          <w:ilvl w:val="0"/>
          <w:numId w:val="8"/>
        </w:numPr>
      </w:pPr>
      <w:r w:rsidRPr="00146DF4">
        <w:t xml:space="preserve">The wording “reasonably necessary” should be interpreted broadly, and applies to information that is “relevant to” registrability or “reasonably calculated” to lead to such relevant information.  </w:t>
      </w:r>
    </w:p>
    <w:p w14:paraId="696DD42E" w14:textId="04886683" w:rsidR="00146DF4" w:rsidRDefault="00146DF4" w:rsidP="00050D24">
      <w:pPr>
        <w:pStyle w:val="ListParagraph"/>
        <w:numPr>
          <w:ilvl w:val="0"/>
          <w:numId w:val="8"/>
        </w:numPr>
      </w:pPr>
      <w:r w:rsidRPr="00146DF4">
        <w:t>A question is considered “relevant” if an examining attorney has a legitimate reason for asking for the information and if the information is pertinent to the examining attorney’s legal inquiry</w:t>
      </w:r>
      <w:r>
        <w:t>.</w:t>
      </w:r>
    </w:p>
    <w:p w14:paraId="4D9C6981" w14:textId="2747D09E" w:rsidR="00146DF4" w:rsidRDefault="00146DF4" w:rsidP="00050D24">
      <w:pPr>
        <w:pStyle w:val="ListParagraph"/>
        <w:numPr>
          <w:ilvl w:val="0"/>
          <w:numId w:val="8"/>
        </w:numPr>
      </w:pPr>
      <w:r w:rsidRPr="00146DF4">
        <w:t>An examining attorney should ask questions designed to obtain specific information that is factual</w:t>
      </w:r>
      <w:r>
        <w:t xml:space="preserve"> in nature under Rule 2.61(b).</w:t>
      </w:r>
    </w:p>
    <w:p w14:paraId="017CAEBA" w14:textId="06A41B1C" w:rsidR="00146DF4" w:rsidRDefault="00146DF4" w:rsidP="00050D24">
      <w:pPr>
        <w:pStyle w:val="ListParagraph"/>
        <w:numPr>
          <w:ilvl w:val="0"/>
          <w:numId w:val="8"/>
        </w:numPr>
      </w:pPr>
      <w:r w:rsidRPr="00146DF4">
        <w:t>The applicant has a duty to participate in the examination process by responding directly and completely to</w:t>
      </w:r>
      <w:r>
        <w:t xml:space="preserve"> each request for information.</w:t>
      </w:r>
    </w:p>
    <w:p w14:paraId="3F85AF55" w14:textId="488CD65E" w:rsidR="00146DF4" w:rsidRPr="002C13AB" w:rsidRDefault="00146DF4" w:rsidP="00050D24">
      <w:pPr>
        <w:pStyle w:val="ListParagraph"/>
        <w:numPr>
          <w:ilvl w:val="0"/>
          <w:numId w:val="8"/>
        </w:numPr>
      </w:pPr>
      <w:r w:rsidRPr="00146DF4">
        <w:t>An applicant’s failure to respond to an information requirement also can result in an adverse evidentiary inference being drawn regarding the issue to which the information requirement was directed</w:t>
      </w:r>
      <w:r>
        <w:t>.</w:t>
      </w:r>
    </w:p>
    <w:p w14:paraId="3E4D4F50" w14:textId="59F6D157" w:rsidR="007C2A0C" w:rsidRDefault="007C2A0C" w:rsidP="007C2A0C">
      <w:r>
        <w:t>_____________________________________________________________</w:t>
      </w:r>
    </w:p>
    <w:p w14:paraId="73E2A83F" w14:textId="77777777" w:rsidR="00994F1C" w:rsidRDefault="00994F1C" w:rsidP="002C36D0"/>
    <w:p w14:paraId="441324FE" w14:textId="496F5968" w:rsidR="00B06EF6" w:rsidRDefault="003C39DD" w:rsidP="003C39DD">
      <w:pPr>
        <w:pStyle w:val="Heading1"/>
      </w:pPr>
      <w:r>
        <w:t>SUPPLEMENTAL REGISTER</w:t>
      </w:r>
    </w:p>
    <w:p w14:paraId="1E76AA48" w14:textId="77777777" w:rsidR="003C39DD" w:rsidRDefault="003C39DD" w:rsidP="002C36D0">
      <w:pPr>
        <w:rPr>
          <w:b/>
        </w:rPr>
      </w:pPr>
    </w:p>
    <w:p w14:paraId="4FC5CF09" w14:textId="2F22B6B9" w:rsidR="003C39DD" w:rsidRPr="003C39DD" w:rsidRDefault="003C39DD" w:rsidP="002C36D0">
      <w:r>
        <w:rPr>
          <w:rStyle w:val="Heading2Char"/>
        </w:rPr>
        <w:t>Amendment After R</w:t>
      </w:r>
      <w:r w:rsidRPr="003C39DD">
        <w:rPr>
          <w:rStyle w:val="Heading2Char"/>
        </w:rPr>
        <w:t>efusal</w:t>
      </w:r>
      <w:r>
        <w:rPr>
          <w:b/>
        </w:rPr>
        <w:t xml:space="preserve"> </w:t>
      </w:r>
      <w:r w:rsidRPr="003C39DD">
        <w:t>(TMEP §816.04)</w:t>
      </w:r>
    </w:p>
    <w:p w14:paraId="2D7F0E99" w14:textId="77777777" w:rsidR="00B06EF6" w:rsidRDefault="00B06EF6" w:rsidP="002C36D0">
      <w:pPr>
        <w:rPr>
          <w:b/>
        </w:rPr>
      </w:pPr>
    </w:p>
    <w:p w14:paraId="379ABDCC" w14:textId="62D7BED1" w:rsidR="003C39DD" w:rsidRPr="003C39DD" w:rsidRDefault="003C39DD" w:rsidP="00050D24">
      <w:pPr>
        <w:pStyle w:val="ListParagraph"/>
        <w:numPr>
          <w:ilvl w:val="0"/>
          <w:numId w:val="9"/>
        </w:numPr>
        <w:rPr>
          <w:b/>
        </w:rPr>
      </w:pPr>
      <w:r>
        <w:t>An applicant may not “reserve the right” to amend to the Supplemental Register if a final refusal is not withdrawn or is affirmed on appeal.</w:t>
      </w:r>
    </w:p>
    <w:p w14:paraId="59DF619D" w14:textId="20A5DF5B" w:rsidR="00B06EF6" w:rsidRPr="00B06EF6" w:rsidRDefault="00B06EF6" w:rsidP="00B06EF6">
      <w:r w:rsidRPr="00B06EF6">
        <w:t>_______________________________________________________</w:t>
      </w:r>
      <w:r>
        <w:t>______</w:t>
      </w:r>
    </w:p>
    <w:p w14:paraId="3CCAC272" w14:textId="77777777" w:rsidR="00B06EF6" w:rsidRDefault="00B06EF6" w:rsidP="002C36D0">
      <w:pPr>
        <w:rPr>
          <w:b/>
        </w:rPr>
      </w:pPr>
    </w:p>
    <w:p w14:paraId="0BE8BC0C" w14:textId="2AFF2B01" w:rsidR="002A2353" w:rsidRDefault="002A2353" w:rsidP="003C39DD">
      <w:pPr>
        <w:pStyle w:val="Heading1"/>
      </w:pPr>
      <w:r>
        <w:t>T</w:t>
      </w:r>
      <w:r w:rsidR="003C39DD">
        <w:t>EAS PLUS</w:t>
      </w:r>
    </w:p>
    <w:p w14:paraId="7A82DE7D" w14:textId="77777777" w:rsidR="002A2353" w:rsidRDefault="002A2353" w:rsidP="002C36D0">
      <w:pPr>
        <w:rPr>
          <w:b/>
        </w:rPr>
      </w:pPr>
    </w:p>
    <w:p w14:paraId="2FA9BC23" w14:textId="6D07C62B" w:rsidR="00DE758E" w:rsidRDefault="003C39DD" w:rsidP="003C39DD">
      <w:pPr>
        <w:pStyle w:val="Heading2"/>
        <w:rPr>
          <w:b w:val="0"/>
          <w:i w:val="0"/>
        </w:rPr>
      </w:pPr>
      <w:r w:rsidRPr="0063380C">
        <w:t>Prior Registration of the Same Mark</w:t>
      </w:r>
      <w:r>
        <w:rPr>
          <w:b w:val="0"/>
          <w:i w:val="0"/>
        </w:rPr>
        <w:t xml:space="preserve"> (TMEP §819.01(p))</w:t>
      </w:r>
    </w:p>
    <w:p w14:paraId="7DA9900A" w14:textId="77777777" w:rsidR="003C39DD" w:rsidRDefault="003C39DD" w:rsidP="003C39DD"/>
    <w:p w14:paraId="5E4A473F" w14:textId="3A5EC3CA" w:rsidR="003C39DD" w:rsidRPr="003C39DD" w:rsidRDefault="003C39DD" w:rsidP="00050D24">
      <w:pPr>
        <w:pStyle w:val="ListParagraph"/>
        <w:numPr>
          <w:ilvl w:val="0"/>
          <w:numId w:val="9"/>
        </w:numPr>
      </w:pPr>
      <w:r w:rsidRPr="003C39DD">
        <w:t xml:space="preserve">The additional fee is required if a claim of ownership of registration(s) for the same mark, for which the last listed owner(s) of the prior registration(s) differs from the owner of the application, is omitted </w:t>
      </w:r>
      <w:r w:rsidRPr="003C39DD">
        <w:rPr>
          <w:i/>
        </w:rPr>
        <w:t>and the failure to claim the prior registration(s) would result in the issuance of a refusal under §2(d)</w:t>
      </w:r>
      <w:r>
        <w:t>.</w:t>
      </w:r>
    </w:p>
    <w:p w14:paraId="0A62770E" w14:textId="090DB6F3" w:rsidR="00DE758E" w:rsidRDefault="00DE758E" w:rsidP="00DE758E">
      <w:r>
        <w:t>_____________________________________________________________</w:t>
      </w:r>
    </w:p>
    <w:p w14:paraId="7BBBE699" w14:textId="77777777" w:rsidR="003C39DD" w:rsidRDefault="003C39DD" w:rsidP="00DE758E"/>
    <w:p w14:paraId="19355D5E" w14:textId="500FAD8D" w:rsidR="00B06EF6" w:rsidRDefault="003C39DD" w:rsidP="003C39DD">
      <w:pPr>
        <w:pStyle w:val="Heading1"/>
      </w:pPr>
      <w:r>
        <w:t>SPECIMENS FOR TRADEMARKS</w:t>
      </w:r>
    </w:p>
    <w:p w14:paraId="7111B9BE" w14:textId="77777777" w:rsidR="003C39DD" w:rsidRDefault="003C39DD" w:rsidP="00DE758E">
      <w:pPr>
        <w:rPr>
          <w:b/>
        </w:rPr>
      </w:pPr>
    </w:p>
    <w:p w14:paraId="0481DA0F" w14:textId="26E82D48" w:rsidR="003C39DD" w:rsidRDefault="003C39DD" w:rsidP="003C39DD">
      <w:pPr>
        <w:pStyle w:val="Heading2"/>
        <w:rPr>
          <w:b w:val="0"/>
          <w:i w:val="0"/>
        </w:rPr>
      </w:pPr>
      <w:r>
        <w:t xml:space="preserve">Labels and Tags </w:t>
      </w:r>
      <w:r>
        <w:rPr>
          <w:b w:val="0"/>
          <w:i w:val="0"/>
        </w:rPr>
        <w:t>(TMEP §904.03(a))</w:t>
      </w:r>
    </w:p>
    <w:p w14:paraId="6B6BF022" w14:textId="77777777" w:rsidR="003C39DD" w:rsidRDefault="003C39DD" w:rsidP="003C39DD"/>
    <w:p w14:paraId="341DF069" w14:textId="0F3860A3" w:rsidR="003C39DD" w:rsidRDefault="003C39DD" w:rsidP="00050D24">
      <w:pPr>
        <w:pStyle w:val="ListParagraph"/>
        <w:numPr>
          <w:ilvl w:val="0"/>
          <w:numId w:val="9"/>
        </w:numPr>
      </w:pPr>
      <w:r>
        <w:t>I</w:t>
      </w:r>
      <w:r w:rsidRPr="003C39DD">
        <w:t>f a mark is merely informational or incapable of functioning as a mark for some other reason, it would not be seen as an indicator of source, and registration must be refused even if the specimen of record shows what would otherwise be acceptable trademark use, including use on tags or labels</w:t>
      </w:r>
      <w:r>
        <w:t>.</w:t>
      </w:r>
    </w:p>
    <w:p w14:paraId="00E00198" w14:textId="2F8AF0AB" w:rsidR="003C39DD" w:rsidRDefault="003C39DD" w:rsidP="003C39DD">
      <w:r w:rsidRPr="003C39DD">
        <w:rPr>
          <w:rStyle w:val="Heading2Char"/>
        </w:rPr>
        <w:t>Digitally Created Specimen</w:t>
      </w:r>
      <w:r>
        <w:t xml:space="preserve"> (TMEP 904.04(a))</w:t>
      </w:r>
    </w:p>
    <w:p w14:paraId="003FA698" w14:textId="77777777" w:rsidR="003C39DD" w:rsidRDefault="003C39DD" w:rsidP="003C39DD"/>
    <w:p w14:paraId="365D0C96" w14:textId="77777777" w:rsidR="004E751E" w:rsidRDefault="004E751E" w:rsidP="00050D24">
      <w:pPr>
        <w:pStyle w:val="ListParagraph"/>
        <w:numPr>
          <w:ilvl w:val="0"/>
          <w:numId w:val="9"/>
        </w:numPr>
      </w:pPr>
      <w:r>
        <w:t xml:space="preserve">The specimen may not be an image of the goods </w:t>
      </w:r>
      <w:r w:rsidRPr="003C2440">
        <w:t xml:space="preserve">or advertising matter for services </w:t>
      </w:r>
      <w:r>
        <w:t xml:space="preserve">that has been digitally created or altered to include the mark.  </w:t>
      </w:r>
    </w:p>
    <w:p w14:paraId="24E6B9DC" w14:textId="2AB8AFBC" w:rsidR="003C39DD" w:rsidRDefault="004E751E" w:rsidP="00050D24">
      <w:pPr>
        <w:pStyle w:val="ListParagraph"/>
        <w:numPr>
          <w:ilvl w:val="0"/>
          <w:numId w:val="9"/>
        </w:numPr>
      </w:pPr>
      <w:r>
        <w:t>Such items do not show actual use of the mark on or in connection with the goods or services in commerce and registration must</w:t>
      </w:r>
      <w:r w:rsidRPr="003C2440">
        <w:t xml:space="preserve"> be refused under Sections 1 and 45</w:t>
      </w:r>
      <w:r>
        <w:t xml:space="preserve"> of the Act.</w:t>
      </w:r>
    </w:p>
    <w:p w14:paraId="42B66053" w14:textId="77777777" w:rsidR="005D149D" w:rsidRDefault="005D149D" w:rsidP="005D149D"/>
    <w:p w14:paraId="30420F17" w14:textId="6D964442" w:rsidR="005D149D" w:rsidRDefault="005D149D" w:rsidP="005D149D">
      <w:r w:rsidRPr="005D149D">
        <w:rPr>
          <w:rStyle w:val="Heading2Char"/>
        </w:rPr>
        <w:t>Webpages</w:t>
      </w:r>
      <w:r>
        <w:t xml:space="preserve"> (TMEP §</w:t>
      </w:r>
      <w:r w:rsidRPr="005D149D">
        <w:t>1301.04(h)(iv)(C)</w:t>
      </w:r>
      <w:r>
        <w:t>)</w:t>
      </w:r>
    </w:p>
    <w:p w14:paraId="7A50172E" w14:textId="77777777" w:rsidR="005D149D" w:rsidRDefault="005D149D" w:rsidP="005D149D"/>
    <w:p w14:paraId="38C57E41" w14:textId="3C7E8A18" w:rsidR="005D149D" w:rsidRDefault="005D149D" w:rsidP="00050D24">
      <w:pPr>
        <w:pStyle w:val="ListParagraph"/>
        <w:numPr>
          <w:ilvl w:val="0"/>
          <w:numId w:val="16"/>
        </w:numPr>
      </w:pPr>
      <w:r w:rsidRPr="005D149D">
        <w:rPr>
          <w:iCs/>
          <w:lang w:val="en"/>
        </w:rPr>
        <w:t>This type of specimen</w:t>
      </w:r>
      <w:r w:rsidRPr="005D149D">
        <w:rPr>
          <w:lang w:val="en"/>
        </w:rPr>
        <w:t xml:space="preserve"> is acceptable if it shows </w:t>
      </w:r>
      <w:r w:rsidRPr="005D149D">
        <w:t>the mark used in advertising the identified services and creates the required direct association by referring to the services and by showing the mark being used to identify and distinguish the services and their source</w:t>
      </w:r>
      <w:r>
        <w:t>.</w:t>
      </w:r>
    </w:p>
    <w:p w14:paraId="592B1039" w14:textId="77777777" w:rsidR="004E751E" w:rsidRDefault="004E751E" w:rsidP="004E751E">
      <w:r>
        <w:t>_____________________________________________________________</w:t>
      </w:r>
    </w:p>
    <w:p w14:paraId="52E82FDB" w14:textId="77777777" w:rsidR="004E751E" w:rsidRDefault="004E751E" w:rsidP="004E751E"/>
    <w:p w14:paraId="495CDDFD" w14:textId="138CACCD" w:rsidR="004E751E" w:rsidRDefault="00EE2B9B" w:rsidP="004E751E">
      <w:pPr>
        <w:pStyle w:val="Heading1"/>
      </w:pPr>
      <w:r>
        <w:t xml:space="preserve">APPLICATIONS UNDER </w:t>
      </w:r>
      <w:r w:rsidR="004E751E">
        <w:t>§44</w:t>
      </w:r>
    </w:p>
    <w:p w14:paraId="12BE667E" w14:textId="77777777" w:rsidR="004E751E" w:rsidRDefault="004E751E" w:rsidP="004E751E"/>
    <w:p w14:paraId="2D6EACB1" w14:textId="64BB8CF5" w:rsidR="004E751E" w:rsidRDefault="004E751E" w:rsidP="004E751E">
      <w:pPr>
        <w:pStyle w:val="Heading2"/>
        <w:rPr>
          <w:b w:val="0"/>
          <w:i w:val="0"/>
        </w:rPr>
      </w:pPr>
      <w:r w:rsidRPr="002E1130">
        <w:t>Establishing Entitlement Under a Treaty</w:t>
      </w:r>
      <w:r>
        <w:rPr>
          <w:b w:val="0"/>
          <w:i w:val="0"/>
        </w:rPr>
        <w:t xml:space="preserve"> (TMEP §1002.03)</w:t>
      </w:r>
    </w:p>
    <w:p w14:paraId="04810578" w14:textId="77777777" w:rsidR="004E751E" w:rsidRDefault="004E751E" w:rsidP="004E751E"/>
    <w:p w14:paraId="05A30638" w14:textId="77777777" w:rsidR="004E751E" w:rsidRPr="004E751E" w:rsidRDefault="004E751E" w:rsidP="00050D24">
      <w:pPr>
        <w:pStyle w:val="ListParagraph"/>
        <w:numPr>
          <w:ilvl w:val="0"/>
          <w:numId w:val="10"/>
        </w:numPr>
      </w:pPr>
      <w:r w:rsidRPr="004E751E">
        <w:rPr>
          <w:rFonts w:cs="Arial"/>
          <w:color w:val="333333"/>
          <w:lang w:val="en"/>
        </w:rPr>
        <w:t xml:space="preserve">Some EU member states maintain special relationships with overseas countries and territories (OCTs), which include Anguilla, Bermuda, the British Virgin Islands, the Cayman Islands, the Falkland Islands, Gibraltar, Montserrat, and the Turks and Caicos Islands.  </w:t>
      </w:r>
    </w:p>
    <w:p w14:paraId="62899743" w14:textId="5D3050ED" w:rsidR="004E751E" w:rsidRPr="004E751E" w:rsidRDefault="004E751E" w:rsidP="00050D24">
      <w:pPr>
        <w:pStyle w:val="ListParagraph"/>
        <w:numPr>
          <w:ilvl w:val="0"/>
          <w:numId w:val="10"/>
        </w:numPr>
      </w:pPr>
      <w:r w:rsidRPr="004E751E">
        <w:rPr>
          <w:rFonts w:cs="Arial"/>
          <w:color w:val="333333"/>
          <w:lang w:val="en"/>
        </w:rPr>
        <w:t xml:space="preserve">Generally, these OCTs are not parties to a relevant treaty or agreement with the United States, nor do they extend reciprocal </w:t>
      </w:r>
      <w:r>
        <w:rPr>
          <w:rFonts w:cs="Arial"/>
          <w:color w:val="333333"/>
          <w:lang w:val="en"/>
        </w:rPr>
        <w:t>rights to U.S. nationals by law</w:t>
      </w:r>
      <w:r w:rsidRPr="004E751E">
        <w:rPr>
          <w:rFonts w:cs="Arial"/>
          <w:color w:val="333333"/>
          <w:lang w:val="en"/>
        </w:rPr>
        <w:t xml:space="preserve">.  Therefore, if the applicant’s country of origin, or the country that issued the foreign registration, is one of these OCTs, the application is not entitled to priority under §44(d) or registration under §44(e).  </w:t>
      </w:r>
    </w:p>
    <w:p w14:paraId="0A1B6DF8" w14:textId="4FD2A173" w:rsidR="004E751E" w:rsidRPr="00EE2B9B" w:rsidRDefault="004E751E" w:rsidP="00050D24">
      <w:pPr>
        <w:pStyle w:val="ListParagraph"/>
        <w:numPr>
          <w:ilvl w:val="0"/>
          <w:numId w:val="10"/>
        </w:numPr>
      </w:pPr>
      <w:r>
        <w:rPr>
          <w:rFonts w:cs="Arial"/>
          <w:color w:val="333333"/>
          <w:lang w:val="en"/>
        </w:rPr>
        <w:t>T</w:t>
      </w:r>
      <w:r w:rsidRPr="004E751E">
        <w:rPr>
          <w:rFonts w:cs="Arial"/>
          <w:color w:val="333333"/>
          <w:lang w:val="en"/>
        </w:rPr>
        <w:t>here is an exception allowing a United Kingdom territory to rely on a United Kingdom registration if the territory has an address in the United Kingdom or in the Isle of Man.</w:t>
      </w:r>
    </w:p>
    <w:p w14:paraId="3A802700" w14:textId="77777777" w:rsidR="00EE2B9B" w:rsidRDefault="00EE2B9B" w:rsidP="00EE2B9B"/>
    <w:p w14:paraId="25045458" w14:textId="32247768" w:rsidR="00EE2B9B" w:rsidRDefault="00EE2B9B" w:rsidP="00EE2B9B">
      <w:r w:rsidRPr="00EE2B9B">
        <w:rPr>
          <w:rStyle w:val="Heading2Char"/>
        </w:rPr>
        <w:t>International Registration as Basis for §44 Application</w:t>
      </w:r>
      <w:r>
        <w:t xml:space="preserve"> (TMEP §1016)</w:t>
      </w:r>
    </w:p>
    <w:p w14:paraId="3C05968A" w14:textId="77777777" w:rsidR="00EE2B9B" w:rsidRDefault="00EE2B9B" w:rsidP="00EE2B9B"/>
    <w:p w14:paraId="3D6D0A18" w14:textId="34E84E18" w:rsidR="00EE2B9B" w:rsidRPr="004E751E" w:rsidRDefault="00EE2B9B" w:rsidP="00050D24">
      <w:pPr>
        <w:pStyle w:val="ListParagraph"/>
        <w:numPr>
          <w:ilvl w:val="0"/>
          <w:numId w:val="11"/>
        </w:numPr>
      </w:pPr>
      <w:r w:rsidRPr="00EE2B9B">
        <w:t>If the grant of protection, registration, or certificate of extension issued by the designated trademark office of the applicant’s country of origin does not specify goods/services for which protection has been granted, the applicant should submit both an extract of the International Register issued by WIPO that lists the goods/services of the international registration and the document issued by the designated trademark office to establish the scope of protection of the §44(e) application.  A user-generated printout from the WIPO database is not sufficient.</w:t>
      </w:r>
    </w:p>
    <w:p w14:paraId="6C953C89" w14:textId="77777777" w:rsidR="004E751E" w:rsidRDefault="004E751E" w:rsidP="004E751E">
      <w:r>
        <w:t>_____________________________________________________________</w:t>
      </w:r>
    </w:p>
    <w:p w14:paraId="52FB47A6" w14:textId="77777777" w:rsidR="00EE2B9B" w:rsidRDefault="00EE2B9B" w:rsidP="004E751E"/>
    <w:p w14:paraId="5B678713" w14:textId="2DB5BCC5" w:rsidR="00EE2B9B" w:rsidRDefault="00EE2B9B" w:rsidP="00EE2B9B">
      <w:pPr>
        <w:pStyle w:val="Heading1"/>
      </w:pPr>
      <w:r>
        <w:t>AMENDMENT TO ALLEGE USE</w:t>
      </w:r>
    </w:p>
    <w:p w14:paraId="30179561" w14:textId="77777777" w:rsidR="00EE2B9B" w:rsidRDefault="00EE2B9B" w:rsidP="00EE2B9B"/>
    <w:p w14:paraId="13CA6C7A" w14:textId="0D275761" w:rsidR="00EE2B9B" w:rsidRDefault="00EE2B9B" w:rsidP="00EE2B9B">
      <w:pPr>
        <w:pStyle w:val="Heading2"/>
        <w:rPr>
          <w:b w:val="0"/>
          <w:i w:val="0"/>
        </w:rPr>
      </w:pPr>
      <w:r w:rsidRPr="00067FFC">
        <w:t>Withdrawal of Amendment to Allege Use</w:t>
      </w:r>
      <w:r>
        <w:rPr>
          <w:b w:val="0"/>
          <w:i w:val="0"/>
        </w:rPr>
        <w:t xml:space="preserve"> (TMEP §1104.11)</w:t>
      </w:r>
    </w:p>
    <w:p w14:paraId="379F3139" w14:textId="77777777" w:rsidR="00FD2A34" w:rsidRDefault="00FD2A34" w:rsidP="00FD2A34"/>
    <w:p w14:paraId="2B30B380" w14:textId="1C47772E" w:rsidR="00FD2A34" w:rsidRDefault="00FD2A34" w:rsidP="00050D24">
      <w:pPr>
        <w:pStyle w:val="ListParagraph"/>
        <w:numPr>
          <w:ilvl w:val="0"/>
          <w:numId w:val="11"/>
        </w:numPr>
      </w:pPr>
      <w:r w:rsidRPr="00FD2A34">
        <w:t xml:space="preserve">The USPTO will not refund the fee for filing an amendment to allege use that is withdrawn (except as </w:t>
      </w:r>
      <w:r>
        <w:t>provided in TMEP §1104.04).</w:t>
      </w:r>
    </w:p>
    <w:p w14:paraId="713022C8" w14:textId="1E202D7D" w:rsidR="00FD2A34" w:rsidRDefault="00FD2A34" w:rsidP="00050D24">
      <w:pPr>
        <w:pStyle w:val="ListParagraph"/>
        <w:numPr>
          <w:ilvl w:val="0"/>
          <w:numId w:val="11"/>
        </w:numPr>
      </w:pPr>
      <w:r>
        <w:t>T</w:t>
      </w:r>
      <w:r w:rsidRPr="00FD2A34">
        <w:t>he fee cannot be applied toward another allegation of use filed after the amendment to allege use is withdrawn</w:t>
      </w:r>
      <w:r>
        <w:t>.</w:t>
      </w:r>
    </w:p>
    <w:p w14:paraId="7CB3EEAF" w14:textId="4F489AAC" w:rsidR="00FD2A34" w:rsidRPr="00FD2A34" w:rsidRDefault="00FD2A34" w:rsidP="00050D24">
      <w:pPr>
        <w:pStyle w:val="ListParagraph"/>
        <w:numPr>
          <w:ilvl w:val="0"/>
          <w:numId w:val="11"/>
        </w:numPr>
      </w:pPr>
      <w:r>
        <w:t>If</w:t>
      </w:r>
      <w:r w:rsidRPr="00FD2A34">
        <w:t xml:space="preserve"> the applicant wishes to reassert use prior to publication, the applicant may not rely on the amendment to allege use that was withdrawn.  </w:t>
      </w:r>
      <w:r>
        <w:t xml:space="preserve">It </w:t>
      </w:r>
      <w:r w:rsidRPr="00FD2A34">
        <w:t>must file a new amendment to allege use in order to amend the basis to use in commerce</w:t>
      </w:r>
      <w:r>
        <w:t>.</w:t>
      </w:r>
    </w:p>
    <w:p w14:paraId="64724DD8" w14:textId="77777777" w:rsidR="004E751E" w:rsidRDefault="004E751E" w:rsidP="004E751E">
      <w:r>
        <w:t>_____________________________________________________________</w:t>
      </w:r>
    </w:p>
    <w:p w14:paraId="2F628583" w14:textId="77777777" w:rsidR="00FD2A34" w:rsidRDefault="00FD2A34" w:rsidP="004E751E"/>
    <w:p w14:paraId="47230D2D" w14:textId="26BD627F" w:rsidR="00FD2A34" w:rsidRDefault="00FD2A34" w:rsidP="00FD2A34">
      <w:pPr>
        <w:pStyle w:val="Heading1"/>
      </w:pPr>
      <w:r>
        <w:t>AMENDMENT OF APPLICATION</w:t>
      </w:r>
    </w:p>
    <w:p w14:paraId="4A78723C" w14:textId="77777777" w:rsidR="00FD2A34" w:rsidRDefault="00FD2A34" w:rsidP="00FD2A34"/>
    <w:p w14:paraId="09C3484F" w14:textId="23B9B061" w:rsidR="00FD2A34" w:rsidRDefault="00FD2A34" w:rsidP="00FD2A34">
      <w:r w:rsidRPr="00FD2A34">
        <w:rPr>
          <w:rStyle w:val="Heading2Char"/>
        </w:rPr>
        <w:t>Amendment After NOA and Before SOU</w:t>
      </w:r>
      <w:r>
        <w:t xml:space="preserve"> (TMEP §1107)</w:t>
      </w:r>
    </w:p>
    <w:p w14:paraId="25B03D20" w14:textId="77777777" w:rsidR="00FD2A34" w:rsidRDefault="00FD2A34" w:rsidP="00FD2A34"/>
    <w:p w14:paraId="0E9E0BE7" w14:textId="77777777" w:rsidR="007070BF" w:rsidRDefault="007070BF" w:rsidP="00050D24">
      <w:pPr>
        <w:pStyle w:val="ListParagraph"/>
        <w:numPr>
          <w:ilvl w:val="0"/>
          <w:numId w:val="12"/>
        </w:numPr>
      </w:pPr>
      <w:r>
        <w:t>A</w:t>
      </w:r>
      <w:r w:rsidR="00FD2A34" w:rsidRPr="00FD2A34">
        <w:t xml:space="preserve">n applicant cannot delete a §1(b) basis if the only other basis is §44(d).  Section 44(d) provides only a basis for receipt of a priority filing date, not a basis for publication or registration.  </w:t>
      </w:r>
    </w:p>
    <w:p w14:paraId="7525BDD4" w14:textId="5DDB8C1F" w:rsidR="00FD2A34" w:rsidRPr="00FD2A34" w:rsidRDefault="007070BF" w:rsidP="00050D24">
      <w:pPr>
        <w:pStyle w:val="ListParagraph"/>
        <w:numPr>
          <w:ilvl w:val="0"/>
          <w:numId w:val="12"/>
        </w:numPr>
      </w:pPr>
      <w:r>
        <w:t>T</w:t>
      </w:r>
      <w:r w:rsidR="00FD2A34" w:rsidRPr="00FD2A34">
        <w:t xml:space="preserve">he applicant may request deletion of the §1(b) basis only by filing a petition to allow consideration of an amendment to a §44(e) filing basis.  </w:t>
      </w:r>
    </w:p>
    <w:p w14:paraId="10213F3F" w14:textId="77777777" w:rsidR="004E751E" w:rsidRDefault="004E751E" w:rsidP="004E751E">
      <w:r>
        <w:t>_____________________________________________________________</w:t>
      </w:r>
    </w:p>
    <w:p w14:paraId="57CFC309" w14:textId="77777777" w:rsidR="00601FA3" w:rsidRDefault="00601FA3" w:rsidP="004E751E"/>
    <w:p w14:paraId="67AAFAC6" w14:textId="703C05F3" w:rsidR="00601FA3" w:rsidRDefault="00601FA3" w:rsidP="00601FA3">
      <w:pPr>
        <w:pStyle w:val="Heading1"/>
      </w:pPr>
      <w:r>
        <w:t>GENERIC MARKS</w:t>
      </w:r>
    </w:p>
    <w:p w14:paraId="25635EE4" w14:textId="77777777" w:rsidR="00601FA3" w:rsidRDefault="00601FA3" w:rsidP="004E751E"/>
    <w:p w14:paraId="49BD332A" w14:textId="0300C9B6" w:rsidR="00601FA3" w:rsidRDefault="00601FA3" w:rsidP="00601FA3">
      <w:pPr>
        <w:pStyle w:val="Heading2"/>
        <w:rPr>
          <w:b w:val="0"/>
          <w:i w:val="0"/>
          <w:lang w:val="en"/>
        </w:rPr>
      </w:pPr>
      <w:r w:rsidRPr="00A21080">
        <w:rPr>
          <w:lang w:val="en"/>
        </w:rPr>
        <w:t>Key Aspect of Goods or Services</w:t>
      </w:r>
      <w:r>
        <w:rPr>
          <w:b w:val="0"/>
          <w:i w:val="0"/>
          <w:lang w:val="en"/>
        </w:rPr>
        <w:t xml:space="preserve"> (TMEP §</w:t>
      </w:r>
      <w:r w:rsidRPr="00601FA3">
        <w:rPr>
          <w:b w:val="0"/>
          <w:i w:val="0"/>
          <w:lang w:val="en"/>
        </w:rPr>
        <w:t>1209.03(v)</w:t>
      </w:r>
      <w:r>
        <w:rPr>
          <w:b w:val="0"/>
          <w:i w:val="0"/>
          <w:lang w:val="en"/>
        </w:rPr>
        <w:t>)</w:t>
      </w:r>
    </w:p>
    <w:p w14:paraId="16FA0827" w14:textId="77777777" w:rsidR="00601FA3" w:rsidRDefault="00601FA3" w:rsidP="00601FA3">
      <w:pPr>
        <w:rPr>
          <w:lang w:val="en"/>
        </w:rPr>
      </w:pPr>
    </w:p>
    <w:p w14:paraId="111787A7" w14:textId="437537F5" w:rsidR="00601FA3" w:rsidRDefault="00601FA3" w:rsidP="00050D24">
      <w:pPr>
        <w:pStyle w:val="ListParagraph"/>
        <w:numPr>
          <w:ilvl w:val="0"/>
          <w:numId w:val="13"/>
        </w:numPr>
        <w:rPr>
          <w:lang w:val="en"/>
        </w:rPr>
      </w:pPr>
      <w:r w:rsidRPr="00601FA3">
        <w:rPr>
          <w:lang w:val="en"/>
        </w:rPr>
        <w:t>A term may be generic for a genus of goods or services if the relevant public understands the term to refer to a key aspect of that genus, such as a key product that characterizes a particular genus of retail services or identifies a category of goods or services within the genus.</w:t>
      </w:r>
    </w:p>
    <w:p w14:paraId="27DD0978" w14:textId="77777777" w:rsidR="00601FA3" w:rsidRDefault="00601FA3" w:rsidP="00601FA3">
      <w:pPr>
        <w:rPr>
          <w:lang w:val="en"/>
        </w:rPr>
      </w:pPr>
    </w:p>
    <w:p w14:paraId="13096C31" w14:textId="6B883F2F" w:rsidR="00601FA3" w:rsidRDefault="00601FA3" w:rsidP="00601FA3">
      <w:pPr>
        <w:rPr>
          <w:lang w:val="en"/>
        </w:rPr>
      </w:pPr>
      <w:r w:rsidRPr="00601FA3">
        <w:rPr>
          <w:rStyle w:val="Heading2Char"/>
        </w:rPr>
        <w:t>Stylization</w:t>
      </w:r>
      <w:r>
        <w:rPr>
          <w:lang w:val="en"/>
        </w:rPr>
        <w:t xml:space="preserve"> (TMEP §1209.03(w))</w:t>
      </w:r>
    </w:p>
    <w:p w14:paraId="64ECCE6E" w14:textId="77777777" w:rsidR="00601FA3" w:rsidRDefault="00601FA3" w:rsidP="00601FA3">
      <w:pPr>
        <w:rPr>
          <w:lang w:val="en"/>
        </w:rPr>
      </w:pPr>
    </w:p>
    <w:p w14:paraId="6BB84293" w14:textId="00AD7C44" w:rsidR="00601FA3" w:rsidRDefault="00601FA3" w:rsidP="00050D24">
      <w:pPr>
        <w:pStyle w:val="ListParagraph"/>
        <w:numPr>
          <w:ilvl w:val="0"/>
          <w:numId w:val="13"/>
        </w:numPr>
        <w:rPr>
          <w:lang w:val="en"/>
        </w:rPr>
      </w:pPr>
      <w:r w:rsidRPr="00601FA3">
        <w:rPr>
          <w:lang w:val="en"/>
        </w:rPr>
        <w:t>Adding stylization to descriptive or generic wording does not render the resulting mark registrable on the Principal Register unless the stylization creates a commercial impression separate and apart from the impression made by the wording itself, or the applicant can otherwise show by evidence that the particular stylized display has acquired distinctiveness</w:t>
      </w:r>
      <w:r>
        <w:rPr>
          <w:lang w:val="en"/>
        </w:rPr>
        <w:t>.</w:t>
      </w:r>
    </w:p>
    <w:p w14:paraId="6255626B" w14:textId="0E290630" w:rsidR="00601FA3" w:rsidRDefault="00601FA3" w:rsidP="00050D24">
      <w:pPr>
        <w:pStyle w:val="ListParagraph"/>
        <w:numPr>
          <w:ilvl w:val="0"/>
          <w:numId w:val="13"/>
        </w:numPr>
        <w:rPr>
          <w:lang w:val="en"/>
        </w:rPr>
      </w:pPr>
      <w:r w:rsidRPr="00601FA3">
        <w:rPr>
          <w:lang w:val="en"/>
        </w:rPr>
        <w:t>If descriptive or generic wording is in fact presented in a distinctive display or design, the mark as a whole may be registered with a disclaimer of the unregistrable component</w:t>
      </w:r>
      <w:r>
        <w:rPr>
          <w:lang w:val="en"/>
        </w:rPr>
        <w:t>.</w:t>
      </w:r>
    </w:p>
    <w:p w14:paraId="7516FE5C" w14:textId="6A5EEB4E" w:rsidR="00601FA3" w:rsidRPr="00601FA3" w:rsidRDefault="00601FA3" w:rsidP="00050D24">
      <w:pPr>
        <w:pStyle w:val="ListParagraph"/>
        <w:numPr>
          <w:ilvl w:val="0"/>
          <w:numId w:val="13"/>
        </w:numPr>
        <w:rPr>
          <w:lang w:val="en"/>
        </w:rPr>
      </w:pPr>
      <w:r w:rsidRPr="00601FA3">
        <w:rPr>
          <w:lang w:val="en"/>
        </w:rPr>
        <w:t>If generic wording is stylized to create a display or design that is not inherently distinctive, but is nonetheless capable of functioning as a mark, the mark may be registered on the Supplemental Register with a disclaimer of the generic wording.</w:t>
      </w:r>
    </w:p>
    <w:p w14:paraId="66841D50" w14:textId="77777777" w:rsidR="004E751E" w:rsidRDefault="004E751E" w:rsidP="004E751E">
      <w:r>
        <w:t>_____________________________________________________________</w:t>
      </w:r>
    </w:p>
    <w:p w14:paraId="5676057F" w14:textId="77777777" w:rsidR="00601FA3" w:rsidRDefault="00601FA3" w:rsidP="004E751E"/>
    <w:p w14:paraId="6506C910" w14:textId="1881E232" w:rsidR="00601FA3" w:rsidRDefault="00601FA3" w:rsidP="00601FA3">
      <w:pPr>
        <w:pStyle w:val="Heading1"/>
      </w:pPr>
      <w:r>
        <w:t>PRIMARILY GEOGRAPHICALLY DECEPTIVELY MISDESCRIPTIVE AND DECEPTIVE TERMS</w:t>
      </w:r>
    </w:p>
    <w:p w14:paraId="7298B284" w14:textId="77777777" w:rsidR="006C6285" w:rsidRPr="006C6285" w:rsidRDefault="006C6285" w:rsidP="006C6285"/>
    <w:p w14:paraId="594072D3" w14:textId="3FAB85EF" w:rsidR="00601FA3" w:rsidRDefault="00601FA3" w:rsidP="00601FA3">
      <w:pPr>
        <w:pStyle w:val="Heading2"/>
        <w:rPr>
          <w:b w:val="0"/>
          <w:i w:val="0"/>
        </w:rPr>
      </w:pPr>
      <w:r>
        <w:t>Terms Combined with Additional Matter</w:t>
      </w:r>
      <w:r>
        <w:rPr>
          <w:b w:val="0"/>
          <w:i w:val="0"/>
        </w:rPr>
        <w:t xml:space="preserve"> (TMEP §1210.06(b))</w:t>
      </w:r>
    </w:p>
    <w:p w14:paraId="3DFA2007" w14:textId="77777777" w:rsidR="00601FA3" w:rsidRDefault="00601FA3" w:rsidP="00601FA3"/>
    <w:p w14:paraId="323DF00D" w14:textId="228C8085" w:rsidR="00601FA3" w:rsidRDefault="00601FA3" w:rsidP="00050D24">
      <w:pPr>
        <w:pStyle w:val="Text"/>
        <w:numPr>
          <w:ilvl w:val="0"/>
          <w:numId w:val="14"/>
        </w:numPr>
      </w:pPr>
      <w:r>
        <w:t>A</w:t>
      </w:r>
      <w:r w:rsidRPr="00601FA3">
        <w:t xml:space="preserve"> §2(e)(3) refusal is not appropriate unless the evidence shows that the mark as a whole would likely be perceived as indicating the geographic origin of the goods or services</w:t>
      </w:r>
      <w:r>
        <w:t>.</w:t>
      </w:r>
    </w:p>
    <w:p w14:paraId="138BA0D4" w14:textId="31FF7704" w:rsidR="00601FA3" w:rsidRPr="00601FA3" w:rsidRDefault="00601FA3" w:rsidP="00050D24">
      <w:pPr>
        <w:pStyle w:val="Text"/>
        <w:numPr>
          <w:ilvl w:val="0"/>
          <w:numId w:val="14"/>
        </w:numPr>
      </w:pPr>
      <w:r>
        <w:t>A</w:t>
      </w:r>
      <w:r w:rsidRPr="00601FA3">
        <w:t xml:space="preserve"> mark should not be refused under §2(a) unless the relevant geographic matter, when considered in the context of the mark as a whole, is deceptive.</w:t>
      </w:r>
    </w:p>
    <w:p w14:paraId="75658690" w14:textId="77777777" w:rsidR="004E751E" w:rsidRDefault="004E751E" w:rsidP="004E751E">
      <w:r>
        <w:t>_____________________________________________________________</w:t>
      </w:r>
    </w:p>
    <w:p w14:paraId="2D3793A4" w14:textId="77777777" w:rsidR="004E751E" w:rsidRDefault="004E751E" w:rsidP="004E751E"/>
    <w:p w14:paraId="50463E90" w14:textId="31DAFB1F" w:rsidR="00DB3C91" w:rsidRDefault="00DB3C91" w:rsidP="00DB3C91">
      <w:pPr>
        <w:pStyle w:val="Heading1"/>
      </w:pPr>
      <w:r>
        <w:t>SURNAMES</w:t>
      </w:r>
    </w:p>
    <w:p w14:paraId="38E0A1D0" w14:textId="77777777" w:rsidR="00DB3C91" w:rsidRDefault="00DB3C91" w:rsidP="00DB3C91"/>
    <w:p w14:paraId="1CAC8254" w14:textId="6DBEC77F" w:rsidR="00DB3C91" w:rsidRDefault="00DB3C91" w:rsidP="00DB3C91">
      <w:r w:rsidRPr="00DB3C91">
        <w:rPr>
          <w:rStyle w:val="Heading2Char"/>
        </w:rPr>
        <w:t>Primarily Merely a Surname</w:t>
      </w:r>
      <w:r>
        <w:t xml:space="preserve"> (TMEP §1211.01, 1211.01(a),</w:t>
      </w:r>
      <w:r w:rsidRPr="00DB3C91">
        <w:t xml:space="preserve"> 1211.01(a)</w:t>
      </w:r>
      <w:r>
        <w:t>(vi))</w:t>
      </w:r>
    </w:p>
    <w:p w14:paraId="0EFD7AF2" w14:textId="77777777" w:rsidR="00DB3C91" w:rsidRDefault="00DB3C91" w:rsidP="00DB3C91"/>
    <w:p w14:paraId="13615E6C" w14:textId="040877DF" w:rsidR="00DB3C91" w:rsidRDefault="00DB3C91" w:rsidP="00050D24">
      <w:pPr>
        <w:pStyle w:val="Text"/>
        <w:numPr>
          <w:ilvl w:val="0"/>
          <w:numId w:val="15"/>
        </w:numPr>
      </w:pPr>
      <w:r>
        <w:t>T</w:t>
      </w:r>
      <w:r w:rsidRPr="00DB3C91">
        <w:t>he impact the applied-for term has or would have on the purchasing public must be evaluated in determining whether the primary, and only, significance of the term is a surname significance</w:t>
      </w:r>
      <w:r>
        <w:t>.</w:t>
      </w:r>
      <w:r w:rsidR="005613CA">
        <w:t xml:space="preserve">  </w:t>
      </w:r>
      <w:r w:rsidR="005613CA" w:rsidRPr="006C6285">
        <w:rPr>
          <w:i/>
        </w:rPr>
        <w:t xml:space="preserve">In re </w:t>
      </w:r>
      <w:proofErr w:type="spellStart"/>
      <w:r w:rsidR="005613CA" w:rsidRPr="006C6285">
        <w:rPr>
          <w:i/>
        </w:rPr>
        <w:t>Eximius</w:t>
      </w:r>
      <w:proofErr w:type="spellEnd"/>
      <w:r w:rsidR="005613CA" w:rsidRPr="006C6285">
        <w:rPr>
          <w:i/>
        </w:rPr>
        <w:t xml:space="preserve"> Coffee</w:t>
      </w:r>
      <w:r w:rsidR="005613CA" w:rsidRPr="006C6285">
        <w:t>, __ USPQ2d ___ (TTAB 2016)</w:t>
      </w:r>
      <w:r w:rsidR="005613CA">
        <w:t>.</w:t>
      </w:r>
    </w:p>
    <w:p w14:paraId="3C7C01BF" w14:textId="050B96C5" w:rsidR="00DB3C91" w:rsidRDefault="00DB3C91" w:rsidP="00050D24">
      <w:pPr>
        <w:pStyle w:val="Text"/>
        <w:numPr>
          <w:ilvl w:val="0"/>
          <w:numId w:val="15"/>
        </w:numPr>
      </w:pPr>
      <w:r>
        <w:t xml:space="preserve">Any of the </w:t>
      </w:r>
      <w:r w:rsidRPr="00DB3C91">
        <w:rPr>
          <w:i/>
        </w:rPr>
        <w:t>Benthin</w:t>
      </w:r>
      <w:r>
        <w:t xml:space="preserve"> factors</w:t>
      </w:r>
      <w:r w:rsidRPr="00DB3C91">
        <w:t xml:space="preserve"> – singly or in combination – and any other relevant circumstances may shape the analysis in a particular case.</w:t>
      </w:r>
      <w:r w:rsidR="006C6285">
        <w:t xml:space="preserve">  </w:t>
      </w:r>
    </w:p>
    <w:p w14:paraId="4B9C164D" w14:textId="6676A1F7" w:rsidR="00DB3C91" w:rsidRDefault="00DB3C91" w:rsidP="00050D24">
      <w:pPr>
        <w:pStyle w:val="Text"/>
        <w:numPr>
          <w:ilvl w:val="0"/>
          <w:numId w:val="15"/>
        </w:numPr>
      </w:pPr>
      <w:r w:rsidRPr="00DB3C91">
        <w:t>Evidence that a term has no recognized meaning other than as a surname further supports a determination that its primary significance is as a surname</w:t>
      </w:r>
      <w:r>
        <w:t>.</w:t>
      </w:r>
    </w:p>
    <w:p w14:paraId="1C798C37" w14:textId="27C0B4DE" w:rsidR="00DB3C91" w:rsidRDefault="00DB3C91" w:rsidP="00520E86">
      <w:pPr>
        <w:pStyle w:val="Text"/>
        <w:numPr>
          <w:ilvl w:val="0"/>
          <w:numId w:val="15"/>
        </w:numPr>
      </w:pPr>
      <w:r w:rsidRPr="00DB3C91">
        <w:t>Examining attorneys may submit evidence that the public would perceive a term to have surname significance due to i</w:t>
      </w:r>
      <w:r>
        <w:t xml:space="preserve">ts </w:t>
      </w:r>
      <w:r w:rsidRPr="00DB3C91">
        <w:rPr>
          <w:i/>
        </w:rPr>
        <w:t>structure or pronunciation</w:t>
      </w:r>
      <w:r w:rsidRPr="00DB3C91">
        <w:t xml:space="preserve">.  </w:t>
      </w:r>
      <w:r w:rsidR="00520E86" w:rsidRPr="00520E86">
        <w:t>For example, the examining attorney may compare the mark at issue to other terms with the same structure.  In such cases, the examining attorney must provide evidence to show that the public would be likely to perceive the mark as a surname due to the similar structure, such as evidence that the terms to which the mark is being compared are common surnames to wh</w:t>
      </w:r>
      <w:r w:rsidR="00520E86">
        <w:t>ich the public has been exposed</w:t>
      </w:r>
      <w:r>
        <w:t>.</w:t>
      </w:r>
    </w:p>
    <w:p w14:paraId="419A69E2" w14:textId="77777777" w:rsidR="00DB3C91" w:rsidRDefault="00DB3C91" w:rsidP="00DB3C91">
      <w:r>
        <w:t>_____________________________________________________________</w:t>
      </w:r>
    </w:p>
    <w:p w14:paraId="41563F31" w14:textId="77777777" w:rsidR="00B538AC" w:rsidRDefault="00B538AC" w:rsidP="00DB3C91"/>
    <w:p w14:paraId="04D617EA" w14:textId="15B054B7" w:rsidR="00B538AC" w:rsidRDefault="00B538AC" w:rsidP="00B538AC">
      <w:pPr>
        <w:pStyle w:val="Heading1"/>
      </w:pPr>
      <w:r>
        <w:t>IDENTIFICATION OF GOODS AND SERVICES</w:t>
      </w:r>
    </w:p>
    <w:p w14:paraId="28AEA887" w14:textId="77777777" w:rsidR="00B538AC" w:rsidRDefault="00B538AC" w:rsidP="00DB3C91"/>
    <w:p w14:paraId="4F8417C9" w14:textId="19916492" w:rsidR="00B538AC" w:rsidRDefault="00B538AC" w:rsidP="00DB3C91">
      <w:r w:rsidRPr="00B538AC">
        <w:rPr>
          <w:rStyle w:val="Heading2Char"/>
        </w:rPr>
        <w:t>Moving Goods/Services Between Companion Applications</w:t>
      </w:r>
      <w:r>
        <w:t xml:space="preserve"> (TMEP 1402.08)</w:t>
      </w:r>
    </w:p>
    <w:p w14:paraId="79CBF3C0" w14:textId="77777777" w:rsidR="00B538AC" w:rsidRDefault="00B538AC" w:rsidP="00DB3C91"/>
    <w:p w14:paraId="0A4AAA41" w14:textId="77777777" w:rsidR="00B538AC" w:rsidRDefault="00B538AC" w:rsidP="00B538AC">
      <w:pPr>
        <w:pStyle w:val="Text"/>
        <w:numPr>
          <w:ilvl w:val="0"/>
          <w:numId w:val="18"/>
        </w:numPr>
      </w:pPr>
      <w:r w:rsidRPr="00B538AC">
        <w:t xml:space="preserve">In applications under §1, the applicant may request to move goods/services under a §1(b) basis to a companion application that includes goods/services in the same class, but which are under a §1(a) basis, or vice versa.  </w:t>
      </w:r>
    </w:p>
    <w:p w14:paraId="20530E3A" w14:textId="5607DBD8" w:rsidR="00B538AC" w:rsidRDefault="00B538AC" w:rsidP="00B538AC">
      <w:pPr>
        <w:pStyle w:val="Text"/>
        <w:numPr>
          <w:ilvl w:val="0"/>
          <w:numId w:val="18"/>
        </w:numPr>
      </w:pPr>
      <w:r>
        <w:t xml:space="preserve">The </w:t>
      </w:r>
      <w:r w:rsidRPr="00B538AC">
        <w:t>examining attorney must ensure that the application to which the goods/services are moved clearly indicates that more than one basis is claimed and separately lists each basis, followed by the goods/services to which that basi</w:t>
      </w:r>
      <w:r>
        <w:t>s applies.</w:t>
      </w:r>
      <w:r w:rsidRPr="00B538AC">
        <w:t xml:space="preserve">  </w:t>
      </w:r>
    </w:p>
    <w:p w14:paraId="5BDCEB1A" w14:textId="77777777" w:rsidR="00DB3C91" w:rsidRDefault="00DB3C91" w:rsidP="00DB3C91">
      <w:r>
        <w:t>_____________________________________________________________</w:t>
      </w:r>
    </w:p>
    <w:p w14:paraId="7C55ED47" w14:textId="77777777" w:rsidR="0025649C" w:rsidRDefault="0025649C" w:rsidP="00DB3C91"/>
    <w:p w14:paraId="7DAFE8E5" w14:textId="2330F20C" w:rsidR="0025649C" w:rsidRDefault="0025649C" w:rsidP="0025649C">
      <w:pPr>
        <w:pStyle w:val="Heading1"/>
      </w:pPr>
      <w:r>
        <w:t>DISCLAIMERS</w:t>
      </w:r>
    </w:p>
    <w:p w14:paraId="608681DD" w14:textId="77777777" w:rsidR="0025649C" w:rsidRDefault="0025649C" w:rsidP="00DB3C91"/>
    <w:p w14:paraId="27C28C61" w14:textId="6D902CCB" w:rsidR="0025649C" w:rsidRDefault="0025649C" w:rsidP="00DB3C91">
      <w:r w:rsidRPr="0025649C">
        <w:rPr>
          <w:rStyle w:val="Heading2Char"/>
        </w:rPr>
        <w:t>Amendments Adding or Deleting</w:t>
      </w:r>
      <w:r>
        <w:t xml:space="preserve"> (TMEP 1505.02(e))</w:t>
      </w:r>
    </w:p>
    <w:p w14:paraId="4F13537E" w14:textId="77777777" w:rsidR="0025649C" w:rsidRDefault="0025649C" w:rsidP="00DB3C91"/>
    <w:p w14:paraId="3376EA68" w14:textId="023DCB32" w:rsidR="0025649C" w:rsidRDefault="0025649C" w:rsidP="0025649C">
      <w:pPr>
        <w:pStyle w:val="ListParagraph"/>
        <w:numPr>
          <w:ilvl w:val="0"/>
          <w:numId w:val="19"/>
        </w:numPr>
      </w:pPr>
      <w:r w:rsidRPr="0025649C">
        <w:rPr>
          <w:rStyle w:val="TextChar"/>
        </w:rPr>
        <w:t xml:space="preserve">If the notice of allowance has issued, an amendment to </w:t>
      </w:r>
      <w:r w:rsidRPr="0025649C">
        <w:rPr>
          <w:rStyle w:val="TextChar"/>
          <w:i/>
        </w:rPr>
        <w:t>insert</w:t>
      </w:r>
      <w:r w:rsidRPr="0025649C">
        <w:rPr>
          <w:rStyle w:val="TextChar"/>
        </w:rPr>
        <w:t xml:space="preserve"> a disclaimer may not be submitted as a post publication amendment.  It must be submitted in a petition to the Director under Trademark Rule 2.146</w:t>
      </w:r>
      <w:r w:rsidRPr="0025649C">
        <w:t>.</w:t>
      </w:r>
    </w:p>
    <w:p w14:paraId="5E56D7AA" w14:textId="4713CDEC" w:rsidR="0025649C" w:rsidRDefault="0025649C" w:rsidP="0025649C">
      <w:pPr>
        <w:pStyle w:val="ListParagraph"/>
        <w:numPr>
          <w:ilvl w:val="0"/>
          <w:numId w:val="19"/>
        </w:numPr>
      </w:pPr>
      <w:r w:rsidRPr="0025649C">
        <w:t xml:space="preserve">A request to </w:t>
      </w:r>
      <w:r w:rsidRPr="0025649C">
        <w:rPr>
          <w:i/>
        </w:rPr>
        <w:t>delete</w:t>
      </w:r>
      <w:r w:rsidRPr="0025649C">
        <w:t xml:space="preserve"> a disclaimer after issuance of the notice of allowance and before the filing of a statement of use is not permitted.  Between the issuance of the notice of allowance and the filing of a statement of use, the Office cannot republish the application or issue an Office action regarding the r</w:t>
      </w:r>
      <w:r>
        <w:t xml:space="preserve">equest.  The applicant may </w:t>
      </w:r>
      <w:r w:rsidRPr="0025649C">
        <w:t>submit the amendment with the statement of use</w:t>
      </w:r>
    </w:p>
    <w:p w14:paraId="04140AA2" w14:textId="77777777" w:rsidR="00DB3C91" w:rsidRDefault="00DB3C91" w:rsidP="00DB3C91">
      <w:r>
        <w:t>_____________________________________________________________</w:t>
      </w:r>
    </w:p>
    <w:p w14:paraId="0E86CB51" w14:textId="77777777" w:rsidR="0025649C" w:rsidRDefault="0025649C" w:rsidP="00DB3C91"/>
    <w:p w14:paraId="69BCF48F" w14:textId="1F12D146" w:rsidR="0025649C" w:rsidRDefault="0025649C" w:rsidP="0025649C">
      <w:pPr>
        <w:pStyle w:val="Heading1"/>
      </w:pPr>
      <w:r>
        <w:t>PETITIONS</w:t>
      </w:r>
    </w:p>
    <w:p w14:paraId="10FEEE90" w14:textId="77777777" w:rsidR="0025649C" w:rsidRDefault="0025649C" w:rsidP="00DB3C91"/>
    <w:p w14:paraId="2FF31E6E" w14:textId="363DF4B0" w:rsidR="0025649C" w:rsidRDefault="0025649C" w:rsidP="00DB3C91">
      <w:r w:rsidRPr="0025649C">
        <w:rPr>
          <w:rStyle w:val="Heading2Char"/>
        </w:rPr>
        <w:t>Cancelled/Expired Registrations – Standard of Review</w:t>
      </w:r>
      <w:r>
        <w:t xml:space="preserve"> (TMEP 1712.02(b)(ii))</w:t>
      </w:r>
    </w:p>
    <w:p w14:paraId="01E0D923" w14:textId="77777777" w:rsidR="0025649C" w:rsidRDefault="0025649C" w:rsidP="00DB3C91"/>
    <w:p w14:paraId="494693F7" w14:textId="77777777" w:rsidR="0025649C" w:rsidRDefault="0025649C" w:rsidP="0025649C">
      <w:pPr>
        <w:pStyle w:val="ListParagraph"/>
        <w:numPr>
          <w:ilvl w:val="0"/>
          <w:numId w:val="20"/>
        </w:numPr>
      </w:pPr>
      <w:r w:rsidRPr="0025649C">
        <w:t xml:space="preserve">If the petition does not include a clear statement that the Office action was not received and either a complete response or request to reissue the Office action, the USPTO will notify the petitioner that this information is required, and grant the petitioner 30 days to submit the information.  </w:t>
      </w:r>
    </w:p>
    <w:p w14:paraId="29F6B4FC" w14:textId="33492359" w:rsidR="0025649C" w:rsidRDefault="0025649C" w:rsidP="0025649C">
      <w:pPr>
        <w:pStyle w:val="ListParagraph"/>
        <w:numPr>
          <w:ilvl w:val="0"/>
          <w:numId w:val="20"/>
        </w:numPr>
      </w:pPr>
      <w:r w:rsidRPr="0025649C">
        <w:t>If the petitioner does not submit this information within the time allowed, the petition will be denied because the petitioner did not meet the requirements for filing a petition and the registration will remain cancelled</w:t>
      </w:r>
      <w:r>
        <w:t>.</w:t>
      </w:r>
    </w:p>
    <w:p w14:paraId="0FE8A745" w14:textId="77777777" w:rsidR="00DB3C91" w:rsidRDefault="00DB3C91" w:rsidP="00DB3C91">
      <w:r>
        <w:t>_____________________________________________________________</w:t>
      </w:r>
    </w:p>
    <w:sectPr w:rsidR="00DB3C91">
      <w:headerReference w:type="even"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28D7" w14:textId="77777777" w:rsidR="00C6447F" w:rsidRDefault="00C6447F">
      <w:r>
        <w:separator/>
      </w:r>
    </w:p>
    <w:p w14:paraId="21AE81F8" w14:textId="77777777" w:rsidR="00C6447F" w:rsidRDefault="00C6447F"/>
    <w:p w14:paraId="3EBCD3F8" w14:textId="77777777" w:rsidR="00C6447F" w:rsidRDefault="00C6447F" w:rsidP="00801ABB"/>
    <w:p w14:paraId="6D1CB8DE" w14:textId="77777777" w:rsidR="00C6447F" w:rsidRDefault="00C6447F" w:rsidP="00801ABB"/>
    <w:p w14:paraId="01ED0C72" w14:textId="77777777" w:rsidR="00C6447F" w:rsidRDefault="00C6447F" w:rsidP="00943EFD"/>
    <w:p w14:paraId="7E032530" w14:textId="77777777" w:rsidR="00C6447F" w:rsidRDefault="00C6447F" w:rsidP="003355B2"/>
    <w:p w14:paraId="59B68FFC" w14:textId="77777777" w:rsidR="00C6447F" w:rsidRDefault="00C6447F" w:rsidP="003355B2"/>
    <w:p w14:paraId="4BBE9688" w14:textId="77777777" w:rsidR="00C6447F" w:rsidRDefault="00C6447F" w:rsidP="007F1DC0"/>
    <w:p w14:paraId="69A1AD08" w14:textId="77777777" w:rsidR="00C6447F" w:rsidRDefault="00C6447F" w:rsidP="007F1DC0"/>
    <w:p w14:paraId="7A77ECA3" w14:textId="77777777" w:rsidR="00C6447F" w:rsidRDefault="00C6447F" w:rsidP="00151665"/>
  </w:endnote>
  <w:endnote w:type="continuationSeparator" w:id="0">
    <w:p w14:paraId="486500EE" w14:textId="77777777" w:rsidR="00C6447F" w:rsidRDefault="00C6447F">
      <w:r>
        <w:continuationSeparator/>
      </w:r>
    </w:p>
    <w:p w14:paraId="65E182B9" w14:textId="77777777" w:rsidR="00C6447F" w:rsidRDefault="00C6447F"/>
    <w:p w14:paraId="1760F25D" w14:textId="77777777" w:rsidR="00C6447F" w:rsidRDefault="00C6447F" w:rsidP="00801ABB"/>
    <w:p w14:paraId="7D3E96A0" w14:textId="77777777" w:rsidR="00C6447F" w:rsidRDefault="00C6447F" w:rsidP="00801ABB"/>
    <w:p w14:paraId="652564D8" w14:textId="77777777" w:rsidR="00C6447F" w:rsidRDefault="00C6447F" w:rsidP="00943EFD"/>
    <w:p w14:paraId="669AA1E3" w14:textId="77777777" w:rsidR="00C6447F" w:rsidRDefault="00C6447F" w:rsidP="003355B2"/>
    <w:p w14:paraId="55415F20" w14:textId="77777777" w:rsidR="00C6447F" w:rsidRDefault="00C6447F" w:rsidP="003355B2"/>
    <w:p w14:paraId="47EB2A69" w14:textId="77777777" w:rsidR="00C6447F" w:rsidRDefault="00C6447F" w:rsidP="007F1DC0"/>
    <w:p w14:paraId="23C6EB8B" w14:textId="77777777" w:rsidR="00C6447F" w:rsidRDefault="00C6447F" w:rsidP="007F1DC0"/>
    <w:p w14:paraId="2146EE78" w14:textId="77777777" w:rsidR="00C6447F" w:rsidRDefault="00C6447F" w:rsidP="0015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6BFB"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A4696" w14:textId="77777777" w:rsidR="00F57D98" w:rsidRDefault="00F57D98">
    <w:pPr>
      <w:pStyle w:val="Footer"/>
    </w:pPr>
  </w:p>
  <w:p w14:paraId="1CF2D07F" w14:textId="77777777" w:rsidR="00F57D98" w:rsidRDefault="00F57D98"/>
  <w:p w14:paraId="2A35501C" w14:textId="77777777" w:rsidR="00F57D98" w:rsidRDefault="00F57D98" w:rsidP="00801ABB"/>
  <w:p w14:paraId="5A4F0FF2" w14:textId="77777777" w:rsidR="00F57D98" w:rsidRDefault="00F57D98" w:rsidP="00801ABB"/>
  <w:p w14:paraId="2623A596" w14:textId="77777777" w:rsidR="00F57D98" w:rsidRDefault="00F57D98" w:rsidP="00943EFD"/>
  <w:p w14:paraId="409429D5" w14:textId="77777777" w:rsidR="00F57D98" w:rsidRDefault="00F57D98" w:rsidP="003355B2"/>
  <w:p w14:paraId="0F15AF04" w14:textId="77777777" w:rsidR="00F57D98" w:rsidRDefault="00F57D98" w:rsidP="003355B2"/>
  <w:p w14:paraId="4DE7EFBD" w14:textId="77777777" w:rsidR="00F57D98" w:rsidRDefault="00F57D98" w:rsidP="007F1DC0"/>
  <w:p w14:paraId="55E503D8" w14:textId="77777777" w:rsidR="00F57D98" w:rsidRDefault="00F57D98" w:rsidP="007F1DC0"/>
  <w:p w14:paraId="4DD15BAC" w14:textId="77777777" w:rsidR="00F57D98" w:rsidRDefault="00F57D98" w:rsidP="00151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64DC"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1E4">
      <w:rPr>
        <w:rStyle w:val="PageNumber"/>
        <w:noProof/>
      </w:rPr>
      <w:t>7</w:t>
    </w:r>
    <w:r>
      <w:rPr>
        <w:rStyle w:val="PageNumber"/>
      </w:rPr>
      <w:fldChar w:fldCharType="end"/>
    </w:r>
  </w:p>
  <w:p w14:paraId="138631C1" w14:textId="77777777" w:rsidR="00F57D98" w:rsidRPr="005E5DFA" w:rsidRDefault="00F57D98" w:rsidP="00151665">
    <w:pPr>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B548" w14:textId="77777777" w:rsidR="00C6447F" w:rsidRDefault="00C6447F">
      <w:r>
        <w:separator/>
      </w:r>
    </w:p>
    <w:p w14:paraId="55177794" w14:textId="77777777" w:rsidR="00C6447F" w:rsidRDefault="00C6447F"/>
    <w:p w14:paraId="00533C51" w14:textId="77777777" w:rsidR="00C6447F" w:rsidRDefault="00C6447F" w:rsidP="00801ABB"/>
    <w:p w14:paraId="143D90D9" w14:textId="77777777" w:rsidR="00C6447F" w:rsidRDefault="00C6447F" w:rsidP="00801ABB"/>
    <w:p w14:paraId="18EA88C3" w14:textId="77777777" w:rsidR="00C6447F" w:rsidRDefault="00C6447F" w:rsidP="00943EFD"/>
    <w:p w14:paraId="788D5DF6" w14:textId="77777777" w:rsidR="00C6447F" w:rsidRDefault="00C6447F" w:rsidP="003355B2"/>
    <w:p w14:paraId="625A9072" w14:textId="77777777" w:rsidR="00C6447F" w:rsidRDefault="00C6447F" w:rsidP="003355B2"/>
    <w:p w14:paraId="47644EFD" w14:textId="77777777" w:rsidR="00C6447F" w:rsidRDefault="00C6447F" w:rsidP="007F1DC0"/>
    <w:p w14:paraId="6E371720" w14:textId="77777777" w:rsidR="00C6447F" w:rsidRDefault="00C6447F" w:rsidP="007F1DC0"/>
    <w:p w14:paraId="527F10F3" w14:textId="77777777" w:rsidR="00C6447F" w:rsidRDefault="00C6447F" w:rsidP="00151665"/>
  </w:footnote>
  <w:footnote w:type="continuationSeparator" w:id="0">
    <w:p w14:paraId="4F32A520" w14:textId="77777777" w:rsidR="00C6447F" w:rsidRDefault="00C6447F">
      <w:r>
        <w:continuationSeparator/>
      </w:r>
    </w:p>
    <w:p w14:paraId="64F58C92" w14:textId="77777777" w:rsidR="00C6447F" w:rsidRDefault="00C6447F"/>
    <w:p w14:paraId="3B1EB5F9" w14:textId="77777777" w:rsidR="00C6447F" w:rsidRDefault="00C6447F" w:rsidP="00801ABB"/>
    <w:p w14:paraId="2437F1BE" w14:textId="77777777" w:rsidR="00C6447F" w:rsidRDefault="00C6447F" w:rsidP="00801ABB"/>
    <w:p w14:paraId="1141C92A" w14:textId="77777777" w:rsidR="00C6447F" w:rsidRDefault="00C6447F" w:rsidP="00943EFD"/>
    <w:p w14:paraId="23CEFA25" w14:textId="77777777" w:rsidR="00C6447F" w:rsidRDefault="00C6447F" w:rsidP="003355B2"/>
    <w:p w14:paraId="565F2585" w14:textId="77777777" w:rsidR="00C6447F" w:rsidRDefault="00C6447F" w:rsidP="003355B2"/>
    <w:p w14:paraId="1B2F557B" w14:textId="77777777" w:rsidR="00C6447F" w:rsidRDefault="00C6447F" w:rsidP="007F1DC0"/>
    <w:p w14:paraId="01EF1452" w14:textId="77777777" w:rsidR="00C6447F" w:rsidRDefault="00C6447F" w:rsidP="007F1DC0"/>
    <w:p w14:paraId="4BEB4FF3" w14:textId="77777777" w:rsidR="00C6447F" w:rsidRDefault="00C6447F" w:rsidP="00151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3023" w14:textId="77777777" w:rsidR="00F57D98" w:rsidRDefault="00F57D98"/>
  <w:p w14:paraId="455C828F" w14:textId="77777777" w:rsidR="00F57D98" w:rsidRDefault="00F57D98"/>
  <w:p w14:paraId="09098B9C" w14:textId="77777777" w:rsidR="00F57D98" w:rsidRDefault="00F57D98" w:rsidP="00801ABB"/>
  <w:p w14:paraId="4E3D831D" w14:textId="77777777" w:rsidR="00F57D98" w:rsidRDefault="00F57D98" w:rsidP="00943EFD"/>
  <w:p w14:paraId="28DBC627" w14:textId="77777777" w:rsidR="00F57D98" w:rsidRDefault="00F57D98" w:rsidP="003355B2"/>
  <w:p w14:paraId="124D9F1C" w14:textId="77777777" w:rsidR="00F57D98" w:rsidRDefault="00F57D98" w:rsidP="003355B2"/>
  <w:p w14:paraId="46DDBFF3" w14:textId="77777777" w:rsidR="00F57D98" w:rsidRDefault="00F57D98" w:rsidP="007F1DC0"/>
  <w:p w14:paraId="4419B1C2" w14:textId="77777777" w:rsidR="00F57D98" w:rsidRDefault="00F57D98" w:rsidP="007F1DC0"/>
  <w:p w14:paraId="28C52935" w14:textId="77777777" w:rsidR="00F57D98" w:rsidRDefault="00F57D98" w:rsidP="00151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587D" w14:textId="77777777" w:rsidR="00F57D98" w:rsidRPr="00BA3899" w:rsidRDefault="00F57D98">
    <w:pPr>
      <w:pStyle w:val="Header"/>
      <w:rPr>
        <w:sz w:val="28"/>
        <w:szCs w:val="28"/>
        <w14:shadow w14:blurRad="50800" w14:dist="38100" w14:dir="2700000" w14:sx="100000" w14:sy="100000" w14:kx="0" w14:ky="0" w14:algn="tl">
          <w14:srgbClr w14:val="000000">
            <w14:alpha w14:val="60000"/>
          </w14:srgbClr>
        </w14:shadow>
      </w:rPr>
    </w:pPr>
    <w:r w:rsidRPr="00BA3899">
      <w:rPr>
        <w:sz w:val="28"/>
        <w:szCs w:val="28"/>
        <w14:shadow w14:blurRad="50800" w14:dist="38100" w14:dir="2700000" w14:sx="100000" w14:sy="100000" w14:kx="0" w14:ky="0" w14:algn="tl">
          <w14:srgbClr w14:val="000000">
            <w14:alpha w14:val="60000"/>
          </w14:srgbClr>
        </w14:shadow>
      </w:rPr>
      <w:tab/>
    </w:r>
    <w:r w:rsidRPr="00BA3899">
      <w:rPr>
        <w:sz w:val="28"/>
        <w:szCs w:val="28"/>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E4D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5F84"/>
    <w:multiLevelType w:val="hybridMultilevel"/>
    <w:tmpl w:val="2C4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CA9"/>
    <w:multiLevelType w:val="hybridMultilevel"/>
    <w:tmpl w:val="2BF8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7A5"/>
    <w:multiLevelType w:val="hybridMultilevel"/>
    <w:tmpl w:val="18C2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A36"/>
    <w:multiLevelType w:val="hybridMultilevel"/>
    <w:tmpl w:val="88CC5C96"/>
    <w:lvl w:ilvl="0" w:tplc="04090001">
      <w:start w:val="1"/>
      <w:numFmt w:val="bullet"/>
      <w:lvlText w:val=""/>
      <w:lvlJc w:val="left"/>
      <w:pPr>
        <w:ind w:left="720" w:hanging="360"/>
      </w:pPr>
      <w:rPr>
        <w:rFonts w:ascii="Symbol" w:hAnsi="Symbol" w:hint="default"/>
      </w:rPr>
    </w:lvl>
    <w:lvl w:ilvl="1" w:tplc="4F0ABB2C">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41F7"/>
    <w:multiLevelType w:val="hybridMultilevel"/>
    <w:tmpl w:val="B8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4444"/>
    <w:multiLevelType w:val="hybridMultilevel"/>
    <w:tmpl w:val="33C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E3831"/>
    <w:multiLevelType w:val="hybridMultilevel"/>
    <w:tmpl w:val="A4F6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857DA"/>
    <w:multiLevelType w:val="hybridMultilevel"/>
    <w:tmpl w:val="6FF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81F92"/>
    <w:multiLevelType w:val="hybridMultilevel"/>
    <w:tmpl w:val="830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46B3D"/>
    <w:multiLevelType w:val="hybridMultilevel"/>
    <w:tmpl w:val="C08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33FAE"/>
    <w:multiLevelType w:val="hybridMultilevel"/>
    <w:tmpl w:val="661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B4002"/>
    <w:multiLevelType w:val="hybridMultilevel"/>
    <w:tmpl w:val="AC6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93DBE"/>
    <w:multiLevelType w:val="hybridMultilevel"/>
    <w:tmpl w:val="51466FBA"/>
    <w:lvl w:ilvl="0" w:tplc="04090001">
      <w:start w:val="1"/>
      <w:numFmt w:val="bullet"/>
      <w:lvlText w:val=""/>
      <w:lvlJc w:val="left"/>
      <w:pPr>
        <w:tabs>
          <w:tab w:val="num" w:pos="720"/>
        </w:tabs>
        <w:ind w:left="720" w:hanging="360"/>
      </w:pPr>
      <w:rPr>
        <w:rFonts w:ascii="Symbol" w:hAnsi="Symbol" w:hint="default"/>
      </w:rPr>
    </w:lvl>
    <w:lvl w:ilvl="1" w:tplc="B310F188">
      <w:start w:val="1"/>
      <w:numFmt w:val="bullet"/>
      <w:pStyle w:val="BulletLis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175F5"/>
    <w:multiLevelType w:val="singleLevel"/>
    <w:tmpl w:val="EFECBEB0"/>
    <w:lvl w:ilvl="0">
      <w:start w:val="1"/>
      <w:numFmt w:val="lowerLetter"/>
      <w:pStyle w:val="Heading4"/>
      <w:lvlText w:val="%1. "/>
      <w:lvlJc w:val="left"/>
      <w:pPr>
        <w:tabs>
          <w:tab w:val="num" w:pos="375"/>
        </w:tabs>
        <w:ind w:left="375" w:hanging="375"/>
      </w:pPr>
      <w:rPr>
        <w:rFonts w:hint="default"/>
      </w:rPr>
    </w:lvl>
  </w:abstractNum>
  <w:abstractNum w:abstractNumId="15" w15:restartNumberingAfterBreak="0">
    <w:nsid w:val="6DAD67A7"/>
    <w:multiLevelType w:val="hybridMultilevel"/>
    <w:tmpl w:val="84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32AB"/>
    <w:multiLevelType w:val="hybridMultilevel"/>
    <w:tmpl w:val="008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515"/>
    <w:multiLevelType w:val="hybridMultilevel"/>
    <w:tmpl w:val="5BB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22FE8"/>
    <w:multiLevelType w:val="hybridMultilevel"/>
    <w:tmpl w:val="024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11113"/>
    <w:multiLevelType w:val="hybridMultilevel"/>
    <w:tmpl w:val="B582EF80"/>
    <w:lvl w:ilvl="0" w:tplc="B2BE8F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4"/>
  </w:num>
  <w:num w:numId="5">
    <w:abstractNumId w:val="19"/>
  </w:num>
  <w:num w:numId="6">
    <w:abstractNumId w:val="12"/>
  </w:num>
  <w:num w:numId="7">
    <w:abstractNumId w:val="5"/>
  </w:num>
  <w:num w:numId="8">
    <w:abstractNumId w:val="7"/>
  </w:num>
  <w:num w:numId="9">
    <w:abstractNumId w:val="8"/>
  </w:num>
  <w:num w:numId="10">
    <w:abstractNumId w:val="10"/>
  </w:num>
  <w:num w:numId="11">
    <w:abstractNumId w:val="9"/>
  </w:num>
  <w:num w:numId="12">
    <w:abstractNumId w:val="17"/>
  </w:num>
  <w:num w:numId="13">
    <w:abstractNumId w:val="1"/>
  </w:num>
  <w:num w:numId="14">
    <w:abstractNumId w:val="15"/>
  </w:num>
  <w:num w:numId="15">
    <w:abstractNumId w:val="2"/>
  </w:num>
  <w:num w:numId="16">
    <w:abstractNumId w:val="11"/>
  </w:num>
  <w:num w:numId="17">
    <w:abstractNumId w:val="3"/>
  </w:num>
  <w:num w:numId="18">
    <w:abstractNumId w:val="6"/>
  </w:num>
  <w:num w:numId="19">
    <w:abstractNumId w:val="18"/>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2B"/>
    <w:rsid w:val="0000047B"/>
    <w:rsid w:val="00000D05"/>
    <w:rsid w:val="00002326"/>
    <w:rsid w:val="000035E3"/>
    <w:rsid w:val="000063D9"/>
    <w:rsid w:val="0000746B"/>
    <w:rsid w:val="00012B00"/>
    <w:rsid w:val="00013E79"/>
    <w:rsid w:val="00016D65"/>
    <w:rsid w:val="00016E12"/>
    <w:rsid w:val="00020605"/>
    <w:rsid w:val="00020A87"/>
    <w:rsid w:val="0002519E"/>
    <w:rsid w:val="00031587"/>
    <w:rsid w:val="00031DDE"/>
    <w:rsid w:val="00031F7A"/>
    <w:rsid w:val="00032415"/>
    <w:rsid w:val="000324B6"/>
    <w:rsid w:val="00034823"/>
    <w:rsid w:val="00035672"/>
    <w:rsid w:val="00035C75"/>
    <w:rsid w:val="00042CA0"/>
    <w:rsid w:val="00043A9B"/>
    <w:rsid w:val="00045778"/>
    <w:rsid w:val="00050D24"/>
    <w:rsid w:val="00051D2B"/>
    <w:rsid w:val="00053967"/>
    <w:rsid w:val="0006106E"/>
    <w:rsid w:val="00061523"/>
    <w:rsid w:val="000616D7"/>
    <w:rsid w:val="00062463"/>
    <w:rsid w:val="00063D03"/>
    <w:rsid w:val="00064350"/>
    <w:rsid w:val="00065786"/>
    <w:rsid w:val="00073826"/>
    <w:rsid w:val="0007438D"/>
    <w:rsid w:val="00077BA0"/>
    <w:rsid w:val="00082752"/>
    <w:rsid w:val="00087F6A"/>
    <w:rsid w:val="000925A4"/>
    <w:rsid w:val="00093168"/>
    <w:rsid w:val="000951F6"/>
    <w:rsid w:val="000978CE"/>
    <w:rsid w:val="000A0650"/>
    <w:rsid w:val="000A0EB0"/>
    <w:rsid w:val="000A1425"/>
    <w:rsid w:val="000A5124"/>
    <w:rsid w:val="000B1094"/>
    <w:rsid w:val="000B18B0"/>
    <w:rsid w:val="000B3756"/>
    <w:rsid w:val="000B5677"/>
    <w:rsid w:val="000B7A74"/>
    <w:rsid w:val="000C0998"/>
    <w:rsid w:val="000C1415"/>
    <w:rsid w:val="000C45E4"/>
    <w:rsid w:val="000D038B"/>
    <w:rsid w:val="000D2230"/>
    <w:rsid w:val="000D3DD2"/>
    <w:rsid w:val="000D4F0B"/>
    <w:rsid w:val="000D607D"/>
    <w:rsid w:val="000E1882"/>
    <w:rsid w:val="000E53A4"/>
    <w:rsid w:val="000E6B93"/>
    <w:rsid w:val="000E7320"/>
    <w:rsid w:val="000F02A5"/>
    <w:rsid w:val="000F203C"/>
    <w:rsid w:val="000F41A1"/>
    <w:rsid w:val="000F41D5"/>
    <w:rsid w:val="000F57A9"/>
    <w:rsid w:val="00103A82"/>
    <w:rsid w:val="0010727E"/>
    <w:rsid w:val="001109D0"/>
    <w:rsid w:val="00113D02"/>
    <w:rsid w:val="00114F7F"/>
    <w:rsid w:val="001272AA"/>
    <w:rsid w:val="00127B1F"/>
    <w:rsid w:val="00134E17"/>
    <w:rsid w:val="00137590"/>
    <w:rsid w:val="00141455"/>
    <w:rsid w:val="0014258A"/>
    <w:rsid w:val="00146C0E"/>
    <w:rsid w:val="00146DF4"/>
    <w:rsid w:val="00151665"/>
    <w:rsid w:val="00152887"/>
    <w:rsid w:val="001546C8"/>
    <w:rsid w:val="00154846"/>
    <w:rsid w:val="00155CC6"/>
    <w:rsid w:val="00156B24"/>
    <w:rsid w:val="00160D04"/>
    <w:rsid w:val="001625C1"/>
    <w:rsid w:val="00172950"/>
    <w:rsid w:val="0017585D"/>
    <w:rsid w:val="00176157"/>
    <w:rsid w:val="00183B3B"/>
    <w:rsid w:val="00186536"/>
    <w:rsid w:val="00186A91"/>
    <w:rsid w:val="00186EC9"/>
    <w:rsid w:val="00191D34"/>
    <w:rsid w:val="00192E5B"/>
    <w:rsid w:val="001930D0"/>
    <w:rsid w:val="0019465B"/>
    <w:rsid w:val="00194905"/>
    <w:rsid w:val="001A10EE"/>
    <w:rsid w:val="001A702C"/>
    <w:rsid w:val="001B4390"/>
    <w:rsid w:val="001C0E6F"/>
    <w:rsid w:val="001C20AF"/>
    <w:rsid w:val="001C3981"/>
    <w:rsid w:val="001D1AAD"/>
    <w:rsid w:val="001D6A35"/>
    <w:rsid w:val="001D73A6"/>
    <w:rsid w:val="001E0171"/>
    <w:rsid w:val="001E0EFE"/>
    <w:rsid w:val="001F1B01"/>
    <w:rsid w:val="001F3DFB"/>
    <w:rsid w:val="001F6F14"/>
    <w:rsid w:val="00201E8E"/>
    <w:rsid w:val="002027C6"/>
    <w:rsid w:val="00204386"/>
    <w:rsid w:val="00204398"/>
    <w:rsid w:val="00207E8B"/>
    <w:rsid w:val="00210413"/>
    <w:rsid w:val="00211D3D"/>
    <w:rsid w:val="00212781"/>
    <w:rsid w:val="00214114"/>
    <w:rsid w:val="0021485B"/>
    <w:rsid w:val="00214DD3"/>
    <w:rsid w:val="002160E5"/>
    <w:rsid w:val="0022018F"/>
    <w:rsid w:val="002256C3"/>
    <w:rsid w:val="00230BCE"/>
    <w:rsid w:val="0023284D"/>
    <w:rsid w:val="00240116"/>
    <w:rsid w:val="00243BA9"/>
    <w:rsid w:val="002470FA"/>
    <w:rsid w:val="00252A68"/>
    <w:rsid w:val="002550F0"/>
    <w:rsid w:val="0025649C"/>
    <w:rsid w:val="002604E9"/>
    <w:rsid w:val="00263E86"/>
    <w:rsid w:val="0026450E"/>
    <w:rsid w:val="00265094"/>
    <w:rsid w:val="002672C3"/>
    <w:rsid w:val="002715D9"/>
    <w:rsid w:val="002764AF"/>
    <w:rsid w:val="00281D18"/>
    <w:rsid w:val="00285258"/>
    <w:rsid w:val="00285855"/>
    <w:rsid w:val="002915DB"/>
    <w:rsid w:val="002961F3"/>
    <w:rsid w:val="00296343"/>
    <w:rsid w:val="002A1818"/>
    <w:rsid w:val="002A2353"/>
    <w:rsid w:val="002A2CF8"/>
    <w:rsid w:val="002A4BDA"/>
    <w:rsid w:val="002A76C8"/>
    <w:rsid w:val="002B2A27"/>
    <w:rsid w:val="002B35AA"/>
    <w:rsid w:val="002B65E2"/>
    <w:rsid w:val="002C13AB"/>
    <w:rsid w:val="002C36D0"/>
    <w:rsid w:val="002C4100"/>
    <w:rsid w:val="002D1C63"/>
    <w:rsid w:val="002D6B3E"/>
    <w:rsid w:val="002D6FD4"/>
    <w:rsid w:val="002D754F"/>
    <w:rsid w:val="002D7707"/>
    <w:rsid w:val="002E0640"/>
    <w:rsid w:val="002E2E40"/>
    <w:rsid w:val="002E4B66"/>
    <w:rsid w:val="00301F6F"/>
    <w:rsid w:val="00305023"/>
    <w:rsid w:val="0030533C"/>
    <w:rsid w:val="00306BBE"/>
    <w:rsid w:val="00310352"/>
    <w:rsid w:val="00312CFB"/>
    <w:rsid w:val="003234F9"/>
    <w:rsid w:val="00323A8C"/>
    <w:rsid w:val="003267B7"/>
    <w:rsid w:val="00333B38"/>
    <w:rsid w:val="003355B2"/>
    <w:rsid w:val="00340333"/>
    <w:rsid w:val="003473BB"/>
    <w:rsid w:val="00350733"/>
    <w:rsid w:val="0035700D"/>
    <w:rsid w:val="00357717"/>
    <w:rsid w:val="0036027C"/>
    <w:rsid w:val="003623FC"/>
    <w:rsid w:val="00384B6E"/>
    <w:rsid w:val="00386250"/>
    <w:rsid w:val="003A0172"/>
    <w:rsid w:val="003A0CAE"/>
    <w:rsid w:val="003A3523"/>
    <w:rsid w:val="003A423D"/>
    <w:rsid w:val="003A58AB"/>
    <w:rsid w:val="003A7B8C"/>
    <w:rsid w:val="003B3D01"/>
    <w:rsid w:val="003B6FEB"/>
    <w:rsid w:val="003B79C7"/>
    <w:rsid w:val="003C090E"/>
    <w:rsid w:val="003C23CB"/>
    <w:rsid w:val="003C3610"/>
    <w:rsid w:val="003C39DD"/>
    <w:rsid w:val="003C5ECE"/>
    <w:rsid w:val="003C60EE"/>
    <w:rsid w:val="003C6F50"/>
    <w:rsid w:val="003D139E"/>
    <w:rsid w:val="003D3BF5"/>
    <w:rsid w:val="003D5912"/>
    <w:rsid w:val="003D75B3"/>
    <w:rsid w:val="003E230D"/>
    <w:rsid w:val="003E4967"/>
    <w:rsid w:val="003E655F"/>
    <w:rsid w:val="003F12D6"/>
    <w:rsid w:val="003F28AE"/>
    <w:rsid w:val="003F3E92"/>
    <w:rsid w:val="003F46E8"/>
    <w:rsid w:val="003F7609"/>
    <w:rsid w:val="003F7CC1"/>
    <w:rsid w:val="0040062B"/>
    <w:rsid w:val="004029AD"/>
    <w:rsid w:val="0040329A"/>
    <w:rsid w:val="00406D56"/>
    <w:rsid w:val="00410EAC"/>
    <w:rsid w:val="00413E62"/>
    <w:rsid w:val="004157A4"/>
    <w:rsid w:val="00417270"/>
    <w:rsid w:val="004176D9"/>
    <w:rsid w:val="00420B2D"/>
    <w:rsid w:val="00421E38"/>
    <w:rsid w:val="00422273"/>
    <w:rsid w:val="00422B38"/>
    <w:rsid w:val="00425C2D"/>
    <w:rsid w:val="00426220"/>
    <w:rsid w:val="00426E4E"/>
    <w:rsid w:val="00426FF0"/>
    <w:rsid w:val="0043139F"/>
    <w:rsid w:val="0043401F"/>
    <w:rsid w:val="00434954"/>
    <w:rsid w:val="00435942"/>
    <w:rsid w:val="0043602C"/>
    <w:rsid w:val="0044305E"/>
    <w:rsid w:val="004457D4"/>
    <w:rsid w:val="0045094B"/>
    <w:rsid w:val="00450B8B"/>
    <w:rsid w:val="00450D74"/>
    <w:rsid w:val="004516EB"/>
    <w:rsid w:val="00451B9B"/>
    <w:rsid w:val="0045286D"/>
    <w:rsid w:val="0045496F"/>
    <w:rsid w:val="00463645"/>
    <w:rsid w:val="00464EC1"/>
    <w:rsid w:val="00467678"/>
    <w:rsid w:val="00472470"/>
    <w:rsid w:val="004768BB"/>
    <w:rsid w:val="004807F3"/>
    <w:rsid w:val="0048343B"/>
    <w:rsid w:val="0048439F"/>
    <w:rsid w:val="00485194"/>
    <w:rsid w:val="00486D7F"/>
    <w:rsid w:val="00490495"/>
    <w:rsid w:val="00490902"/>
    <w:rsid w:val="00490F1D"/>
    <w:rsid w:val="0049290B"/>
    <w:rsid w:val="00494660"/>
    <w:rsid w:val="004962A2"/>
    <w:rsid w:val="004968FE"/>
    <w:rsid w:val="00496B2F"/>
    <w:rsid w:val="0049786A"/>
    <w:rsid w:val="004A4E4B"/>
    <w:rsid w:val="004A5069"/>
    <w:rsid w:val="004B203D"/>
    <w:rsid w:val="004B2763"/>
    <w:rsid w:val="004B35AF"/>
    <w:rsid w:val="004B703A"/>
    <w:rsid w:val="004B70D1"/>
    <w:rsid w:val="004C0175"/>
    <w:rsid w:val="004C0AE4"/>
    <w:rsid w:val="004C1F0A"/>
    <w:rsid w:val="004C2BF5"/>
    <w:rsid w:val="004C3435"/>
    <w:rsid w:val="004C46D5"/>
    <w:rsid w:val="004D7E9D"/>
    <w:rsid w:val="004E55A7"/>
    <w:rsid w:val="004E751E"/>
    <w:rsid w:val="004F2134"/>
    <w:rsid w:val="004F6A18"/>
    <w:rsid w:val="005023F8"/>
    <w:rsid w:val="00504AC8"/>
    <w:rsid w:val="005132C0"/>
    <w:rsid w:val="0051408D"/>
    <w:rsid w:val="00520E86"/>
    <w:rsid w:val="005228C9"/>
    <w:rsid w:val="005228CB"/>
    <w:rsid w:val="00524911"/>
    <w:rsid w:val="00524D13"/>
    <w:rsid w:val="00525D65"/>
    <w:rsid w:val="005268A7"/>
    <w:rsid w:val="00526D8D"/>
    <w:rsid w:val="00527A1B"/>
    <w:rsid w:val="0053204B"/>
    <w:rsid w:val="00532C90"/>
    <w:rsid w:val="0053475F"/>
    <w:rsid w:val="005441A1"/>
    <w:rsid w:val="00544CFA"/>
    <w:rsid w:val="005475B1"/>
    <w:rsid w:val="00550739"/>
    <w:rsid w:val="00551027"/>
    <w:rsid w:val="00551963"/>
    <w:rsid w:val="005555DD"/>
    <w:rsid w:val="0056059D"/>
    <w:rsid w:val="005613CA"/>
    <w:rsid w:val="00562F02"/>
    <w:rsid w:val="00566AC5"/>
    <w:rsid w:val="00571C37"/>
    <w:rsid w:val="0057451D"/>
    <w:rsid w:val="00576277"/>
    <w:rsid w:val="00581681"/>
    <w:rsid w:val="00582082"/>
    <w:rsid w:val="00585EB5"/>
    <w:rsid w:val="005870BF"/>
    <w:rsid w:val="00590434"/>
    <w:rsid w:val="0059084F"/>
    <w:rsid w:val="0059486B"/>
    <w:rsid w:val="005A5F6B"/>
    <w:rsid w:val="005B58D7"/>
    <w:rsid w:val="005B5A47"/>
    <w:rsid w:val="005B6C7F"/>
    <w:rsid w:val="005C3C6F"/>
    <w:rsid w:val="005C70B1"/>
    <w:rsid w:val="005C7CCE"/>
    <w:rsid w:val="005D149D"/>
    <w:rsid w:val="005D3E20"/>
    <w:rsid w:val="005D770A"/>
    <w:rsid w:val="005E38A1"/>
    <w:rsid w:val="005E42A9"/>
    <w:rsid w:val="005E5C13"/>
    <w:rsid w:val="005E5DFA"/>
    <w:rsid w:val="005F1689"/>
    <w:rsid w:val="00601FA3"/>
    <w:rsid w:val="00602CC6"/>
    <w:rsid w:val="00614390"/>
    <w:rsid w:val="00614D32"/>
    <w:rsid w:val="006176A2"/>
    <w:rsid w:val="00620D07"/>
    <w:rsid w:val="00621C4E"/>
    <w:rsid w:val="00623081"/>
    <w:rsid w:val="006245EE"/>
    <w:rsid w:val="00624AC5"/>
    <w:rsid w:val="00624F2B"/>
    <w:rsid w:val="006250A5"/>
    <w:rsid w:val="006306D6"/>
    <w:rsid w:val="006331AC"/>
    <w:rsid w:val="00634C45"/>
    <w:rsid w:val="00635DCC"/>
    <w:rsid w:val="00637641"/>
    <w:rsid w:val="00641135"/>
    <w:rsid w:val="006416CD"/>
    <w:rsid w:val="00646035"/>
    <w:rsid w:val="00650132"/>
    <w:rsid w:val="00650556"/>
    <w:rsid w:val="00654B4A"/>
    <w:rsid w:val="00656E1A"/>
    <w:rsid w:val="00657616"/>
    <w:rsid w:val="00660C2A"/>
    <w:rsid w:val="00665DEC"/>
    <w:rsid w:val="00666432"/>
    <w:rsid w:val="00667B03"/>
    <w:rsid w:val="00681BE1"/>
    <w:rsid w:val="00681EC3"/>
    <w:rsid w:val="00683219"/>
    <w:rsid w:val="00693699"/>
    <w:rsid w:val="00696FE1"/>
    <w:rsid w:val="006A263E"/>
    <w:rsid w:val="006A4027"/>
    <w:rsid w:val="006B2869"/>
    <w:rsid w:val="006B29D9"/>
    <w:rsid w:val="006B3AA6"/>
    <w:rsid w:val="006B6DBC"/>
    <w:rsid w:val="006C12D8"/>
    <w:rsid w:val="006C3D69"/>
    <w:rsid w:val="006C483C"/>
    <w:rsid w:val="006C6285"/>
    <w:rsid w:val="006C7B8C"/>
    <w:rsid w:val="006C7DA7"/>
    <w:rsid w:val="006D04EF"/>
    <w:rsid w:val="006D178A"/>
    <w:rsid w:val="006E5FB9"/>
    <w:rsid w:val="006F0E44"/>
    <w:rsid w:val="006F2A45"/>
    <w:rsid w:val="00701207"/>
    <w:rsid w:val="00704D15"/>
    <w:rsid w:val="007070BF"/>
    <w:rsid w:val="00710878"/>
    <w:rsid w:val="0071134E"/>
    <w:rsid w:val="007137DB"/>
    <w:rsid w:val="00713A14"/>
    <w:rsid w:val="00720875"/>
    <w:rsid w:val="007246E8"/>
    <w:rsid w:val="007249CF"/>
    <w:rsid w:val="007314B3"/>
    <w:rsid w:val="00732D20"/>
    <w:rsid w:val="00733091"/>
    <w:rsid w:val="007356DD"/>
    <w:rsid w:val="007358DE"/>
    <w:rsid w:val="007417B4"/>
    <w:rsid w:val="0074189C"/>
    <w:rsid w:val="00741E94"/>
    <w:rsid w:val="007468D1"/>
    <w:rsid w:val="00746C92"/>
    <w:rsid w:val="0075218A"/>
    <w:rsid w:val="00752FDB"/>
    <w:rsid w:val="0075333B"/>
    <w:rsid w:val="00754795"/>
    <w:rsid w:val="00757116"/>
    <w:rsid w:val="00761386"/>
    <w:rsid w:val="00761A46"/>
    <w:rsid w:val="00763D19"/>
    <w:rsid w:val="007658C4"/>
    <w:rsid w:val="00767239"/>
    <w:rsid w:val="0077195F"/>
    <w:rsid w:val="00771AEF"/>
    <w:rsid w:val="00773839"/>
    <w:rsid w:val="00774D25"/>
    <w:rsid w:val="007818EF"/>
    <w:rsid w:val="00782387"/>
    <w:rsid w:val="00783E34"/>
    <w:rsid w:val="0078592A"/>
    <w:rsid w:val="00793765"/>
    <w:rsid w:val="00796C58"/>
    <w:rsid w:val="007A02E2"/>
    <w:rsid w:val="007A02E7"/>
    <w:rsid w:val="007A0BAB"/>
    <w:rsid w:val="007A26E0"/>
    <w:rsid w:val="007A2E45"/>
    <w:rsid w:val="007A6F48"/>
    <w:rsid w:val="007B0936"/>
    <w:rsid w:val="007B3867"/>
    <w:rsid w:val="007B47D8"/>
    <w:rsid w:val="007B57C3"/>
    <w:rsid w:val="007B5F4D"/>
    <w:rsid w:val="007C0C8F"/>
    <w:rsid w:val="007C1166"/>
    <w:rsid w:val="007C23FA"/>
    <w:rsid w:val="007C2A0C"/>
    <w:rsid w:val="007C3197"/>
    <w:rsid w:val="007D5024"/>
    <w:rsid w:val="007E2630"/>
    <w:rsid w:val="007E3083"/>
    <w:rsid w:val="007E3D5D"/>
    <w:rsid w:val="007E5A29"/>
    <w:rsid w:val="007F0F78"/>
    <w:rsid w:val="007F1DC0"/>
    <w:rsid w:val="007F2743"/>
    <w:rsid w:val="007F337B"/>
    <w:rsid w:val="007F7718"/>
    <w:rsid w:val="00801ABB"/>
    <w:rsid w:val="00801ED1"/>
    <w:rsid w:val="00803279"/>
    <w:rsid w:val="0080611B"/>
    <w:rsid w:val="00807C13"/>
    <w:rsid w:val="00807D47"/>
    <w:rsid w:val="0082178F"/>
    <w:rsid w:val="00824CAC"/>
    <w:rsid w:val="008304AE"/>
    <w:rsid w:val="00830E41"/>
    <w:rsid w:val="008324A4"/>
    <w:rsid w:val="00835364"/>
    <w:rsid w:val="00836161"/>
    <w:rsid w:val="00837051"/>
    <w:rsid w:val="00837BA7"/>
    <w:rsid w:val="008417DD"/>
    <w:rsid w:val="008427BC"/>
    <w:rsid w:val="00843C30"/>
    <w:rsid w:val="00843C82"/>
    <w:rsid w:val="0084454E"/>
    <w:rsid w:val="008454D8"/>
    <w:rsid w:val="00851D21"/>
    <w:rsid w:val="0085553B"/>
    <w:rsid w:val="008569D6"/>
    <w:rsid w:val="00866A17"/>
    <w:rsid w:val="00873401"/>
    <w:rsid w:val="008749AF"/>
    <w:rsid w:val="008749CC"/>
    <w:rsid w:val="00874ECB"/>
    <w:rsid w:val="00881896"/>
    <w:rsid w:val="008916C8"/>
    <w:rsid w:val="0089195C"/>
    <w:rsid w:val="00896281"/>
    <w:rsid w:val="008966A0"/>
    <w:rsid w:val="00897BA2"/>
    <w:rsid w:val="008A23D1"/>
    <w:rsid w:val="008A25E8"/>
    <w:rsid w:val="008A2AE3"/>
    <w:rsid w:val="008B1E20"/>
    <w:rsid w:val="008B2BE7"/>
    <w:rsid w:val="008B3947"/>
    <w:rsid w:val="008B74A3"/>
    <w:rsid w:val="008B7820"/>
    <w:rsid w:val="008C06CA"/>
    <w:rsid w:val="008C0F84"/>
    <w:rsid w:val="008C37F0"/>
    <w:rsid w:val="008C3936"/>
    <w:rsid w:val="008C548B"/>
    <w:rsid w:val="008C5614"/>
    <w:rsid w:val="008C745A"/>
    <w:rsid w:val="008D0937"/>
    <w:rsid w:val="008D0A9D"/>
    <w:rsid w:val="008D0DAC"/>
    <w:rsid w:val="008D13D3"/>
    <w:rsid w:val="008D1F97"/>
    <w:rsid w:val="008D39AD"/>
    <w:rsid w:val="008E029D"/>
    <w:rsid w:val="008E13A5"/>
    <w:rsid w:val="008E2EBD"/>
    <w:rsid w:val="008E5D22"/>
    <w:rsid w:val="008E5F9F"/>
    <w:rsid w:val="008E6073"/>
    <w:rsid w:val="008E7585"/>
    <w:rsid w:val="008F182D"/>
    <w:rsid w:val="008F479C"/>
    <w:rsid w:val="008F6A1E"/>
    <w:rsid w:val="00900DD4"/>
    <w:rsid w:val="00903A8B"/>
    <w:rsid w:val="00905838"/>
    <w:rsid w:val="00905F49"/>
    <w:rsid w:val="009060EE"/>
    <w:rsid w:val="009075AB"/>
    <w:rsid w:val="00910AFB"/>
    <w:rsid w:val="00913C9A"/>
    <w:rsid w:val="009141FD"/>
    <w:rsid w:val="00915406"/>
    <w:rsid w:val="00916BE6"/>
    <w:rsid w:val="00922074"/>
    <w:rsid w:val="00922BB7"/>
    <w:rsid w:val="00923658"/>
    <w:rsid w:val="0092455C"/>
    <w:rsid w:val="009337E2"/>
    <w:rsid w:val="009363E4"/>
    <w:rsid w:val="00940EA8"/>
    <w:rsid w:val="00942988"/>
    <w:rsid w:val="00943EFD"/>
    <w:rsid w:val="0095483B"/>
    <w:rsid w:val="00961CB8"/>
    <w:rsid w:val="0096506E"/>
    <w:rsid w:val="00965896"/>
    <w:rsid w:val="0098347C"/>
    <w:rsid w:val="0098428B"/>
    <w:rsid w:val="009856C5"/>
    <w:rsid w:val="0099428C"/>
    <w:rsid w:val="00994C65"/>
    <w:rsid w:val="00994F1C"/>
    <w:rsid w:val="0099684E"/>
    <w:rsid w:val="009968AD"/>
    <w:rsid w:val="00996F63"/>
    <w:rsid w:val="009A028F"/>
    <w:rsid w:val="009A25EA"/>
    <w:rsid w:val="009A67BB"/>
    <w:rsid w:val="009B21AF"/>
    <w:rsid w:val="009B2ADA"/>
    <w:rsid w:val="009B41FC"/>
    <w:rsid w:val="009B4717"/>
    <w:rsid w:val="009C1488"/>
    <w:rsid w:val="009C522B"/>
    <w:rsid w:val="009D4607"/>
    <w:rsid w:val="009D70B7"/>
    <w:rsid w:val="009D78E4"/>
    <w:rsid w:val="009E1EFA"/>
    <w:rsid w:val="009E332F"/>
    <w:rsid w:val="009E3778"/>
    <w:rsid w:val="009E3C7B"/>
    <w:rsid w:val="009E6AE6"/>
    <w:rsid w:val="009E78B4"/>
    <w:rsid w:val="009F2E9B"/>
    <w:rsid w:val="009F5B37"/>
    <w:rsid w:val="00A11460"/>
    <w:rsid w:val="00A126A1"/>
    <w:rsid w:val="00A13276"/>
    <w:rsid w:val="00A135BD"/>
    <w:rsid w:val="00A162C8"/>
    <w:rsid w:val="00A26AE5"/>
    <w:rsid w:val="00A32D97"/>
    <w:rsid w:val="00A336F5"/>
    <w:rsid w:val="00A420F0"/>
    <w:rsid w:val="00A43798"/>
    <w:rsid w:val="00A506AE"/>
    <w:rsid w:val="00A50F84"/>
    <w:rsid w:val="00A52A86"/>
    <w:rsid w:val="00A54735"/>
    <w:rsid w:val="00A577B6"/>
    <w:rsid w:val="00A626DE"/>
    <w:rsid w:val="00A64A6E"/>
    <w:rsid w:val="00A64E52"/>
    <w:rsid w:val="00A66D4F"/>
    <w:rsid w:val="00A74BBA"/>
    <w:rsid w:val="00A77384"/>
    <w:rsid w:val="00A82239"/>
    <w:rsid w:val="00A82E01"/>
    <w:rsid w:val="00A83E0F"/>
    <w:rsid w:val="00A84E2A"/>
    <w:rsid w:val="00A8595F"/>
    <w:rsid w:val="00A86203"/>
    <w:rsid w:val="00A8688B"/>
    <w:rsid w:val="00A9168B"/>
    <w:rsid w:val="00A91C44"/>
    <w:rsid w:val="00A91C8E"/>
    <w:rsid w:val="00A9351C"/>
    <w:rsid w:val="00A93731"/>
    <w:rsid w:val="00A93FDD"/>
    <w:rsid w:val="00AA19A3"/>
    <w:rsid w:val="00AA37EC"/>
    <w:rsid w:val="00AA4D12"/>
    <w:rsid w:val="00AA6109"/>
    <w:rsid w:val="00AB59B3"/>
    <w:rsid w:val="00AC4293"/>
    <w:rsid w:val="00AC4A63"/>
    <w:rsid w:val="00AC51BA"/>
    <w:rsid w:val="00AD0ABA"/>
    <w:rsid w:val="00AD1865"/>
    <w:rsid w:val="00AD4C80"/>
    <w:rsid w:val="00AE17E5"/>
    <w:rsid w:val="00AE2C94"/>
    <w:rsid w:val="00AE4913"/>
    <w:rsid w:val="00AE596B"/>
    <w:rsid w:val="00AE59B4"/>
    <w:rsid w:val="00AE7F9D"/>
    <w:rsid w:val="00AF2584"/>
    <w:rsid w:val="00AF53A1"/>
    <w:rsid w:val="00AF5C68"/>
    <w:rsid w:val="00B004A5"/>
    <w:rsid w:val="00B00DD4"/>
    <w:rsid w:val="00B02E24"/>
    <w:rsid w:val="00B04B24"/>
    <w:rsid w:val="00B06EF6"/>
    <w:rsid w:val="00B10EDA"/>
    <w:rsid w:val="00B11AA0"/>
    <w:rsid w:val="00B17084"/>
    <w:rsid w:val="00B17D2C"/>
    <w:rsid w:val="00B32CF9"/>
    <w:rsid w:val="00B33852"/>
    <w:rsid w:val="00B37E34"/>
    <w:rsid w:val="00B43A27"/>
    <w:rsid w:val="00B459C0"/>
    <w:rsid w:val="00B45D9B"/>
    <w:rsid w:val="00B46A2E"/>
    <w:rsid w:val="00B538AC"/>
    <w:rsid w:val="00B5523F"/>
    <w:rsid w:val="00B60182"/>
    <w:rsid w:val="00B6052E"/>
    <w:rsid w:val="00B628F5"/>
    <w:rsid w:val="00B62A31"/>
    <w:rsid w:val="00B63A92"/>
    <w:rsid w:val="00B65B17"/>
    <w:rsid w:val="00B70257"/>
    <w:rsid w:val="00B748CD"/>
    <w:rsid w:val="00B76D17"/>
    <w:rsid w:val="00B8232F"/>
    <w:rsid w:val="00B92316"/>
    <w:rsid w:val="00B92F85"/>
    <w:rsid w:val="00B963BF"/>
    <w:rsid w:val="00BA0282"/>
    <w:rsid w:val="00BA0597"/>
    <w:rsid w:val="00BA3899"/>
    <w:rsid w:val="00BA5B39"/>
    <w:rsid w:val="00BA5D46"/>
    <w:rsid w:val="00BB0C77"/>
    <w:rsid w:val="00BB431F"/>
    <w:rsid w:val="00BB5AB6"/>
    <w:rsid w:val="00BB60DF"/>
    <w:rsid w:val="00BB694B"/>
    <w:rsid w:val="00BB7A56"/>
    <w:rsid w:val="00BB7F4C"/>
    <w:rsid w:val="00BC0927"/>
    <w:rsid w:val="00BC1A6D"/>
    <w:rsid w:val="00BC21EF"/>
    <w:rsid w:val="00BC3347"/>
    <w:rsid w:val="00BC5A89"/>
    <w:rsid w:val="00BC62EA"/>
    <w:rsid w:val="00BD297D"/>
    <w:rsid w:val="00BD5E64"/>
    <w:rsid w:val="00BD649A"/>
    <w:rsid w:val="00BD6E47"/>
    <w:rsid w:val="00BE010A"/>
    <w:rsid w:val="00BE43BD"/>
    <w:rsid w:val="00BE556E"/>
    <w:rsid w:val="00BE607E"/>
    <w:rsid w:val="00BF42A7"/>
    <w:rsid w:val="00BF4D1C"/>
    <w:rsid w:val="00BF63A7"/>
    <w:rsid w:val="00C0117C"/>
    <w:rsid w:val="00C03E28"/>
    <w:rsid w:val="00C06BAA"/>
    <w:rsid w:val="00C1219C"/>
    <w:rsid w:val="00C12A7B"/>
    <w:rsid w:val="00C15C5F"/>
    <w:rsid w:val="00C16ABC"/>
    <w:rsid w:val="00C20BD3"/>
    <w:rsid w:val="00C24661"/>
    <w:rsid w:val="00C25CE3"/>
    <w:rsid w:val="00C25F65"/>
    <w:rsid w:val="00C26187"/>
    <w:rsid w:val="00C33C68"/>
    <w:rsid w:val="00C344B7"/>
    <w:rsid w:val="00C34860"/>
    <w:rsid w:val="00C36893"/>
    <w:rsid w:val="00C377A4"/>
    <w:rsid w:val="00C41E6C"/>
    <w:rsid w:val="00C41E7B"/>
    <w:rsid w:val="00C432C8"/>
    <w:rsid w:val="00C43F5A"/>
    <w:rsid w:val="00C4660C"/>
    <w:rsid w:val="00C47715"/>
    <w:rsid w:val="00C50783"/>
    <w:rsid w:val="00C56637"/>
    <w:rsid w:val="00C57F2B"/>
    <w:rsid w:val="00C607FB"/>
    <w:rsid w:val="00C6402D"/>
    <w:rsid w:val="00C6447F"/>
    <w:rsid w:val="00C654BD"/>
    <w:rsid w:val="00C67092"/>
    <w:rsid w:val="00C76226"/>
    <w:rsid w:val="00C83423"/>
    <w:rsid w:val="00C83EDC"/>
    <w:rsid w:val="00C84142"/>
    <w:rsid w:val="00C8499A"/>
    <w:rsid w:val="00C84B8A"/>
    <w:rsid w:val="00C90ADB"/>
    <w:rsid w:val="00C92B34"/>
    <w:rsid w:val="00C92EDB"/>
    <w:rsid w:val="00C93E8F"/>
    <w:rsid w:val="00C96AB2"/>
    <w:rsid w:val="00CA1146"/>
    <w:rsid w:val="00CA3096"/>
    <w:rsid w:val="00CA4FB0"/>
    <w:rsid w:val="00CA6241"/>
    <w:rsid w:val="00CB4F2E"/>
    <w:rsid w:val="00CC2628"/>
    <w:rsid w:val="00CD4B1D"/>
    <w:rsid w:val="00CD4B39"/>
    <w:rsid w:val="00CD752C"/>
    <w:rsid w:val="00CE08AE"/>
    <w:rsid w:val="00CE0B1C"/>
    <w:rsid w:val="00CE2791"/>
    <w:rsid w:val="00CE7341"/>
    <w:rsid w:val="00CF0E7A"/>
    <w:rsid w:val="00CF2B48"/>
    <w:rsid w:val="00CF40F0"/>
    <w:rsid w:val="00CF414A"/>
    <w:rsid w:val="00CF4C25"/>
    <w:rsid w:val="00CF6E74"/>
    <w:rsid w:val="00CF7B43"/>
    <w:rsid w:val="00D01D49"/>
    <w:rsid w:val="00D05E3C"/>
    <w:rsid w:val="00D07690"/>
    <w:rsid w:val="00D11BBE"/>
    <w:rsid w:val="00D16B40"/>
    <w:rsid w:val="00D24760"/>
    <w:rsid w:val="00D24D3D"/>
    <w:rsid w:val="00D2682B"/>
    <w:rsid w:val="00D30F4B"/>
    <w:rsid w:val="00D35590"/>
    <w:rsid w:val="00D3633E"/>
    <w:rsid w:val="00D413AB"/>
    <w:rsid w:val="00D444EC"/>
    <w:rsid w:val="00D453F9"/>
    <w:rsid w:val="00D461A3"/>
    <w:rsid w:val="00D51B5A"/>
    <w:rsid w:val="00D531A1"/>
    <w:rsid w:val="00D5370D"/>
    <w:rsid w:val="00D53AA1"/>
    <w:rsid w:val="00D5596B"/>
    <w:rsid w:val="00D622E5"/>
    <w:rsid w:val="00D630A0"/>
    <w:rsid w:val="00D64536"/>
    <w:rsid w:val="00D65CBC"/>
    <w:rsid w:val="00D75A86"/>
    <w:rsid w:val="00D7678E"/>
    <w:rsid w:val="00D7791B"/>
    <w:rsid w:val="00D83138"/>
    <w:rsid w:val="00D839E9"/>
    <w:rsid w:val="00D9547A"/>
    <w:rsid w:val="00DA033F"/>
    <w:rsid w:val="00DA0ACE"/>
    <w:rsid w:val="00DA1D49"/>
    <w:rsid w:val="00DA520B"/>
    <w:rsid w:val="00DA6101"/>
    <w:rsid w:val="00DB00E5"/>
    <w:rsid w:val="00DB0765"/>
    <w:rsid w:val="00DB11D9"/>
    <w:rsid w:val="00DB397A"/>
    <w:rsid w:val="00DB3C91"/>
    <w:rsid w:val="00DB44D3"/>
    <w:rsid w:val="00DC205D"/>
    <w:rsid w:val="00DC3589"/>
    <w:rsid w:val="00DC37D7"/>
    <w:rsid w:val="00DC39C4"/>
    <w:rsid w:val="00DC715B"/>
    <w:rsid w:val="00DC72A4"/>
    <w:rsid w:val="00DE4A9F"/>
    <w:rsid w:val="00DE5F00"/>
    <w:rsid w:val="00DE758E"/>
    <w:rsid w:val="00DF2755"/>
    <w:rsid w:val="00DF5F57"/>
    <w:rsid w:val="00DF62B2"/>
    <w:rsid w:val="00E034D4"/>
    <w:rsid w:val="00E03BEB"/>
    <w:rsid w:val="00E14175"/>
    <w:rsid w:val="00E243D8"/>
    <w:rsid w:val="00E25E55"/>
    <w:rsid w:val="00E27475"/>
    <w:rsid w:val="00E420FF"/>
    <w:rsid w:val="00E43225"/>
    <w:rsid w:val="00E46D6B"/>
    <w:rsid w:val="00E518A8"/>
    <w:rsid w:val="00E51DA2"/>
    <w:rsid w:val="00E601E4"/>
    <w:rsid w:val="00E617DA"/>
    <w:rsid w:val="00E627CA"/>
    <w:rsid w:val="00E651E7"/>
    <w:rsid w:val="00E65C71"/>
    <w:rsid w:val="00E672AF"/>
    <w:rsid w:val="00E75357"/>
    <w:rsid w:val="00E82478"/>
    <w:rsid w:val="00E849B7"/>
    <w:rsid w:val="00E861EB"/>
    <w:rsid w:val="00E90795"/>
    <w:rsid w:val="00E95E8B"/>
    <w:rsid w:val="00E96991"/>
    <w:rsid w:val="00E969B0"/>
    <w:rsid w:val="00E97426"/>
    <w:rsid w:val="00EA442B"/>
    <w:rsid w:val="00EA5F3A"/>
    <w:rsid w:val="00EB3665"/>
    <w:rsid w:val="00EB36F7"/>
    <w:rsid w:val="00EB6E77"/>
    <w:rsid w:val="00EC0A64"/>
    <w:rsid w:val="00EC1922"/>
    <w:rsid w:val="00EC3870"/>
    <w:rsid w:val="00EC39E7"/>
    <w:rsid w:val="00EC4DC9"/>
    <w:rsid w:val="00EC5634"/>
    <w:rsid w:val="00EC64D6"/>
    <w:rsid w:val="00EC6FC6"/>
    <w:rsid w:val="00ED1F09"/>
    <w:rsid w:val="00ED404C"/>
    <w:rsid w:val="00ED74D2"/>
    <w:rsid w:val="00ED78A3"/>
    <w:rsid w:val="00EE04AB"/>
    <w:rsid w:val="00EE2B9B"/>
    <w:rsid w:val="00EE67AB"/>
    <w:rsid w:val="00EE770C"/>
    <w:rsid w:val="00EF0FFF"/>
    <w:rsid w:val="00EF2998"/>
    <w:rsid w:val="00EF6CB6"/>
    <w:rsid w:val="00F0060F"/>
    <w:rsid w:val="00F00AC2"/>
    <w:rsid w:val="00F00B54"/>
    <w:rsid w:val="00F03202"/>
    <w:rsid w:val="00F03495"/>
    <w:rsid w:val="00F048E7"/>
    <w:rsid w:val="00F062D4"/>
    <w:rsid w:val="00F1090A"/>
    <w:rsid w:val="00F112D0"/>
    <w:rsid w:val="00F11D7F"/>
    <w:rsid w:val="00F20AB3"/>
    <w:rsid w:val="00F24E15"/>
    <w:rsid w:val="00F347A0"/>
    <w:rsid w:val="00F44724"/>
    <w:rsid w:val="00F44F11"/>
    <w:rsid w:val="00F469C4"/>
    <w:rsid w:val="00F46B47"/>
    <w:rsid w:val="00F51D70"/>
    <w:rsid w:val="00F55984"/>
    <w:rsid w:val="00F5617D"/>
    <w:rsid w:val="00F57D98"/>
    <w:rsid w:val="00F60A1C"/>
    <w:rsid w:val="00F610AF"/>
    <w:rsid w:val="00F61EA2"/>
    <w:rsid w:val="00F62CF4"/>
    <w:rsid w:val="00F62FB7"/>
    <w:rsid w:val="00F63C50"/>
    <w:rsid w:val="00F653B4"/>
    <w:rsid w:val="00F70951"/>
    <w:rsid w:val="00F709B1"/>
    <w:rsid w:val="00F74401"/>
    <w:rsid w:val="00F7440C"/>
    <w:rsid w:val="00F75728"/>
    <w:rsid w:val="00F7657F"/>
    <w:rsid w:val="00F76A0D"/>
    <w:rsid w:val="00F83020"/>
    <w:rsid w:val="00F85904"/>
    <w:rsid w:val="00F90557"/>
    <w:rsid w:val="00F921C4"/>
    <w:rsid w:val="00F93EEA"/>
    <w:rsid w:val="00F94CAC"/>
    <w:rsid w:val="00F958D4"/>
    <w:rsid w:val="00F95E80"/>
    <w:rsid w:val="00F96191"/>
    <w:rsid w:val="00F97623"/>
    <w:rsid w:val="00F976AB"/>
    <w:rsid w:val="00FA16EC"/>
    <w:rsid w:val="00FA29A8"/>
    <w:rsid w:val="00FA31D8"/>
    <w:rsid w:val="00FA6E64"/>
    <w:rsid w:val="00FB1254"/>
    <w:rsid w:val="00FC2756"/>
    <w:rsid w:val="00FC27A8"/>
    <w:rsid w:val="00FC4F0A"/>
    <w:rsid w:val="00FD0824"/>
    <w:rsid w:val="00FD0FFB"/>
    <w:rsid w:val="00FD1817"/>
    <w:rsid w:val="00FD1F72"/>
    <w:rsid w:val="00FD2A34"/>
    <w:rsid w:val="00FD2D99"/>
    <w:rsid w:val="00FD3F02"/>
    <w:rsid w:val="00FD522E"/>
    <w:rsid w:val="00FD6311"/>
    <w:rsid w:val="00FE686B"/>
    <w:rsid w:val="00FF074F"/>
    <w:rsid w:val="00FF0BBE"/>
    <w:rsid w:val="00FF2B48"/>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D5CD35"/>
  <w15:docId w15:val="{2FE3BCD5-B9FD-41BB-9E93-004623F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FB"/>
    <w:rPr>
      <w:rFonts w:ascii="Verdana" w:hAnsi="Verdana"/>
      <w:sz w:val="22"/>
    </w:rPr>
  </w:style>
  <w:style w:type="paragraph" w:styleId="Heading1">
    <w:name w:val="heading 1"/>
    <w:basedOn w:val="Normal"/>
    <w:next w:val="Normal"/>
    <w:link w:val="Heading1Char"/>
    <w:qFormat/>
    <w:rsid w:val="005C70B1"/>
    <w:pPr>
      <w:outlineLvl w:val="0"/>
    </w:pPr>
    <w:rPr>
      <w:b/>
      <w:szCs w:val="22"/>
    </w:rPr>
  </w:style>
  <w:style w:type="paragraph" w:styleId="Heading2">
    <w:name w:val="heading 2"/>
    <w:basedOn w:val="Normal"/>
    <w:next w:val="Normal"/>
    <w:link w:val="Heading2Char"/>
    <w:qFormat/>
    <w:rsid w:val="00FE686B"/>
    <w:pPr>
      <w:outlineLvl w:val="1"/>
    </w:pPr>
    <w:rPr>
      <w:b/>
      <w:i/>
      <w:szCs w:val="22"/>
    </w:rPr>
  </w:style>
  <w:style w:type="paragraph" w:styleId="Heading3">
    <w:name w:val="heading 3"/>
    <w:basedOn w:val="Normal"/>
    <w:next w:val="Normal"/>
    <w:link w:val="Heading3Char"/>
    <w:autoRedefine/>
    <w:qFormat/>
    <w:rsid w:val="00F51D70"/>
    <w:pPr>
      <w:outlineLvl w:val="2"/>
    </w:pPr>
    <w:rPr>
      <w:b/>
      <w:i/>
      <w:szCs w:val="22"/>
    </w:rPr>
  </w:style>
  <w:style w:type="paragraph" w:styleId="Heading4">
    <w:name w:val="heading 4"/>
    <w:basedOn w:val="Normal"/>
    <w:next w:val="Normal"/>
    <w:qFormat/>
    <w:pPr>
      <w:keepNext/>
      <w:numPr>
        <w:numId w:val="1"/>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1C44"/>
    <w:rPr>
      <w:szCs w:val="22"/>
    </w:rPr>
  </w:style>
  <w:style w:type="paragraph" w:customStyle="1" w:styleId="Indent">
    <w:name w:val="Indent"/>
    <w:basedOn w:val="Normal"/>
    <w:pPr>
      <w:ind w:left="720" w:right="360"/>
    </w:pPr>
  </w:style>
  <w:style w:type="paragraph" w:styleId="TOC1">
    <w:name w:val="toc 1"/>
    <w:basedOn w:val="Normal"/>
    <w:next w:val="Normal"/>
    <w:autoRedefine/>
    <w:semiHidden/>
    <w:pPr>
      <w:keepNext/>
      <w:tabs>
        <w:tab w:val="left" w:pos="965"/>
        <w:tab w:val="right" w:leader="dot" w:pos="8640"/>
      </w:tabs>
    </w:pPr>
    <w:rPr>
      <w:b/>
      <w:caps/>
    </w:rPr>
  </w:style>
  <w:style w:type="paragraph" w:styleId="TOC2">
    <w:name w:val="toc 2"/>
    <w:basedOn w:val="Normal"/>
    <w:next w:val="Normal"/>
    <w:autoRedefine/>
    <w:semiHidden/>
    <w:pPr>
      <w:ind w:left="245"/>
    </w:pPr>
    <w:rPr>
      <w:b/>
      <w:noProof/>
      <w:sz w:val="20"/>
    </w:rPr>
  </w:style>
  <w:style w:type="paragraph" w:styleId="Title">
    <w:name w:val="Title"/>
    <w:basedOn w:val="Normal"/>
    <w:qFormat/>
    <w:rsid w:val="00EC5634"/>
    <w:pPr>
      <w:jc w:val="center"/>
    </w:pPr>
    <w:rPr>
      <w:b/>
      <w:bCs/>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szCs w:val="24"/>
    </w:rPr>
  </w:style>
  <w:style w:type="paragraph" w:styleId="BodyText">
    <w:name w:val="Body Text"/>
    <w:basedOn w:val="Normal"/>
    <w:rPr>
      <w:i/>
      <w:iCs/>
    </w:rPr>
  </w:style>
  <w:style w:type="paragraph" w:customStyle="1" w:styleId="Changes">
    <w:name w:val="Changes"/>
    <w:basedOn w:val="Normal"/>
    <w:link w:val="ChangesChar"/>
    <w:pPr>
      <w:tabs>
        <w:tab w:val="left" w:pos="2340"/>
      </w:tabs>
      <w:ind w:left="2340" w:hanging="2412"/>
    </w:pPr>
    <w:rPr>
      <w:rFonts w:ascii="Arial" w:hAnsi="Arial"/>
      <w:szCs w:val="24"/>
    </w:rPr>
  </w:style>
  <w:style w:type="character" w:customStyle="1" w:styleId="ChangesChar">
    <w:name w:val="Changes Char"/>
    <w:basedOn w:val="DefaultParagraphFont"/>
    <w:link w:val="Changes"/>
    <w:rPr>
      <w:rFonts w:ascii="Arial" w:hAnsi="Arial"/>
      <w:sz w:val="24"/>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styleId="Emphasis">
    <w:name w:val="Emphasis"/>
    <w:basedOn w:val="DefaultParagraphFont"/>
    <w:qFormat/>
    <w:rPr>
      <w:i/>
      <w:iCs/>
    </w:rPr>
  </w:style>
  <w:style w:type="character" w:customStyle="1" w:styleId="Heading3Char">
    <w:name w:val="Heading 3 Char"/>
    <w:basedOn w:val="DefaultParagraphFont"/>
    <w:link w:val="Heading3"/>
    <w:rsid w:val="00F51D70"/>
    <w:rPr>
      <w:rFonts w:ascii="Verdana" w:hAnsi="Verdana"/>
      <w:b/>
      <w:i/>
      <w:sz w:val="22"/>
      <w:szCs w:val="22"/>
      <w:lang w:val="en-US" w:eastAsia="en-US" w:bidi="ar-SA"/>
    </w:rPr>
  </w:style>
  <w:style w:type="character" w:customStyle="1" w:styleId="Heading2Char">
    <w:name w:val="Heading 2 Char"/>
    <w:basedOn w:val="DefaultParagraphFont"/>
    <w:link w:val="Heading2"/>
    <w:rsid w:val="00FE686B"/>
    <w:rPr>
      <w:rFonts w:ascii="Verdana" w:hAnsi="Verdana"/>
      <w:b/>
      <w:i/>
      <w:sz w:val="22"/>
      <w:szCs w:val="22"/>
    </w:rPr>
  </w:style>
  <w:style w:type="paragraph" w:customStyle="1" w:styleId="BulletList">
    <w:name w:val="Bullet List"/>
    <w:basedOn w:val="Text"/>
    <w:rsid w:val="00FE686B"/>
    <w:pPr>
      <w:numPr>
        <w:numId w:val="5"/>
      </w:numPr>
    </w:pPr>
  </w:style>
  <w:style w:type="paragraph" w:customStyle="1" w:styleId="BulletList2">
    <w:name w:val="Bullet List 2"/>
    <w:basedOn w:val="ListParagraph"/>
    <w:link w:val="BulletList2Char"/>
    <w:rsid w:val="00FE686B"/>
    <w:pPr>
      <w:numPr>
        <w:ilvl w:val="1"/>
        <w:numId w:val="4"/>
      </w:numPr>
    </w:pPr>
    <w:rPr>
      <w:szCs w:val="22"/>
    </w:rPr>
  </w:style>
  <w:style w:type="paragraph" w:styleId="ListBullet">
    <w:name w:val="List Bullet"/>
    <w:basedOn w:val="Normal"/>
    <w:link w:val="ListBulletChar"/>
    <w:rsid w:val="0000746B"/>
    <w:pPr>
      <w:numPr>
        <w:numId w:val="3"/>
      </w:numPr>
    </w:pPr>
  </w:style>
  <w:style w:type="paragraph" w:customStyle="1" w:styleId="Text-Shaded">
    <w:name w:val="Text-Shaded"/>
    <w:basedOn w:val="Text"/>
    <w:rsid w:val="00263E86"/>
    <w:pPr>
      <w:shd w:val="clear" w:color="auto" w:fill="CCCCCC"/>
    </w:pPr>
  </w:style>
  <w:style w:type="character" w:customStyle="1" w:styleId="ListBulletChar">
    <w:name w:val="List Bullet Char"/>
    <w:basedOn w:val="DefaultParagraphFont"/>
    <w:link w:val="ListBullet"/>
    <w:rsid w:val="00263E86"/>
    <w:rPr>
      <w:rFonts w:ascii="Verdana" w:hAnsi="Verdana"/>
      <w:sz w:val="22"/>
    </w:rPr>
  </w:style>
  <w:style w:type="character" w:customStyle="1" w:styleId="BulletList2Char">
    <w:name w:val="Bullet List 2 Char"/>
    <w:basedOn w:val="ListBulletChar"/>
    <w:link w:val="BulletList2"/>
    <w:rsid w:val="00FE686B"/>
    <w:rPr>
      <w:rFonts w:ascii="Verdana" w:hAnsi="Verdana"/>
      <w:sz w:val="22"/>
      <w:szCs w:val="22"/>
    </w:rPr>
  </w:style>
  <w:style w:type="paragraph" w:customStyle="1" w:styleId="BulletList3">
    <w:name w:val="Bullet List 3"/>
    <w:basedOn w:val="ListBullet"/>
    <w:rsid w:val="004B203D"/>
    <w:pPr>
      <w:numPr>
        <w:ilvl w:val="1"/>
        <w:numId w:val="2"/>
      </w:numPr>
    </w:pPr>
    <w:rPr>
      <w:i/>
      <w:szCs w:val="22"/>
    </w:rPr>
  </w:style>
  <w:style w:type="paragraph" w:styleId="ListParagraph">
    <w:name w:val="List Paragraph"/>
    <w:basedOn w:val="Normal"/>
    <w:uiPriority w:val="34"/>
    <w:qFormat/>
    <w:rsid w:val="006D04EF"/>
    <w:pPr>
      <w:ind w:left="720"/>
      <w:contextualSpacing/>
    </w:pPr>
  </w:style>
  <w:style w:type="character" w:customStyle="1" w:styleId="Heading1Char">
    <w:name w:val="Heading 1 Char"/>
    <w:basedOn w:val="DefaultParagraphFont"/>
    <w:link w:val="Heading1"/>
    <w:rsid w:val="005C70B1"/>
    <w:rPr>
      <w:rFonts w:ascii="Verdana" w:hAnsi="Verdana"/>
      <w:b/>
      <w:sz w:val="22"/>
      <w:szCs w:val="22"/>
    </w:rPr>
  </w:style>
  <w:style w:type="character" w:customStyle="1" w:styleId="TextChar">
    <w:name w:val="Text Char"/>
    <w:basedOn w:val="DefaultParagraphFont"/>
    <w:link w:val="Text"/>
    <w:rsid w:val="00ED404C"/>
    <w:rPr>
      <w:rFonts w:ascii="Verdana" w:hAnsi="Verdana"/>
      <w:sz w:val="22"/>
      <w:szCs w:val="22"/>
    </w:rPr>
  </w:style>
  <w:style w:type="table" w:styleId="TableGrid">
    <w:name w:val="Table Grid"/>
    <w:basedOn w:val="TableNormal"/>
    <w:uiPriority w:val="59"/>
    <w:rsid w:val="0056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4516E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8048">
      <w:bodyDiv w:val="1"/>
      <w:marLeft w:val="0"/>
      <w:marRight w:val="0"/>
      <w:marTop w:val="0"/>
      <w:marBottom w:val="0"/>
      <w:divBdr>
        <w:top w:val="none" w:sz="0" w:space="0" w:color="auto"/>
        <w:left w:val="none" w:sz="0" w:space="0" w:color="auto"/>
        <w:bottom w:val="none" w:sz="0" w:space="0" w:color="auto"/>
        <w:right w:val="none" w:sz="0" w:space="0" w:color="auto"/>
      </w:divBdr>
      <w:divsChild>
        <w:div w:id="404768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4587-AB62-457B-BF0C-FB2656E3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12835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HIGHLIGHTS – TMEP 4th EDITION – APRIL 2005</vt:lpstr>
    </vt:vector>
  </TitlesOfParts>
  <Company>USPTO</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TMEP 4th EDITION – APRIL 2005</dc:title>
  <dc:creator>USPTO</dc:creator>
  <cp:lastModifiedBy>Young, Albert</cp:lastModifiedBy>
  <cp:revision>2</cp:revision>
  <cp:lastPrinted>2011-09-20T11:43:00Z</cp:lastPrinted>
  <dcterms:created xsi:type="dcterms:W3CDTF">2016-10-28T14:39:00Z</dcterms:created>
  <dcterms:modified xsi:type="dcterms:W3CDTF">2016-10-28T14:39:00Z</dcterms:modified>
</cp:coreProperties>
</file>