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5A3B5" w14:textId="77777777" w:rsidR="000A4CF9" w:rsidRDefault="00D330E5" w:rsidP="001C3BFC">
      <w:pPr>
        <w:rPr>
          <w:rFonts w:ascii="Verdana" w:hAnsi="Verdana"/>
          <w:sz w:val="22"/>
          <w:szCs w:val="22"/>
        </w:rPr>
      </w:pPr>
      <w:r w:rsidRPr="0094739A">
        <w:rPr>
          <w:rFonts w:ascii="Verdana" w:hAnsi="Verdana"/>
          <w:noProof/>
          <w:sz w:val="22"/>
          <w:szCs w:val="22"/>
        </w:rPr>
        <mc:AlternateContent>
          <mc:Choice Requires="wps">
            <w:drawing>
              <wp:anchor distT="45720" distB="45720" distL="114300" distR="114300" simplePos="0" relativeHeight="251659264" behindDoc="1" locked="0" layoutInCell="1" allowOverlap="1" wp14:anchorId="5B5EA270" wp14:editId="588A769B">
                <wp:simplePos x="0" y="0"/>
                <wp:positionH relativeFrom="margin">
                  <wp:align>left</wp:align>
                </wp:positionH>
                <wp:positionV relativeFrom="margin">
                  <wp:posOffset>146050</wp:posOffset>
                </wp:positionV>
                <wp:extent cx="5934075" cy="704850"/>
                <wp:effectExtent l="0" t="0" r="28575" b="19050"/>
                <wp:wrapTight wrapText="bothSides">
                  <wp:wrapPolygon edited="0">
                    <wp:start x="0" y="0"/>
                    <wp:lineTo x="0" y="21600"/>
                    <wp:lineTo x="21635" y="21600"/>
                    <wp:lineTo x="2163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704850"/>
                        </a:xfrm>
                        <a:prstGeom prst="rect">
                          <a:avLst/>
                        </a:prstGeom>
                        <a:solidFill>
                          <a:schemeClr val="tx2"/>
                        </a:solidFill>
                        <a:ln w="9525">
                          <a:solidFill>
                            <a:srgbClr val="000000"/>
                          </a:solidFill>
                          <a:miter lim="800000"/>
                          <a:headEnd/>
                          <a:tailEnd/>
                        </a:ln>
                      </wps:spPr>
                      <wps:txbx>
                        <w:txbxContent>
                          <w:p w14:paraId="3F7AFA71" w14:textId="77777777" w:rsidR="0094739A" w:rsidRPr="005A5251" w:rsidRDefault="008412CA" w:rsidP="0094739A">
                            <w:pPr>
                              <w:jc w:val="center"/>
                              <w:rPr>
                                <w:rFonts w:ascii="Verdana" w:hAnsi="Verdana"/>
                                <w:b/>
                                <w:color w:val="FFFFFF" w:themeColor="background1"/>
                                <w:sz w:val="28"/>
                                <w:szCs w:val="22"/>
                              </w:rPr>
                            </w:pPr>
                            <w:r w:rsidRPr="005A5251">
                              <w:rPr>
                                <w:rFonts w:ascii="Verdana" w:hAnsi="Verdana"/>
                                <w:b/>
                                <w:color w:val="FFFFFF" w:themeColor="background1"/>
                                <w:sz w:val="28"/>
                                <w:szCs w:val="22"/>
                              </w:rPr>
                              <w:t>Practice Tip</w:t>
                            </w:r>
                            <w:r w:rsidR="0094739A" w:rsidRPr="005A5251">
                              <w:rPr>
                                <w:rFonts w:ascii="Verdana" w:hAnsi="Verdana"/>
                                <w:b/>
                                <w:color w:val="FFFFFF" w:themeColor="background1"/>
                                <w:sz w:val="28"/>
                                <w:szCs w:val="22"/>
                              </w:rPr>
                              <w:t xml:space="preserve"> </w:t>
                            </w:r>
                          </w:p>
                          <w:p w14:paraId="6BE68981" w14:textId="77777777" w:rsidR="00756349" w:rsidRDefault="00756349" w:rsidP="0094739A">
                            <w:pPr>
                              <w:jc w:val="center"/>
                              <w:rPr>
                                <w:rFonts w:ascii="Verdana" w:hAnsi="Verdana"/>
                                <w:b/>
                                <w:color w:val="FFFFFF" w:themeColor="background1"/>
                                <w:sz w:val="22"/>
                                <w:szCs w:val="22"/>
                              </w:rPr>
                            </w:pPr>
                            <w:r>
                              <w:rPr>
                                <w:rFonts w:ascii="Verdana" w:hAnsi="Verdana"/>
                                <w:b/>
                                <w:color w:val="FFFFFF" w:themeColor="background1"/>
                                <w:sz w:val="22"/>
                                <w:szCs w:val="22"/>
                              </w:rPr>
                              <w:t xml:space="preserve">Section 2(d) &amp; </w:t>
                            </w:r>
                            <w:r w:rsidR="0094739A" w:rsidRPr="0094739A">
                              <w:rPr>
                                <w:rFonts w:ascii="Verdana" w:hAnsi="Verdana"/>
                                <w:b/>
                                <w:color w:val="FFFFFF" w:themeColor="background1"/>
                                <w:sz w:val="22"/>
                                <w:szCs w:val="22"/>
                              </w:rPr>
                              <w:t xml:space="preserve">Foreign Entity </w:t>
                            </w:r>
                            <w:r w:rsidR="008412CA">
                              <w:rPr>
                                <w:rFonts w:ascii="Verdana" w:hAnsi="Verdana"/>
                                <w:b/>
                                <w:color w:val="FFFFFF" w:themeColor="background1"/>
                                <w:sz w:val="22"/>
                                <w:szCs w:val="22"/>
                              </w:rPr>
                              <w:t xml:space="preserve">Designations: </w:t>
                            </w:r>
                          </w:p>
                          <w:p w14:paraId="06360C82" w14:textId="77777777" w:rsidR="0094739A" w:rsidRPr="0094739A" w:rsidRDefault="007F605B" w:rsidP="0094739A">
                            <w:pPr>
                              <w:jc w:val="center"/>
                              <w:rPr>
                                <w:rFonts w:ascii="Verdana" w:hAnsi="Verdana"/>
                                <w:b/>
                                <w:color w:val="FFFFFF" w:themeColor="background1"/>
                                <w:sz w:val="22"/>
                                <w:szCs w:val="22"/>
                              </w:rPr>
                            </w:pPr>
                            <w:r>
                              <w:rPr>
                                <w:rFonts w:ascii="Verdana" w:hAnsi="Verdana"/>
                                <w:b/>
                                <w:color w:val="FFFFFF" w:themeColor="background1"/>
                                <w:sz w:val="22"/>
                                <w:szCs w:val="22"/>
                              </w:rPr>
                              <w:t xml:space="preserve">When Different </w:t>
                            </w:r>
                            <w:r w:rsidR="009D47CA">
                              <w:rPr>
                                <w:rFonts w:ascii="Verdana" w:hAnsi="Verdana"/>
                                <w:b/>
                                <w:color w:val="FFFFFF" w:themeColor="background1"/>
                                <w:sz w:val="22"/>
                                <w:szCs w:val="22"/>
                              </w:rPr>
                              <w:t xml:space="preserve">Entity </w:t>
                            </w:r>
                            <w:r>
                              <w:rPr>
                                <w:rFonts w:ascii="Verdana" w:hAnsi="Verdana"/>
                                <w:b/>
                                <w:color w:val="FFFFFF" w:themeColor="background1"/>
                                <w:sz w:val="22"/>
                                <w:szCs w:val="22"/>
                              </w:rPr>
                              <w:t>Terminology Identifies the</w:t>
                            </w:r>
                            <w:r w:rsidR="008412CA">
                              <w:rPr>
                                <w:rFonts w:ascii="Verdana" w:hAnsi="Verdana"/>
                                <w:b/>
                                <w:color w:val="FFFFFF" w:themeColor="background1"/>
                                <w:sz w:val="22"/>
                                <w:szCs w:val="22"/>
                              </w:rPr>
                              <w:t xml:space="preserve"> Same Owner</w:t>
                            </w:r>
                          </w:p>
                          <w:p w14:paraId="628A8767" w14:textId="77777777" w:rsidR="0094739A" w:rsidRDefault="009473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5EA270" id="_x0000_t202" coordsize="21600,21600" o:spt="202" path="m,l,21600r21600,l21600,xe">
                <v:stroke joinstyle="miter"/>
                <v:path gradientshapeok="t" o:connecttype="rect"/>
              </v:shapetype>
              <v:shape id="Text Box 2" o:spid="_x0000_s1026" type="#_x0000_t202" style="position:absolute;margin-left:0;margin-top:11.5pt;width:467.25pt;height:55.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" fillcolor="#1f497d [3215]">
                <v:textbox>
                  <w:txbxContent>
                    <w:p w14:paraId="3F7AFA71" w14:textId="77777777" w:rsidR="0094739A" w:rsidRPr="005A5251" w:rsidRDefault="008412CA" w:rsidP="0094739A">
                      <w:pPr>
                        <w:jc w:val="center"/>
                        <w:rPr>
                          <w:rFonts w:ascii="Verdana" w:hAnsi="Verdana"/>
                          <w:b/>
                          <w:color w:val="FFFFFF" w:themeColor="background1"/>
                          <w:sz w:val="28"/>
                          <w:szCs w:val="22"/>
                        </w:rPr>
                      </w:pPr>
                      <w:r w:rsidRPr="005A5251">
                        <w:rPr>
                          <w:rFonts w:ascii="Verdana" w:hAnsi="Verdana"/>
                          <w:b/>
                          <w:color w:val="FFFFFF" w:themeColor="background1"/>
                          <w:sz w:val="28"/>
                          <w:szCs w:val="22"/>
                        </w:rPr>
                        <w:t>Practice Tip</w:t>
                      </w:r>
                      <w:r w:rsidR="0094739A" w:rsidRPr="005A5251">
                        <w:rPr>
                          <w:rFonts w:ascii="Verdana" w:hAnsi="Verdana"/>
                          <w:b/>
                          <w:color w:val="FFFFFF" w:themeColor="background1"/>
                          <w:sz w:val="28"/>
                          <w:szCs w:val="22"/>
                        </w:rPr>
                        <w:t xml:space="preserve"> </w:t>
                      </w:r>
                    </w:p>
                    <w:p w14:paraId="6BE68981" w14:textId="77777777" w:rsidR="00756349" w:rsidRDefault="00756349" w:rsidP="0094739A">
                      <w:pPr>
                        <w:jc w:val="center"/>
                        <w:rPr>
                          <w:rFonts w:ascii="Verdana" w:hAnsi="Verdana"/>
                          <w:b/>
                          <w:color w:val="FFFFFF" w:themeColor="background1"/>
                          <w:sz w:val="22"/>
                          <w:szCs w:val="22"/>
                        </w:rPr>
                      </w:pPr>
                      <w:r>
                        <w:rPr>
                          <w:rFonts w:ascii="Verdana" w:hAnsi="Verdana"/>
                          <w:b/>
                          <w:color w:val="FFFFFF" w:themeColor="background1"/>
                          <w:sz w:val="22"/>
                          <w:szCs w:val="22"/>
                        </w:rPr>
                        <w:t xml:space="preserve">Section 2(d) &amp; </w:t>
                      </w:r>
                      <w:r w:rsidR="0094739A" w:rsidRPr="0094739A">
                        <w:rPr>
                          <w:rFonts w:ascii="Verdana" w:hAnsi="Verdana"/>
                          <w:b/>
                          <w:color w:val="FFFFFF" w:themeColor="background1"/>
                          <w:sz w:val="22"/>
                          <w:szCs w:val="22"/>
                        </w:rPr>
                        <w:t xml:space="preserve">Foreign Entity </w:t>
                      </w:r>
                      <w:r w:rsidR="008412CA">
                        <w:rPr>
                          <w:rFonts w:ascii="Verdana" w:hAnsi="Verdana"/>
                          <w:b/>
                          <w:color w:val="FFFFFF" w:themeColor="background1"/>
                          <w:sz w:val="22"/>
                          <w:szCs w:val="22"/>
                        </w:rPr>
                        <w:t xml:space="preserve">Designations: </w:t>
                      </w:r>
                    </w:p>
                    <w:p w14:paraId="06360C82" w14:textId="77777777" w:rsidR="0094739A" w:rsidRPr="0094739A" w:rsidRDefault="007F605B" w:rsidP="0094739A">
                      <w:pPr>
                        <w:jc w:val="center"/>
                        <w:rPr>
                          <w:rFonts w:ascii="Verdana" w:hAnsi="Verdana"/>
                          <w:b/>
                          <w:color w:val="FFFFFF" w:themeColor="background1"/>
                          <w:sz w:val="22"/>
                          <w:szCs w:val="22"/>
                        </w:rPr>
                      </w:pPr>
                      <w:r>
                        <w:rPr>
                          <w:rFonts w:ascii="Verdana" w:hAnsi="Verdana"/>
                          <w:b/>
                          <w:color w:val="FFFFFF" w:themeColor="background1"/>
                          <w:sz w:val="22"/>
                          <w:szCs w:val="22"/>
                        </w:rPr>
                        <w:t xml:space="preserve">When Different </w:t>
                      </w:r>
                      <w:r w:rsidR="009D47CA">
                        <w:rPr>
                          <w:rFonts w:ascii="Verdana" w:hAnsi="Verdana"/>
                          <w:b/>
                          <w:color w:val="FFFFFF" w:themeColor="background1"/>
                          <w:sz w:val="22"/>
                          <w:szCs w:val="22"/>
                        </w:rPr>
                        <w:t xml:space="preserve">Entity </w:t>
                      </w:r>
                      <w:r>
                        <w:rPr>
                          <w:rFonts w:ascii="Verdana" w:hAnsi="Verdana"/>
                          <w:b/>
                          <w:color w:val="FFFFFF" w:themeColor="background1"/>
                          <w:sz w:val="22"/>
                          <w:szCs w:val="22"/>
                        </w:rPr>
                        <w:t>Terminology Identifies the</w:t>
                      </w:r>
                      <w:r w:rsidR="008412CA">
                        <w:rPr>
                          <w:rFonts w:ascii="Verdana" w:hAnsi="Verdana"/>
                          <w:b/>
                          <w:color w:val="FFFFFF" w:themeColor="background1"/>
                          <w:sz w:val="22"/>
                          <w:szCs w:val="22"/>
                        </w:rPr>
                        <w:t xml:space="preserve"> Same Owner</w:t>
                      </w:r>
                    </w:p>
                    <w:p w14:paraId="628A8767" w14:textId="77777777" w:rsidR="0094739A" w:rsidRDefault="0094739A"/>
                  </w:txbxContent>
                </v:textbox>
                <w10:wrap type="tight" anchorx="margin" anchory="margin"/>
              </v:shape>
            </w:pict>
          </mc:Fallback>
        </mc:AlternateContent>
      </w:r>
      <w:r w:rsidR="0094739A">
        <w:rPr>
          <w:rFonts w:ascii="Verdana" w:hAnsi="Verdana"/>
          <w:sz w:val="22"/>
          <w:szCs w:val="22"/>
        </w:rPr>
        <w:t xml:space="preserve">This Practice Tip </w:t>
      </w:r>
      <w:r w:rsidR="001945FA">
        <w:rPr>
          <w:rFonts w:ascii="Verdana" w:hAnsi="Verdana"/>
          <w:sz w:val="22"/>
          <w:szCs w:val="22"/>
        </w:rPr>
        <w:t xml:space="preserve">addresses </w:t>
      </w:r>
      <w:r w:rsidR="00F7266B">
        <w:rPr>
          <w:rFonts w:ascii="Verdana" w:hAnsi="Verdana"/>
          <w:sz w:val="22"/>
          <w:szCs w:val="22"/>
        </w:rPr>
        <w:t>when</w:t>
      </w:r>
      <w:r w:rsidR="0094739A">
        <w:rPr>
          <w:rFonts w:ascii="Verdana" w:hAnsi="Verdana"/>
          <w:sz w:val="22"/>
          <w:szCs w:val="22"/>
        </w:rPr>
        <w:t xml:space="preserve"> </w:t>
      </w:r>
      <w:r w:rsidR="00F14AD2">
        <w:rPr>
          <w:rFonts w:ascii="Verdana" w:hAnsi="Verdana"/>
          <w:sz w:val="22"/>
          <w:szCs w:val="22"/>
        </w:rPr>
        <w:t>an examining attorney</w:t>
      </w:r>
      <w:r w:rsidR="008412CA">
        <w:rPr>
          <w:rFonts w:ascii="Verdana" w:hAnsi="Verdana"/>
          <w:sz w:val="22"/>
          <w:szCs w:val="22"/>
        </w:rPr>
        <w:t xml:space="preserve"> may presume that an applicant owns a conflicting prior registration</w:t>
      </w:r>
      <w:r w:rsidR="00D46D61">
        <w:rPr>
          <w:rFonts w:ascii="Verdana" w:hAnsi="Verdana"/>
          <w:sz w:val="22"/>
          <w:szCs w:val="22"/>
        </w:rPr>
        <w:t xml:space="preserve"> or application</w:t>
      </w:r>
      <w:r w:rsidR="008412CA">
        <w:rPr>
          <w:rFonts w:ascii="Verdana" w:hAnsi="Verdana"/>
          <w:sz w:val="22"/>
          <w:szCs w:val="22"/>
        </w:rPr>
        <w:t>, despite differences in the terminology used to identi</w:t>
      </w:r>
      <w:r w:rsidR="00D46D61">
        <w:rPr>
          <w:rFonts w:ascii="Verdana" w:hAnsi="Verdana"/>
          <w:sz w:val="22"/>
          <w:szCs w:val="22"/>
        </w:rPr>
        <w:t>fy the owner’s entity type in the respective records.</w:t>
      </w:r>
    </w:p>
    <w:p w14:paraId="62CB3CAD" w14:textId="77777777" w:rsidR="000A4CF9" w:rsidRDefault="000A4CF9" w:rsidP="001C3BFC">
      <w:pPr>
        <w:rPr>
          <w:rFonts w:ascii="Verdana" w:hAnsi="Verdana"/>
          <w:sz w:val="22"/>
          <w:szCs w:val="22"/>
        </w:rPr>
      </w:pPr>
    </w:p>
    <w:p w14:paraId="5C3081D9" w14:textId="72F0F0D3" w:rsidR="001C3BFC" w:rsidRDefault="000A4CF9" w:rsidP="001C3BFC">
      <w:pPr>
        <w:rPr>
          <w:rFonts w:ascii="Verdana" w:hAnsi="Verdana"/>
          <w:sz w:val="22"/>
          <w:szCs w:val="22"/>
        </w:rPr>
      </w:pPr>
      <w:r>
        <w:rPr>
          <w:rFonts w:ascii="Verdana" w:hAnsi="Verdana"/>
          <w:sz w:val="22"/>
          <w:szCs w:val="22"/>
        </w:rPr>
        <w:t xml:space="preserve">Please post any comments about this Practice Tip </w:t>
      </w:r>
      <w:hyperlink r:id="rId8" w:history="1">
        <w:r w:rsidRPr="000A4CF9">
          <w:rPr>
            <w:rStyle w:val="Hyperlink"/>
            <w:rFonts w:ascii="Verdana" w:hAnsi="Verdana"/>
            <w:sz w:val="22"/>
            <w:szCs w:val="22"/>
          </w:rPr>
          <w:t>here</w:t>
        </w:r>
      </w:hyperlink>
      <w:bookmarkStart w:id="0" w:name="_GoBack"/>
      <w:bookmarkEnd w:id="0"/>
      <w:r>
        <w:rPr>
          <w:rFonts w:ascii="Verdana" w:hAnsi="Verdana"/>
          <w:sz w:val="22"/>
          <w:szCs w:val="22"/>
        </w:rPr>
        <w:t>.</w:t>
      </w:r>
      <w:r w:rsidR="008412CA">
        <w:rPr>
          <w:rFonts w:ascii="Verdana" w:hAnsi="Verdana"/>
          <w:sz w:val="22"/>
          <w:szCs w:val="22"/>
        </w:rPr>
        <w:t xml:space="preserve"> </w:t>
      </w:r>
      <w:r w:rsidR="00F14AD2">
        <w:rPr>
          <w:rFonts w:ascii="Verdana" w:hAnsi="Verdana"/>
          <w:sz w:val="22"/>
          <w:szCs w:val="22"/>
        </w:rPr>
        <w:t xml:space="preserve">   </w:t>
      </w:r>
      <w:r w:rsidR="0094739A">
        <w:rPr>
          <w:rFonts w:ascii="Verdana" w:hAnsi="Verdana"/>
          <w:sz w:val="22"/>
          <w:szCs w:val="22"/>
        </w:rPr>
        <w:t xml:space="preserve"> </w:t>
      </w:r>
    </w:p>
    <w:p w14:paraId="4BF244F6" w14:textId="77777777" w:rsidR="001C3BFC" w:rsidRDefault="001C3BFC" w:rsidP="001C3BFC">
      <w:pPr>
        <w:rPr>
          <w:rFonts w:ascii="Verdana" w:hAnsi="Verdana"/>
          <w:sz w:val="22"/>
          <w:szCs w:val="22"/>
        </w:rPr>
      </w:pPr>
    </w:p>
    <w:p w14:paraId="284C771F" w14:textId="77777777" w:rsidR="00160028" w:rsidRPr="0094739A" w:rsidRDefault="00160028" w:rsidP="001C3BFC">
      <w:pPr>
        <w:rPr>
          <w:rFonts w:ascii="Verdana" w:hAnsi="Verdana"/>
          <w:b/>
          <w:sz w:val="22"/>
          <w:szCs w:val="22"/>
          <w:lang w:val="en"/>
        </w:rPr>
      </w:pPr>
      <w:r w:rsidRPr="0094739A">
        <w:rPr>
          <w:rFonts w:ascii="Verdana" w:hAnsi="Verdana"/>
          <w:b/>
          <w:sz w:val="22"/>
          <w:szCs w:val="22"/>
          <w:lang w:val="en"/>
        </w:rPr>
        <w:t>Examining Attorney’s Search for Conflicting Marks</w:t>
      </w:r>
    </w:p>
    <w:p w14:paraId="1882AD5E" w14:textId="77777777" w:rsidR="00160028" w:rsidRPr="00160028" w:rsidRDefault="00160028" w:rsidP="001C3BFC">
      <w:pPr>
        <w:rPr>
          <w:rFonts w:ascii="Verdana" w:hAnsi="Verdana"/>
          <w:i/>
          <w:sz w:val="22"/>
          <w:szCs w:val="22"/>
          <w:lang w:val="en"/>
        </w:rPr>
      </w:pPr>
    </w:p>
    <w:p w14:paraId="68419F1A" w14:textId="77777777" w:rsidR="004A520C" w:rsidRPr="00086DF0" w:rsidRDefault="00D94696" w:rsidP="001C3BFC">
      <w:pPr>
        <w:rPr>
          <w:rFonts w:ascii="Verdana" w:hAnsi="Verdana"/>
          <w:sz w:val="22"/>
          <w:szCs w:val="22"/>
          <w:lang w:val="en"/>
        </w:rPr>
      </w:pPr>
      <w:r>
        <w:rPr>
          <w:rFonts w:ascii="Verdana" w:hAnsi="Verdana"/>
          <w:sz w:val="22"/>
          <w:szCs w:val="22"/>
          <w:lang w:val="en"/>
        </w:rPr>
        <w:t>When examining a</w:t>
      </w:r>
      <w:r w:rsidR="004A520C">
        <w:rPr>
          <w:rFonts w:ascii="Verdana" w:hAnsi="Verdana"/>
          <w:sz w:val="22"/>
          <w:szCs w:val="22"/>
          <w:lang w:val="en"/>
        </w:rPr>
        <w:t xml:space="preserve"> trademark application, the examining attorney </w:t>
      </w:r>
      <w:r w:rsidR="00AC61EB">
        <w:rPr>
          <w:rFonts w:ascii="Verdana" w:hAnsi="Verdana"/>
          <w:sz w:val="22"/>
          <w:szCs w:val="22"/>
          <w:lang w:val="en"/>
        </w:rPr>
        <w:t>will search</w:t>
      </w:r>
      <w:r w:rsidR="004A520C">
        <w:rPr>
          <w:rFonts w:ascii="Verdana" w:hAnsi="Verdana"/>
          <w:sz w:val="22"/>
          <w:szCs w:val="22"/>
          <w:lang w:val="en"/>
        </w:rPr>
        <w:t xml:space="preserve"> </w:t>
      </w:r>
      <w:r w:rsidR="004B02AB">
        <w:rPr>
          <w:rFonts w:ascii="Verdana" w:hAnsi="Verdana"/>
          <w:sz w:val="22"/>
          <w:szCs w:val="22"/>
          <w:lang w:val="en"/>
        </w:rPr>
        <w:t xml:space="preserve">the </w:t>
      </w:r>
      <w:r w:rsidR="004A520C">
        <w:rPr>
          <w:rFonts w:ascii="Verdana" w:hAnsi="Verdana"/>
          <w:sz w:val="22"/>
          <w:szCs w:val="22"/>
          <w:lang w:val="en"/>
        </w:rPr>
        <w:t xml:space="preserve">USPTO records for conflicting </w:t>
      </w:r>
      <w:r w:rsidR="00756349">
        <w:rPr>
          <w:rFonts w:ascii="Verdana" w:hAnsi="Verdana"/>
          <w:sz w:val="22"/>
          <w:szCs w:val="22"/>
          <w:lang w:val="en"/>
        </w:rPr>
        <w:t>marks in prior registrations and applications</w:t>
      </w:r>
      <w:r w:rsidR="004A520C">
        <w:rPr>
          <w:rFonts w:ascii="Verdana" w:hAnsi="Verdana"/>
          <w:sz w:val="22"/>
          <w:szCs w:val="22"/>
          <w:lang w:val="en"/>
        </w:rPr>
        <w:t xml:space="preserve">. </w:t>
      </w:r>
      <w:r w:rsidR="004A520C">
        <w:rPr>
          <w:rFonts w:ascii="Verdana" w:hAnsi="Verdana"/>
          <w:i/>
          <w:sz w:val="22"/>
          <w:szCs w:val="22"/>
          <w:lang w:val="en"/>
        </w:rPr>
        <w:t xml:space="preserve">See </w:t>
      </w:r>
      <w:r w:rsidR="004A520C" w:rsidRPr="004A520C">
        <w:rPr>
          <w:rFonts w:ascii="Verdana" w:hAnsi="Verdana"/>
          <w:i/>
          <w:sz w:val="22"/>
          <w:szCs w:val="22"/>
          <w:lang w:val="en"/>
        </w:rPr>
        <w:t>Trademark Manual of Examining Procedure</w:t>
      </w:r>
      <w:r w:rsidR="004A520C">
        <w:rPr>
          <w:rFonts w:ascii="Verdana" w:hAnsi="Verdana"/>
          <w:sz w:val="22"/>
          <w:szCs w:val="22"/>
          <w:lang w:val="en"/>
        </w:rPr>
        <w:t xml:space="preserve"> (TMEP) §704.01. </w:t>
      </w:r>
      <w:r w:rsidR="0075792E">
        <w:rPr>
          <w:rFonts w:ascii="Verdana" w:hAnsi="Verdana"/>
          <w:sz w:val="22"/>
          <w:szCs w:val="22"/>
          <w:lang w:val="en"/>
        </w:rPr>
        <w:t xml:space="preserve">If the </w:t>
      </w:r>
      <w:r w:rsidR="006162F0">
        <w:rPr>
          <w:rFonts w:ascii="Verdana" w:hAnsi="Verdana"/>
          <w:sz w:val="22"/>
          <w:szCs w:val="22"/>
          <w:lang w:val="en"/>
        </w:rPr>
        <w:t>examining attorney</w:t>
      </w:r>
      <w:r w:rsidR="0075792E">
        <w:rPr>
          <w:rFonts w:ascii="Verdana" w:hAnsi="Verdana"/>
          <w:sz w:val="22"/>
          <w:szCs w:val="22"/>
          <w:lang w:val="en"/>
        </w:rPr>
        <w:t xml:space="preserve"> </w:t>
      </w:r>
      <w:r w:rsidR="00E329E8">
        <w:rPr>
          <w:rFonts w:ascii="Verdana" w:hAnsi="Verdana"/>
          <w:sz w:val="22"/>
          <w:szCs w:val="22"/>
          <w:lang w:val="en"/>
        </w:rPr>
        <w:t>finds</w:t>
      </w:r>
      <w:r w:rsidR="0075792E">
        <w:rPr>
          <w:rFonts w:ascii="Verdana" w:hAnsi="Verdana"/>
          <w:sz w:val="22"/>
          <w:szCs w:val="22"/>
          <w:lang w:val="en"/>
        </w:rPr>
        <w:t xml:space="preserve"> a conflicting</w:t>
      </w:r>
      <w:r w:rsidR="00992431">
        <w:rPr>
          <w:rFonts w:ascii="Verdana" w:hAnsi="Verdana"/>
          <w:sz w:val="22"/>
          <w:szCs w:val="22"/>
          <w:lang w:val="en"/>
        </w:rPr>
        <w:t xml:space="preserve"> </w:t>
      </w:r>
      <w:r w:rsidR="00B143BC">
        <w:rPr>
          <w:rFonts w:ascii="Verdana" w:hAnsi="Verdana"/>
          <w:sz w:val="22"/>
          <w:szCs w:val="22"/>
          <w:lang w:val="en"/>
        </w:rPr>
        <w:t>registration</w:t>
      </w:r>
      <w:r w:rsidR="0075792E">
        <w:rPr>
          <w:rFonts w:ascii="Verdana" w:hAnsi="Verdana"/>
          <w:sz w:val="22"/>
          <w:szCs w:val="22"/>
          <w:lang w:val="en"/>
        </w:rPr>
        <w:t xml:space="preserve">, </w:t>
      </w:r>
      <w:r w:rsidR="006162F0">
        <w:rPr>
          <w:rFonts w:ascii="Verdana" w:hAnsi="Verdana"/>
          <w:sz w:val="22"/>
          <w:szCs w:val="22"/>
          <w:lang w:val="en"/>
        </w:rPr>
        <w:t>it</w:t>
      </w:r>
      <w:r w:rsidR="0075792E">
        <w:rPr>
          <w:rFonts w:ascii="Verdana" w:hAnsi="Verdana"/>
          <w:sz w:val="22"/>
          <w:szCs w:val="22"/>
          <w:lang w:val="en"/>
        </w:rPr>
        <w:t xml:space="preserve"> must </w:t>
      </w:r>
      <w:r w:rsidR="006162F0">
        <w:rPr>
          <w:rFonts w:ascii="Verdana" w:hAnsi="Verdana"/>
          <w:sz w:val="22"/>
          <w:szCs w:val="22"/>
          <w:lang w:val="en"/>
        </w:rPr>
        <w:t xml:space="preserve">be </w:t>
      </w:r>
      <w:r w:rsidR="0075792E">
        <w:rPr>
          <w:rFonts w:ascii="Verdana" w:hAnsi="Verdana"/>
          <w:sz w:val="22"/>
          <w:szCs w:val="22"/>
          <w:lang w:val="en"/>
        </w:rPr>
        <w:t>cite</w:t>
      </w:r>
      <w:r w:rsidR="006162F0">
        <w:rPr>
          <w:rFonts w:ascii="Verdana" w:hAnsi="Verdana"/>
          <w:sz w:val="22"/>
          <w:szCs w:val="22"/>
          <w:lang w:val="en"/>
        </w:rPr>
        <w:t>d</w:t>
      </w:r>
      <w:r w:rsidR="0075792E">
        <w:rPr>
          <w:rFonts w:ascii="Verdana" w:hAnsi="Verdana"/>
          <w:sz w:val="22"/>
          <w:szCs w:val="22"/>
          <w:lang w:val="en"/>
        </w:rPr>
        <w:t xml:space="preserve"> </w:t>
      </w:r>
      <w:r w:rsidR="000D7155" w:rsidRPr="001A4334">
        <w:rPr>
          <w:rFonts w:ascii="Verdana" w:hAnsi="Verdana"/>
          <w:sz w:val="22"/>
          <w:szCs w:val="22"/>
          <w:lang w:val="en"/>
        </w:rPr>
        <w:t xml:space="preserve">against the </w:t>
      </w:r>
      <w:r w:rsidR="000D7155">
        <w:rPr>
          <w:rFonts w:ascii="Verdana" w:hAnsi="Verdana"/>
          <w:sz w:val="22"/>
          <w:szCs w:val="22"/>
          <w:lang w:val="en"/>
        </w:rPr>
        <w:t>applied-for mark</w:t>
      </w:r>
      <w:r w:rsidR="000D7155" w:rsidRPr="001A4334">
        <w:rPr>
          <w:rFonts w:ascii="Verdana" w:hAnsi="Verdana"/>
          <w:sz w:val="22"/>
          <w:szCs w:val="22"/>
          <w:lang w:val="en"/>
        </w:rPr>
        <w:t xml:space="preserve"> under </w:t>
      </w:r>
      <w:r w:rsidR="000D7155">
        <w:rPr>
          <w:rFonts w:ascii="Verdana" w:hAnsi="Verdana"/>
          <w:sz w:val="22"/>
          <w:szCs w:val="22"/>
          <w:lang w:val="en"/>
        </w:rPr>
        <w:t>Trademark Act §2(d)</w:t>
      </w:r>
      <w:r w:rsidR="00992431">
        <w:rPr>
          <w:rFonts w:ascii="Verdana" w:hAnsi="Verdana"/>
          <w:sz w:val="22"/>
          <w:szCs w:val="22"/>
          <w:lang w:val="en"/>
        </w:rPr>
        <w:t>,</w:t>
      </w:r>
      <w:r w:rsidR="000D7155" w:rsidRPr="000D7155">
        <w:rPr>
          <w:rFonts w:ascii="Verdana" w:hAnsi="Verdana"/>
          <w:sz w:val="22"/>
          <w:szCs w:val="22"/>
          <w:lang w:val="en"/>
        </w:rPr>
        <w:t xml:space="preserve"> </w:t>
      </w:r>
      <w:r w:rsidR="000D7155">
        <w:rPr>
          <w:rFonts w:ascii="Verdana" w:hAnsi="Verdana"/>
          <w:sz w:val="22"/>
          <w:szCs w:val="22"/>
          <w:lang w:val="en"/>
        </w:rPr>
        <w:t>15 U.S.C. §1052(d), unless</w:t>
      </w:r>
      <w:r w:rsidR="00992431">
        <w:rPr>
          <w:rFonts w:ascii="Verdana" w:hAnsi="Verdana"/>
          <w:sz w:val="22"/>
          <w:szCs w:val="22"/>
          <w:lang w:val="en"/>
        </w:rPr>
        <w:t xml:space="preserve"> the</w:t>
      </w:r>
      <w:r w:rsidR="001A4334" w:rsidRPr="001A4334">
        <w:rPr>
          <w:rFonts w:ascii="Verdana" w:hAnsi="Verdana"/>
          <w:sz w:val="22"/>
          <w:szCs w:val="22"/>
          <w:lang w:val="en"/>
        </w:rPr>
        <w:t xml:space="preserve"> applicant assert</w:t>
      </w:r>
      <w:r w:rsidR="000D7155">
        <w:rPr>
          <w:rFonts w:ascii="Verdana" w:hAnsi="Verdana"/>
          <w:sz w:val="22"/>
          <w:szCs w:val="22"/>
          <w:lang w:val="en"/>
        </w:rPr>
        <w:t>s</w:t>
      </w:r>
      <w:r w:rsidR="001A4334" w:rsidRPr="001A4334">
        <w:rPr>
          <w:rFonts w:ascii="Verdana" w:hAnsi="Verdana"/>
          <w:sz w:val="22"/>
          <w:szCs w:val="22"/>
          <w:lang w:val="en"/>
        </w:rPr>
        <w:t xml:space="preserve"> ownership of </w:t>
      </w:r>
      <w:r w:rsidR="00992431">
        <w:rPr>
          <w:rFonts w:ascii="Verdana" w:hAnsi="Verdana"/>
          <w:sz w:val="22"/>
          <w:szCs w:val="22"/>
          <w:lang w:val="en"/>
        </w:rPr>
        <w:t>it</w:t>
      </w:r>
      <w:r w:rsidR="000D7155">
        <w:rPr>
          <w:rFonts w:ascii="Verdana" w:hAnsi="Verdana"/>
          <w:sz w:val="22"/>
          <w:szCs w:val="22"/>
          <w:lang w:val="en"/>
        </w:rPr>
        <w:t xml:space="preserve"> or</w:t>
      </w:r>
      <w:r w:rsidR="00160028">
        <w:rPr>
          <w:rFonts w:ascii="Verdana" w:hAnsi="Verdana"/>
          <w:sz w:val="22"/>
          <w:szCs w:val="22"/>
          <w:lang w:val="en"/>
        </w:rPr>
        <w:t xml:space="preserve"> USPTO</w:t>
      </w:r>
      <w:r w:rsidR="001A4334" w:rsidRPr="001A4334">
        <w:rPr>
          <w:rFonts w:ascii="Verdana" w:hAnsi="Verdana"/>
          <w:sz w:val="22"/>
          <w:szCs w:val="22"/>
          <w:lang w:val="en"/>
        </w:rPr>
        <w:t xml:space="preserve"> records </w:t>
      </w:r>
      <w:r w:rsidR="00992431">
        <w:rPr>
          <w:rFonts w:ascii="Verdana" w:hAnsi="Verdana"/>
          <w:sz w:val="22"/>
          <w:szCs w:val="22"/>
          <w:lang w:val="en"/>
        </w:rPr>
        <w:t xml:space="preserve">otherwise </w:t>
      </w:r>
      <w:r w:rsidR="001A4334" w:rsidRPr="001A4334">
        <w:rPr>
          <w:rFonts w:ascii="Verdana" w:hAnsi="Verdana"/>
          <w:sz w:val="22"/>
          <w:szCs w:val="22"/>
          <w:lang w:val="en"/>
        </w:rPr>
        <w:t>indicate tha</w:t>
      </w:r>
      <w:r w:rsidR="000D7155">
        <w:rPr>
          <w:rFonts w:ascii="Verdana" w:hAnsi="Verdana"/>
          <w:sz w:val="22"/>
          <w:szCs w:val="22"/>
          <w:lang w:val="en"/>
        </w:rPr>
        <w:t>t it is owned by the applicant</w:t>
      </w:r>
      <w:r w:rsidR="004A520C">
        <w:rPr>
          <w:rFonts w:ascii="Verdana" w:hAnsi="Verdana"/>
          <w:sz w:val="22"/>
          <w:szCs w:val="22"/>
          <w:lang w:val="en"/>
        </w:rPr>
        <w:t xml:space="preserve">. </w:t>
      </w:r>
      <w:r w:rsidR="001A4334">
        <w:rPr>
          <w:rFonts w:ascii="Verdana" w:hAnsi="Verdana"/>
          <w:sz w:val="22"/>
          <w:szCs w:val="22"/>
          <w:lang w:val="en"/>
        </w:rPr>
        <w:t>TMEP §81</w:t>
      </w:r>
      <w:r w:rsidR="004A520C">
        <w:rPr>
          <w:rFonts w:ascii="Verdana" w:hAnsi="Verdana"/>
          <w:sz w:val="22"/>
          <w:szCs w:val="22"/>
          <w:lang w:val="en"/>
        </w:rPr>
        <w:t>2</w:t>
      </w:r>
      <w:r w:rsidR="001A4334">
        <w:rPr>
          <w:rFonts w:ascii="Verdana" w:hAnsi="Verdana"/>
          <w:sz w:val="22"/>
          <w:szCs w:val="22"/>
          <w:lang w:val="en"/>
        </w:rPr>
        <w:t>.01</w:t>
      </w:r>
      <w:r w:rsidR="003008F7">
        <w:rPr>
          <w:rFonts w:ascii="Verdana" w:hAnsi="Verdana"/>
          <w:sz w:val="22"/>
          <w:szCs w:val="22"/>
          <w:lang w:val="en"/>
        </w:rPr>
        <w:t xml:space="preserve">. </w:t>
      </w:r>
      <w:r w:rsidR="00086DF0">
        <w:rPr>
          <w:rFonts w:ascii="Verdana" w:hAnsi="Verdana"/>
          <w:sz w:val="22"/>
          <w:szCs w:val="22"/>
          <w:lang w:val="en"/>
        </w:rPr>
        <w:t>Likewise, a</w:t>
      </w:r>
      <w:r w:rsidR="003008F7">
        <w:rPr>
          <w:rFonts w:ascii="Verdana" w:hAnsi="Verdana"/>
          <w:sz w:val="22"/>
          <w:szCs w:val="22"/>
          <w:lang w:val="en"/>
        </w:rPr>
        <w:t xml:space="preserve">ny </w:t>
      </w:r>
      <w:r w:rsidR="003008F7" w:rsidRPr="003008F7">
        <w:rPr>
          <w:rFonts w:ascii="Verdana" w:hAnsi="Verdana"/>
          <w:sz w:val="22"/>
          <w:szCs w:val="22"/>
          <w:lang w:val="en"/>
        </w:rPr>
        <w:t xml:space="preserve">pending conflicting applications </w:t>
      </w:r>
      <w:r w:rsidR="003008F7">
        <w:rPr>
          <w:rFonts w:ascii="Verdana" w:hAnsi="Verdana"/>
          <w:sz w:val="22"/>
          <w:szCs w:val="22"/>
          <w:lang w:val="en"/>
        </w:rPr>
        <w:t>will also be</w:t>
      </w:r>
      <w:r w:rsidR="003008F7" w:rsidRPr="003008F7">
        <w:rPr>
          <w:rFonts w:ascii="Verdana" w:hAnsi="Verdana"/>
          <w:sz w:val="22"/>
          <w:szCs w:val="22"/>
          <w:lang w:val="en"/>
        </w:rPr>
        <w:t xml:space="preserve"> cited as a potential bar to registration.</w:t>
      </w:r>
      <w:r w:rsidR="001F7068">
        <w:rPr>
          <w:rFonts w:ascii="Verdana" w:hAnsi="Verdana"/>
          <w:sz w:val="22"/>
          <w:szCs w:val="22"/>
          <w:lang w:val="en"/>
        </w:rPr>
        <w:t xml:space="preserve"> </w:t>
      </w:r>
      <w:r w:rsidR="001F7068">
        <w:rPr>
          <w:rFonts w:ascii="Verdana" w:hAnsi="Verdana"/>
          <w:i/>
          <w:sz w:val="22"/>
          <w:szCs w:val="22"/>
          <w:lang w:val="en"/>
        </w:rPr>
        <w:t>See id.</w:t>
      </w:r>
    </w:p>
    <w:p w14:paraId="38818BE0" w14:textId="77777777" w:rsidR="004A520C" w:rsidRDefault="004A520C" w:rsidP="001C3BFC">
      <w:pPr>
        <w:rPr>
          <w:rFonts w:ascii="Verdana" w:hAnsi="Verdana"/>
          <w:sz w:val="22"/>
          <w:szCs w:val="22"/>
          <w:lang w:val="en"/>
        </w:rPr>
      </w:pPr>
    </w:p>
    <w:p w14:paraId="5CDFEBA3" w14:textId="77777777" w:rsidR="00160028" w:rsidRPr="0094739A" w:rsidRDefault="00160028" w:rsidP="001C3BFC">
      <w:pPr>
        <w:rPr>
          <w:rFonts w:ascii="Verdana" w:hAnsi="Verdana"/>
          <w:b/>
          <w:sz w:val="22"/>
          <w:szCs w:val="22"/>
          <w:lang w:val="en"/>
        </w:rPr>
      </w:pPr>
      <w:r w:rsidRPr="0094739A">
        <w:rPr>
          <w:rFonts w:ascii="Verdana" w:hAnsi="Verdana"/>
          <w:b/>
          <w:sz w:val="22"/>
          <w:szCs w:val="22"/>
          <w:lang w:val="en"/>
        </w:rPr>
        <w:t>Determining Ownership</w:t>
      </w:r>
    </w:p>
    <w:p w14:paraId="155FAF33" w14:textId="77777777" w:rsidR="00160028" w:rsidRPr="00160028" w:rsidRDefault="00160028" w:rsidP="001C3BFC">
      <w:pPr>
        <w:rPr>
          <w:rFonts w:ascii="Verdana" w:hAnsi="Verdana"/>
          <w:i/>
          <w:sz w:val="22"/>
          <w:szCs w:val="22"/>
          <w:lang w:val="en"/>
        </w:rPr>
      </w:pPr>
    </w:p>
    <w:p w14:paraId="12D0E8FC" w14:textId="50004FA2" w:rsidR="00361386" w:rsidRDefault="00CE7D71" w:rsidP="00361386">
      <w:pPr>
        <w:rPr>
          <w:rFonts w:ascii="Verdana" w:hAnsi="Verdana"/>
          <w:sz w:val="22"/>
          <w:szCs w:val="22"/>
          <w:lang w:val="en"/>
        </w:rPr>
      </w:pPr>
      <w:r>
        <w:rPr>
          <w:rFonts w:ascii="Verdana" w:hAnsi="Verdana"/>
          <w:sz w:val="22"/>
          <w:szCs w:val="22"/>
          <w:lang w:val="en"/>
        </w:rPr>
        <w:t>T</w:t>
      </w:r>
      <w:r w:rsidR="00765978">
        <w:rPr>
          <w:rFonts w:ascii="Verdana" w:hAnsi="Verdana"/>
          <w:sz w:val="22"/>
          <w:szCs w:val="22"/>
          <w:lang w:val="en"/>
        </w:rPr>
        <w:t>he examining attorney</w:t>
      </w:r>
      <w:r w:rsidR="00811125">
        <w:rPr>
          <w:rFonts w:ascii="Verdana" w:hAnsi="Verdana"/>
          <w:sz w:val="22"/>
          <w:szCs w:val="22"/>
          <w:lang w:val="en"/>
        </w:rPr>
        <w:t xml:space="preserve"> will</w:t>
      </w:r>
      <w:r w:rsidR="00765978">
        <w:rPr>
          <w:rFonts w:ascii="Verdana" w:hAnsi="Verdana"/>
          <w:sz w:val="22"/>
          <w:szCs w:val="22"/>
          <w:lang w:val="en"/>
        </w:rPr>
        <w:t xml:space="preserve"> </w:t>
      </w:r>
      <w:r>
        <w:rPr>
          <w:rFonts w:ascii="Verdana" w:hAnsi="Verdana"/>
          <w:sz w:val="22"/>
          <w:szCs w:val="22"/>
          <w:lang w:val="en"/>
        </w:rPr>
        <w:t xml:space="preserve">compare the </w:t>
      </w:r>
      <w:r w:rsidR="006F2236">
        <w:rPr>
          <w:rFonts w:ascii="Verdana" w:hAnsi="Verdana"/>
          <w:sz w:val="22"/>
          <w:szCs w:val="22"/>
          <w:lang w:val="en"/>
        </w:rPr>
        <w:t>applicant’s</w:t>
      </w:r>
      <w:r w:rsidR="006162F0">
        <w:rPr>
          <w:rFonts w:ascii="Verdana" w:hAnsi="Verdana"/>
          <w:sz w:val="22"/>
          <w:szCs w:val="22"/>
          <w:lang w:val="en"/>
        </w:rPr>
        <w:t xml:space="preserve"> owner </w:t>
      </w:r>
      <w:r w:rsidR="006F2236">
        <w:rPr>
          <w:rFonts w:ascii="Verdana" w:hAnsi="Verdana"/>
          <w:sz w:val="22"/>
          <w:szCs w:val="22"/>
          <w:lang w:val="en"/>
        </w:rPr>
        <w:t>name and the entity information</w:t>
      </w:r>
      <w:r w:rsidR="004A2EB8">
        <w:rPr>
          <w:rFonts w:ascii="Verdana" w:hAnsi="Verdana"/>
          <w:sz w:val="22"/>
          <w:szCs w:val="22"/>
          <w:lang w:val="en"/>
        </w:rPr>
        <w:t xml:space="preserve"> </w:t>
      </w:r>
      <w:r w:rsidR="006162F0">
        <w:rPr>
          <w:rFonts w:ascii="Verdana" w:hAnsi="Verdana"/>
          <w:sz w:val="22"/>
          <w:szCs w:val="22"/>
          <w:lang w:val="en"/>
        </w:rPr>
        <w:t xml:space="preserve">to </w:t>
      </w:r>
      <w:r w:rsidR="006F2236">
        <w:rPr>
          <w:rFonts w:ascii="Verdana" w:hAnsi="Verdana"/>
          <w:sz w:val="22"/>
          <w:szCs w:val="22"/>
          <w:lang w:val="en"/>
        </w:rPr>
        <w:t>the corresponding</w:t>
      </w:r>
      <w:r w:rsidR="006162F0">
        <w:rPr>
          <w:rFonts w:ascii="Verdana" w:hAnsi="Verdana"/>
          <w:sz w:val="22"/>
          <w:szCs w:val="22"/>
          <w:lang w:val="en"/>
        </w:rPr>
        <w:t xml:space="preserve"> information</w:t>
      </w:r>
      <w:r>
        <w:rPr>
          <w:rFonts w:ascii="Verdana" w:hAnsi="Verdana"/>
          <w:sz w:val="22"/>
          <w:szCs w:val="22"/>
          <w:lang w:val="en"/>
        </w:rPr>
        <w:t xml:space="preserve"> in the conflicting</w:t>
      </w:r>
      <w:r w:rsidR="00F6484B">
        <w:rPr>
          <w:rFonts w:ascii="Verdana" w:hAnsi="Verdana"/>
          <w:sz w:val="22"/>
          <w:szCs w:val="22"/>
          <w:lang w:val="en"/>
        </w:rPr>
        <w:t xml:space="preserve"> prior</w:t>
      </w:r>
      <w:r>
        <w:rPr>
          <w:rFonts w:ascii="Verdana" w:hAnsi="Verdana"/>
          <w:sz w:val="22"/>
          <w:szCs w:val="22"/>
          <w:lang w:val="en"/>
        </w:rPr>
        <w:t xml:space="preserve"> registration</w:t>
      </w:r>
      <w:r w:rsidR="00756349">
        <w:rPr>
          <w:rFonts w:ascii="Verdana" w:hAnsi="Verdana"/>
          <w:sz w:val="22"/>
          <w:szCs w:val="22"/>
          <w:lang w:val="en"/>
        </w:rPr>
        <w:t xml:space="preserve"> or application</w:t>
      </w:r>
      <w:r>
        <w:rPr>
          <w:rFonts w:ascii="Verdana" w:hAnsi="Verdana"/>
          <w:sz w:val="22"/>
          <w:szCs w:val="22"/>
          <w:lang w:val="en"/>
        </w:rPr>
        <w:t xml:space="preserve"> to determine if the owner</w:t>
      </w:r>
      <w:r w:rsidR="00BF1C3C">
        <w:rPr>
          <w:rFonts w:ascii="Verdana" w:hAnsi="Verdana"/>
          <w:sz w:val="22"/>
          <w:szCs w:val="22"/>
          <w:lang w:val="en"/>
        </w:rPr>
        <w:t xml:space="preserve"> </w:t>
      </w:r>
      <w:r>
        <w:rPr>
          <w:rFonts w:ascii="Verdana" w:hAnsi="Verdana"/>
          <w:sz w:val="22"/>
          <w:szCs w:val="22"/>
          <w:lang w:val="en"/>
        </w:rPr>
        <w:t xml:space="preserve">is the same. </w:t>
      </w:r>
      <w:r w:rsidR="00E60FFF">
        <w:rPr>
          <w:rFonts w:ascii="Verdana" w:hAnsi="Verdana"/>
          <w:sz w:val="22"/>
          <w:szCs w:val="22"/>
          <w:lang w:val="en"/>
        </w:rPr>
        <w:t>Generally, i</w:t>
      </w:r>
      <w:r w:rsidR="00811125">
        <w:rPr>
          <w:rFonts w:ascii="Verdana" w:hAnsi="Verdana"/>
          <w:sz w:val="22"/>
          <w:szCs w:val="22"/>
          <w:lang w:val="en"/>
        </w:rPr>
        <w:t xml:space="preserve">f the </w:t>
      </w:r>
      <w:r w:rsidR="002109C0">
        <w:rPr>
          <w:rFonts w:ascii="Verdana" w:hAnsi="Verdana"/>
          <w:sz w:val="22"/>
          <w:szCs w:val="22"/>
          <w:lang w:val="en"/>
        </w:rPr>
        <w:t xml:space="preserve">owner’s </w:t>
      </w:r>
      <w:r w:rsidR="00F6484B">
        <w:rPr>
          <w:rFonts w:ascii="Verdana" w:hAnsi="Verdana"/>
          <w:sz w:val="22"/>
          <w:szCs w:val="22"/>
          <w:lang w:val="en"/>
        </w:rPr>
        <w:t>designated</w:t>
      </w:r>
      <w:r w:rsidR="000816A1">
        <w:rPr>
          <w:rFonts w:ascii="Verdana" w:hAnsi="Verdana"/>
          <w:sz w:val="22"/>
          <w:szCs w:val="22"/>
          <w:lang w:val="en"/>
        </w:rPr>
        <w:t xml:space="preserve"> </w:t>
      </w:r>
      <w:r w:rsidR="00992431">
        <w:rPr>
          <w:rFonts w:ascii="Verdana" w:hAnsi="Verdana"/>
          <w:sz w:val="22"/>
          <w:szCs w:val="22"/>
          <w:lang w:val="en"/>
        </w:rPr>
        <w:t xml:space="preserve">entity </w:t>
      </w:r>
      <w:r w:rsidR="00E46575">
        <w:rPr>
          <w:rFonts w:ascii="Verdana" w:hAnsi="Verdana"/>
          <w:sz w:val="22"/>
          <w:szCs w:val="22"/>
          <w:lang w:val="en"/>
        </w:rPr>
        <w:t xml:space="preserve">type </w:t>
      </w:r>
      <w:r w:rsidR="00756349">
        <w:rPr>
          <w:rFonts w:ascii="Verdana" w:hAnsi="Verdana"/>
          <w:sz w:val="22"/>
          <w:szCs w:val="22"/>
          <w:lang w:val="en"/>
        </w:rPr>
        <w:t>in the respective records differs</w:t>
      </w:r>
      <w:r w:rsidR="00811125">
        <w:rPr>
          <w:rFonts w:ascii="Verdana" w:hAnsi="Verdana"/>
          <w:sz w:val="22"/>
          <w:szCs w:val="22"/>
          <w:lang w:val="en"/>
        </w:rPr>
        <w:t xml:space="preserve">, the examining attorney will </w:t>
      </w:r>
      <w:r w:rsidR="003B4B66">
        <w:rPr>
          <w:rFonts w:ascii="Verdana" w:hAnsi="Verdana"/>
          <w:sz w:val="22"/>
          <w:szCs w:val="22"/>
          <w:lang w:val="en"/>
        </w:rPr>
        <w:t xml:space="preserve">treat </w:t>
      </w:r>
      <w:r w:rsidR="00756349">
        <w:rPr>
          <w:rFonts w:ascii="Verdana" w:hAnsi="Verdana"/>
          <w:sz w:val="22"/>
          <w:szCs w:val="22"/>
          <w:lang w:val="en"/>
        </w:rPr>
        <w:t>the entities</w:t>
      </w:r>
      <w:r w:rsidR="003B4B66">
        <w:rPr>
          <w:rFonts w:ascii="Verdana" w:hAnsi="Verdana"/>
          <w:sz w:val="22"/>
          <w:szCs w:val="22"/>
          <w:lang w:val="en"/>
        </w:rPr>
        <w:t xml:space="preserve"> as</w:t>
      </w:r>
      <w:r w:rsidR="00811125">
        <w:rPr>
          <w:rFonts w:ascii="Verdana" w:hAnsi="Verdana"/>
          <w:sz w:val="22"/>
          <w:szCs w:val="22"/>
          <w:lang w:val="en"/>
        </w:rPr>
        <w:t xml:space="preserve"> different </w:t>
      </w:r>
      <w:r w:rsidR="00D93E69">
        <w:rPr>
          <w:rFonts w:ascii="Verdana" w:hAnsi="Verdana"/>
          <w:sz w:val="22"/>
          <w:szCs w:val="22"/>
          <w:lang w:val="en"/>
        </w:rPr>
        <w:t>owners</w:t>
      </w:r>
      <w:r w:rsidR="00E60FFF">
        <w:rPr>
          <w:rFonts w:ascii="Verdana" w:hAnsi="Verdana"/>
          <w:sz w:val="22"/>
          <w:szCs w:val="22"/>
          <w:lang w:val="en"/>
        </w:rPr>
        <w:t>, even if the owner name is the same</w:t>
      </w:r>
      <w:r w:rsidR="00811125">
        <w:rPr>
          <w:rFonts w:ascii="Verdana" w:hAnsi="Verdana"/>
          <w:sz w:val="22"/>
          <w:szCs w:val="22"/>
          <w:lang w:val="en"/>
        </w:rPr>
        <w:t>.</w:t>
      </w:r>
      <w:r w:rsidR="00361386">
        <w:rPr>
          <w:rFonts w:ascii="Verdana" w:hAnsi="Verdana"/>
          <w:sz w:val="22"/>
          <w:szCs w:val="22"/>
          <w:lang w:val="en"/>
        </w:rPr>
        <w:t xml:space="preserve"> For example, Acme Plumbing, a Delaware corporation</w:t>
      </w:r>
      <w:r w:rsidR="00E95BE9">
        <w:rPr>
          <w:rFonts w:ascii="Verdana" w:hAnsi="Verdana"/>
          <w:sz w:val="22"/>
          <w:szCs w:val="22"/>
          <w:lang w:val="en"/>
        </w:rPr>
        <w:t>, and</w:t>
      </w:r>
      <w:r w:rsidR="00361386">
        <w:rPr>
          <w:rFonts w:ascii="Verdana" w:hAnsi="Verdana"/>
          <w:sz w:val="22"/>
          <w:szCs w:val="22"/>
          <w:lang w:val="en"/>
        </w:rPr>
        <w:t xml:space="preserve"> Acme Plumbing, a Del</w:t>
      </w:r>
      <w:r w:rsidR="00E95BE9">
        <w:rPr>
          <w:rFonts w:ascii="Verdana" w:hAnsi="Verdana"/>
          <w:sz w:val="22"/>
          <w:szCs w:val="22"/>
          <w:lang w:val="en"/>
        </w:rPr>
        <w:t>aware limited liability company,</w:t>
      </w:r>
      <w:r w:rsidR="00361386">
        <w:rPr>
          <w:rFonts w:ascii="Verdana" w:hAnsi="Verdana"/>
          <w:sz w:val="22"/>
          <w:szCs w:val="22"/>
          <w:lang w:val="en"/>
        </w:rPr>
        <w:t xml:space="preserve"> </w:t>
      </w:r>
      <w:r w:rsidR="001F7068">
        <w:rPr>
          <w:rFonts w:ascii="Verdana" w:hAnsi="Verdana"/>
          <w:sz w:val="22"/>
          <w:szCs w:val="22"/>
          <w:lang w:val="en"/>
        </w:rPr>
        <w:t>are</w:t>
      </w:r>
      <w:r w:rsidR="003B4B66">
        <w:rPr>
          <w:rFonts w:ascii="Verdana" w:hAnsi="Verdana"/>
          <w:sz w:val="22"/>
          <w:szCs w:val="22"/>
          <w:lang w:val="en"/>
        </w:rPr>
        <w:t xml:space="preserve"> </w:t>
      </w:r>
      <w:r w:rsidR="00361386">
        <w:rPr>
          <w:rFonts w:ascii="Verdana" w:hAnsi="Verdana"/>
          <w:sz w:val="22"/>
          <w:szCs w:val="22"/>
          <w:lang w:val="en"/>
        </w:rPr>
        <w:t>considered to be different entities</w:t>
      </w:r>
      <w:r w:rsidR="00E95BE9">
        <w:rPr>
          <w:rFonts w:ascii="Verdana" w:hAnsi="Verdana"/>
          <w:sz w:val="22"/>
          <w:szCs w:val="22"/>
          <w:lang w:val="en"/>
        </w:rPr>
        <w:t>, and thus</w:t>
      </w:r>
      <w:r w:rsidR="00EE3168">
        <w:rPr>
          <w:rFonts w:ascii="Verdana" w:hAnsi="Verdana"/>
          <w:sz w:val="22"/>
          <w:szCs w:val="22"/>
          <w:lang w:val="en"/>
        </w:rPr>
        <w:t xml:space="preserve"> different owners,</w:t>
      </w:r>
      <w:r w:rsidR="00E60FFF">
        <w:rPr>
          <w:rFonts w:ascii="Verdana" w:hAnsi="Verdana"/>
          <w:sz w:val="22"/>
          <w:szCs w:val="22"/>
          <w:lang w:val="en"/>
        </w:rPr>
        <w:t xml:space="preserve"> for purposes of the </w:t>
      </w:r>
      <w:r w:rsidR="004469FD">
        <w:rPr>
          <w:rFonts w:ascii="Verdana" w:hAnsi="Verdana"/>
          <w:sz w:val="22"/>
          <w:szCs w:val="22"/>
          <w:lang w:val="en"/>
        </w:rPr>
        <w:t>§</w:t>
      </w:r>
      <w:r w:rsidR="00E60FFF">
        <w:rPr>
          <w:rFonts w:ascii="Verdana" w:hAnsi="Verdana"/>
          <w:sz w:val="22"/>
          <w:szCs w:val="22"/>
          <w:lang w:val="en"/>
        </w:rPr>
        <w:t>2(d) analysis</w:t>
      </w:r>
      <w:r w:rsidR="00361386">
        <w:rPr>
          <w:rFonts w:ascii="Verdana" w:hAnsi="Verdana"/>
          <w:sz w:val="22"/>
          <w:szCs w:val="22"/>
          <w:lang w:val="en"/>
        </w:rPr>
        <w:t xml:space="preserve">. </w:t>
      </w:r>
    </w:p>
    <w:p w14:paraId="7386BA86" w14:textId="77777777" w:rsidR="00361386" w:rsidRDefault="00361386" w:rsidP="001C3BFC">
      <w:pPr>
        <w:rPr>
          <w:rFonts w:ascii="Verdana" w:hAnsi="Verdana"/>
          <w:sz w:val="22"/>
          <w:szCs w:val="22"/>
          <w:lang w:val="en"/>
        </w:rPr>
      </w:pPr>
    </w:p>
    <w:p w14:paraId="12AEA29D" w14:textId="77777777" w:rsidR="00160028" w:rsidRPr="0094739A" w:rsidRDefault="00160028" w:rsidP="001C3BFC">
      <w:pPr>
        <w:rPr>
          <w:rFonts w:ascii="Verdana" w:hAnsi="Verdana"/>
          <w:b/>
          <w:sz w:val="22"/>
          <w:szCs w:val="22"/>
        </w:rPr>
      </w:pPr>
      <w:r w:rsidRPr="0094739A">
        <w:rPr>
          <w:rFonts w:ascii="Verdana" w:hAnsi="Verdana"/>
          <w:b/>
          <w:sz w:val="22"/>
          <w:szCs w:val="22"/>
        </w:rPr>
        <w:t xml:space="preserve">Foreign Entity Types and U.S. Equivalents </w:t>
      </w:r>
    </w:p>
    <w:p w14:paraId="50A1254B" w14:textId="77777777" w:rsidR="00160028" w:rsidRPr="00160028" w:rsidRDefault="00160028" w:rsidP="001C3BFC">
      <w:pPr>
        <w:rPr>
          <w:rFonts w:ascii="Verdana" w:hAnsi="Verdana"/>
          <w:i/>
          <w:sz w:val="22"/>
          <w:szCs w:val="22"/>
        </w:rPr>
      </w:pPr>
    </w:p>
    <w:p w14:paraId="51209A4B" w14:textId="77777777" w:rsidR="004A2EB8" w:rsidRDefault="004A520C" w:rsidP="00095608">
      <w:pPr>
        <w:rPr>
          <w:rFonts w:ascii="Verdana" w:hAnsi="Verdana"/>
          <w:sz w:val="22"/>
          <w:szCs w:val="22"/>
        </w:rPr>
      </w:pPr>
      <w:r w:rsidRPr="001C3BFC">
        <w:rPr>
          <w:rFonts w:ascii="Verdana" w:hAnsi="Verdana"/>
          <w:sz w:val="22"/>
          <w:szCs w:val="22"/>
        </w:rPr>
        <w:t xml:space="preserve">However, </w:t>
      </w:r>
      <w:r w:rsidR="00C4790C">
        <w:rPr>
          <w:rFonts w:ascii="Verdana" w:hAnsi="Verdana"/>
          <w:sz w:val="22"/>
          <w:szCs w:val="22"/>
        </w:rPr>
        <w:t>when</w:t>
      </w:r>
      <w:r w:rsidRPr="001C3BFC">
        <w:rPr>
          <w:rFonts w:ascii="Verdana" w:hAnsi="Verdana"/>
          <w:sz w:val="22"/>
          <w:szCs w:val="22"/>
        </w:rPr>
        <w:t xml:space="preserve"> </w:t>
      </w:r>
      <w:r w:rsidR="00C4790C">
        <w:rPr>
          <w:rFonts w:ascii="Verdana" w:hAnsi="Verdana"/>
          <w:sz w:val="22"/>
          <w:szCs w:val="22"/>
        </w:rPr>
        <w:t xml:space="preserve">the owners </w:t>
      </w:r>
      <w:r w:rsidR="00F34FCB">
        <w:rPr>
          <w:rFonts w:ascii="Verdana" w:hAnsi="Verdana"/>
          <w:sz w:val="22"/>
          <w:szCs w:val="22"/>
        </w:rPr>
        <w:t>named in the application and prior registration</w:t>
      </w:r>
      <w:r w:rsidR="00477BED">
        <w:rPr>
          <w:rFonts w:ascii="Verdana" w:hAnsi="Verdana"/>
          <w:sz w:val="22"/>
          <w:szCs w:val="22"/>
        </w:rPr>
        <w:t xml:space="preserve"> or </w:t>
      </w:r>
      <w:r w:rsidR="00756349">
        <w:rPr>
          <w:rFonts w:ascii="Verdana" w:hAnsi="Verdana"/>
          <w:sz w:val="22"/>
          <w:szCs w:val="22"/>
        </w:rPr>
        <w:t>application</w:t>
      </w:r>
      <w:r w:rsidR="00F34FCB">
        <w:rPr>
          <w:rFonts w:ascii="Verdana" w:hAnsi="Verdana"/>
          <w:sz w:val="22"/>
          <w:szCs w:val="22"/>
        </w:rPr>
        <w:t xml:space="preserve"> </w:t>
      </w:r>
      <w:r w:rsidR="00C4790C">
        <w:rPr>
          <w:rFonts w:ascii="Verdana" w:hAnsi="Verdana"/>
          <w:sz w:val="22"/>
          <w:szCs w:val="22"/>
        </w:rPr>
        <w:t>are foreign entities</w:t>
      </w:r>
      <w:r w:rsidRPr="001C3BFC">
        <w:rPr>
          <w:rFonts w:ascii="Verdana" w:hAnsi="Verdana"/>
          <w:sz w:val="22"/>
          <w:szCs w:val="22"/>
        </w:rPr>
        <w:t>,</w:t>
      </w:r>
      <w:r w:rsidR="00540443">
        <w:rPr>
          <w:rFonts w:ascii="Verdana" w:hAnsi="Verdana"/>
          <w:sz w:val="22"/>
          <w:szCs w:val="22"/>
        </w:rPr>
        <w:t xml:space="preserve"> </w:t>
      </w:r>
      <w:r w:rsidR="00C4790C">
        <w:rPr>
          <w:rFonts w:ascii="Verdana" w:hAnsi="Verdana"/>
          <w:sz w:val="22"/>
          <w:szCs w:val="22"/>
        </w:rPr>
        <w:t xml:space="preserve">it is possible that </w:t>
      </w:r>
      <w:r w:rsidR="00D07E0F">
        <w:rPr>
          <w:rFonts w:ascii="Verdana" w:hAnsi="Verdana"/>
          <w:sz w:val="22"/>
          <w:szCs w:val="22"/>
        </w:rPr>
        <w:t>different</w:t>
      </w:r>
      <w:r w:rsidR="00540443">
        <w:rPr>
          <w:rFonts w:ascii="Verdana" w:hAnsi="Verdana"/>
          <w:sz w:val="22"/>
          <w:szCs w:val="22"/>
        </w:rPr>
        <w:t xml:space="preserve"> </w:t>
      </w:r>
      <w:r w:rsidR="00992431">
        <w:rPr>
          <w:rFonts w:ascii="Verdana" w:hAnsi="Verdana"/>
          <w:sz w:val="22"/>
          <w:szCs w:val="22"/>
        </w:rPr>
        <w:t xml:space="preserve">entity </w:t>
      </w:r>
      <w:r w:rsidR="00842985">
        <w:rPr>
          <w:rFonts w:ascii="Verdana" w:hAnsi="Verdana"/>
          <w:sz w:val="22"/>
          <w:szCs w:val="22"/>
        </w:rPr>
        <w:t>terminology</w:t>
      </w:r>
      <w:r w:rsidR="00992431">
        <w:rPr>
          <w:rFonts w:ascii="Verdana" w:hAnsi="Verdana"/>
          <w:sz w:val="22"/>
          <w:szCs w:val="22"/>
        </w:rPr>
        <w:t xml:space="preserve"> </w:t>
      </w:r>
      <w:r w:rsidR="008638D4">
        <w:rPr>
          <w:rFonts w:ascii="Verdana" w:hAnsi="Verdana"/>
          <w:sz w:val="22"/>
          <w:szCs w:val="22"/>
        </w:rPr>
        <w:t xml:space="preserve">in </w:t>
      </w:r>
      <w:r w:rsidR="006F2236">
        <w:rPr>
          <w:rFonts w:ascii="Verdana" w:hAnsi="Verdana"/>
          <w:sz w:val="22"/>
          <w:szCs w:val="22"/>
        </w:rPr>
        <w:t>the records</w:t>
      </w:r>
      <w:r w:rsidR="008638D4">
        <w:rPr>
          <w:rFonts w:ascii="Verdana" w:hAnsi="Verdana"/>
          <w:sz w:val="22"/>
          <w:szCs w:val="22"/>
        </w:rPr>
        <w:t xml:space="preserve"> </w:t>
      </w:r>
      <w:r w:rsidR="000D7155">
        <w:rPr>
          <w:rFonts w:ascii="Verdana" w:hAnsi="Verdana"/>
          <w:sz w:val="22"/>
          <w:szCs w:val="22"/>
        </w:rPr>
        <w:t xml:space="preserve">actually </w:t>
      </w:r>
      <w:r w:rsidR="00992431">
        <w:rPr>
          <w:rFonts w:ascii="Verdana" w:hAnsi="Verdana"/>
          <w:sz w:val="22"/>
          <w:szCs w:val="22"/>
        </w:rPr>
        <w:t>identifies</w:t>
      </w:r>
      <w:r w:rsidR="00540443">
        <w:rPr>
          <w:rFonts w:ascii="Verdana" w:hAnsi="Verdana"/>
          <w:sz w:val="22"/>
          <w:szCs w:val="22"/>
        </w:rPr>
        <w:t xml:space="preserve"> the same entity </w:t>
      </w:r>
      <w:r w:rsidR="00BF1C3C">
        <w:rPr>
          <w:rFonts w:ascii="Verdana" w:hAnsi="Verdana"/>
          <w:sz w:val="22"/>
          <w:szCs w:val="22"/>
        </w:rPr>
        <w:t>and</w:t>
      </w:r>
      <w:r w:rsidR="00A515FA">
        <w:rPr>
          <w:rFonts w:ascii="Verdana" w:hAnsi="Verdana"/>
          <w:sz w:val="22"/>
          <w:szCs w:val="22"/>
        </w:rPr>
        <w:t>,</w:t>
      </w:r>
      <w:r w:rsidR="00BF1C3C">
        <w:rPr>
          <w:rFonts w:ascii="Verdana" w:hAnsi="Verdana"/>
          <w:sz w:val="22"/>
          <w:szCs w:val="22"/>
        </w:rPr>
        <w:t xml:space="preserve"> thus</w:t>
      </w:r>
      <w:r w:rsidR="00A515FA">
        <w:rPr>
          <w:rFonts w:ascii="Verdana" w:hAnsi="Verdana"/>
          <w:sz w:val="22"/>
          <w:szCs w:val="22"/>
        </w:rPr>
        <w:t>,</w:t>
      </w:r>
      <w:r w:rsidR="00BF1C3C">
        <w:rPr>
          <w:rFonts w:ascii="Verdana" w:hAnsi="Verdana"/>
          <w:sz w:val="22"/>
          <w:szCs w:val="22"/>
        </w:rPr>
        <w:t xml:space="preserve"> the same owner</w:t>
      </w:r>
      <w:r w:rsidR="00540443">
        <w:rPr>
          <w:rFonts w:ascii="Verdana" w:hAnsi="Verdana"/>
          <w:sz w:val="22"/>
          <w:szCs w:val="22"/>
        </w:rPr>
        <w:t xml:space="preserve">. </w:t>
      </w:r>
      <w:r w:rsidR="00E60FFF">
        <w:rPr>
          <w:rFonts w:ascii="Verdana" w:hAnsi="Verdana"/>
          <w:sz w:val="22"/>
          <w:szCs w:val="22"/>
        </w:rPr>
        <w:t xml:space="preserve">That is, </w:t>
      </w:r>
      <w:r w:rsidR="00C4790C">
        <w:rPr>
          <w:rFonts w:ascii="Verdana" w:hAnsi="Verdana"/>
          <w:sz w:val="22"/>
          <w:szCs w:val="22"/>
        </w:rPr>
        <w:t>the same owner</w:t>
      </w:r>
      <w:r w:rsidR="00F34FCB">
        <w:rPr>
          <w:rFonts w:ascii="Verdana" w:hAnsi="Verdana"/>
          <w:sz w:val="22"/>
          <w:szCs w:val="22"/>
        </w:rPr>
        <w:t xml:space="preserve"> </w:t>
      </w:r>
      <w:r w:rsidR="000816A1">
        <w:rPr>
          <w:rFonts w:ascii="Verdana" w:hAnsi="Verdana"/>
          <w:sz w:val="22"/>
          <w:szCs w:val="22"/>
        </w:rPr>
        <w:t>may</w:t>
      </w:r>
      <w:r w:rsidR="00F34FCB">
        <w:rPr>
          <w:rFonts w:ascii="Verdana" w:hAnsi="Verdana"/>
          <w:sz w:val="22"/>
          <w:szCs w:val="22"/>
        </w:rPr>
        <w:t xml:space="preserve"> have </w:t>
      </w:r>
      <w:r w:rsidR="004A2EB8">
        <w:rPr>
          <w:rFonts w:ascii="Verdana" w:hAnsi="Verdana"/>
          <w:sz w:val="22"/>
          <w:szCs w:val="22"/>
        </w:rPr>
        <w:t>set forth</w:t>
      </w:r>
      <w:r w:rsidR="00BF1C3C">
        <w:rPr>
          <w:rFonts w:ascii="Verdana" w:hAnsi="Verdana"/>
          <w:sz w:val="22"/>
          <w:szCs w:val="22"/>
        </w:rPr>
        <w:t xml:space="preserve"> </w:t>
      </w:r>
      <w:r w:rsidR="00F34FCB">
        <w:rPr>
          <w:rFonts w:ascii="Verdana" w:hAnsi="Verdana"/>
          <w:sz w:val="22"/>
          <w:szCs w:val="22"/>
        </w:rPr>
        <w:t>a foreign e</w:t>
      </w:r>
      <w:r w:rsidR="00E60FFF" w:rsidRPr="001C3BFC">
        <w:rPr>
          <w:rFonts w:ascii="Verdana" w:hAnsi="Verdana"/>
          <w:sz w:val="22"/>
          <w:szCs w:val="22"/>
        </w:rPr>
        <w:t xml:space="preserve">ntity </w:t>
      </w:r>
      <w:r w:rsidR="00E60FFF">
        <w:rPr>
          <w:rFonts w:ascii="Verdana" w:hAnsi="Verdana"/>
          <w:sz w:val="22"/>
          <w:szCs w:val="22"/>
        </w:rPr>
        <w:t>designation (e.g., GmbH)</w:t>
      </w:r>
      <w:r w:rsidR="00F34FCB">
        <w:rPr>
          <w:rFonts w:ascii="Verdana" w:hAnsi="Verdana"/>
          <w:sz w:val="22"/>
          <w:szCs w:val="22"/>
        </w:rPr>
        <w:t xml:space="preserve"> in the </w:t>
      </w:r>
      <w:r w:rsidR="00AE094B">
        <w:rPr>
          <w:rFonts w:ascii="Verdana" w:hAnsi="Verdana"/>
          <w:sz w:val="22"/>
          <w:szCs w:val="22"/>
        </w:rPr>
        <w:t>application</w:t>
      </w:r>
      <w:r w:rsidR="00F34FCB">
        <w:rPr>
          <w:rFonts w:ascii="Verdana" w:hAnsi="Verdana"/>
          <w:sz w:val="22"/>
          <w:szCs w:val="22"/>
        </w:rPr>
        <w:t xml:space="preserve">, but </w:t>
      </w:r>
      <w:r w:rsidR="00C62394">
        <w:rPr>
          <w:rFonts w:ascii="Verdana" w:hAnsi="Verdana"/>
          <w:sz w:val="22"/>
          <w:szCs w:val="22"/>
        </w:rPr>
        <w:t>used</w:t>
      </w:r>
      <w:r w:rsidR="00E60FFF">
        <w:rPr>
          <w:rFonts w:ascii="Verdana" w:hAnsi="Verdana"/>
          <w:sz w:val="22"/>
          <w:szCs w:val="22"/>
        </w:rPr>
        <w:t xml:space="preserve"> the equivalent U.S. entity designation (e.g., limited liability company)</w:t>
      </w:r>
      <w:r w:rsidR="00F34FCB">
        <w:rPr>
          <w:rFonts w:ascii="Verdana" w:hAnsi="Verdana"/>
          <w:sz w:val="22"/>
          <w:szCs w:val="22"/>
        </w:rPr>
        <w:t xml:space="preserve"> in the </w:t>
      </w:r>
      <w:r w:rsidR="00AE094B">
        <w:rPr>
          <w:rFonts w:ascii="Verdana" w:hAnsi="Verdana"/>
          <w:sz w:val="22"/>
          <w:szCs w:val="22"/>
        </w:rPr>
        <w:t>prior registration</w:t>
      </w:r>
      <w:r w:rsidR="00E60FFF">
        <w:rPr>
          <w:rFonts w:ascii="Verdana" w:hAnsi="Verdana"/>
          <w:sz w:val="22"/>
          <w:szCs w:val="22"/>
        </w:rPr>
        <w:t xml:space="preserve">. </w:t>
      </w:r>
    </w:p>
    <w:p w14:paraId="6ACC063C" w14:textId="77777777" w:rsidR="004A2EB8" w:rsidRDefault="004A2EB8" w:rsidP="00095608">
      <w:pPr>
        <w:rPr>
          <w:rStyle w:val="Hyperlink"/>
          <w:rFonts w:ascii="Verdana" w:hAnsi="Verdana"/>
          <w:color w:val="000000" w:themeColor="text1"/>
          <w:sz w:val="22"/>
          <w:szCs w:val="22"/>
          <w:u w:val="none"/>
        </w:rPr>
      </w:pPr>
    </w:p>
    <w:p w14:paraId="30182794" w14:textId="77777777" w:rsidR="001F7068" w:rsidRDefault="008979C0" w:rsidP="001C3BFC">
      <w:pPr>
        <w:rPr>
          <w:rFonts w:ascii="Verdana" w:hAnsi="Verdana"/>
          <w:b/>
          <w:sz w:val="22"/>
          <w:szCs w:val="22"/>
        </w:rPr>
      </w:pPr>
      <w:r>
        <w:rPr>
          <w:rFonts w:ascii="Verdana" w:hAnsi="Verdana"/>
          <w:b/>
          <w:sz w:val="22"/>
          <w:szCs w:val="22"/>
        </w:rPr>
        <w:t>When Examining Attorneys May Presume Marks Have the Same Owner</w:t>
      </w:r>
    </w:p>
    <w:p w14:paraId="29B3354E" w14:textId="77777777" w:rsidR="00DD0476" w:rsidRPr="001F7068" w:rsidRDefault="00DD0476" w:rsidP="001C3BFC">
      <w:pPr>
        <w:rPr>
          <w:rFonts w:ascii="Verdana" w:hAnsi="Verdana"/>
          <w:b/>
          <w:sz w:val="22"/>
          <w:szCs w:val="22"/>
        </w:rPr>
      </w:pPr>
    </w:p>
    <w:p w14:paraId="5B10B153" w14:textId="6C21380E" w:rsidR="001C3BFC" w:rsidRDefault="0082304B" w:rsidP="001C3BFC">
      <w:pPr>
        <w:rPr>
          <w:rFonts w:ascii="Verdana" w:hAnsi="Verdana"/>
          <w:sz w:val="22"/>
          <w:szCs w:val="22"/>
        </w:rPr>
      </w:pPr>
      <w:r>
        <w:rPr>
          <w:rFonts w:ascii="Verdana" w:hAnsi="Verdana"/>
          <w:sz w:val="22"/>
          <w:szCs w:val="22"/>
        </w:rPr>
        <w:t>W</w:t>
      </w:r>
      <w:r w:rsidR="000816A1">
        <w:rPr>
          <w:rFonts w:ascii="Verdana" w:hAnsi="Verdana"/>
          <w:sz w:val="22"/>
          <w:szCs w:val="22"/>
        </w:rPr>
        <w:t xml:space="preserve">hen the terminology used to identify the entity type in the respective records differs, </w:t>
      </w:r>
      <w:r w:rsidR="00272214">
        <w:rPr>
          <w:rFonts w:ascii="Verdana" w:hAnsi="Verdana"/>
          <w:sz w:val="22"/>
          <w:szCs w:val="22"/>
        </w:rPr>
        <w:t xml:space="preserve">an examining attorney </w:t>
      </w:r>
      <w:r w:rsidR="000816A1">
        <w:rPr>
          <w:rFonts w:ascii="Verdana" w:hAnsi="Verdana"/>
          <w:sz w:val="22"/>
          <w:szCs w:val="22"/>
        </w:rPr>
        <w:t xml:space="preserve">nonetheless </w:t>
      </w:r>
      <w:r w:rsidR="00272214">
        <w:rPr>
          <w:rFonts w:ascii="Verdana" w:hAnsi="Verdana"/>
          <w:sz w:val="22"/>
          <w:szCs w:val="22"/>
        </w:rPr>
        <w:t xml:space="preserve">may presume </w:t>
      </w:r>
      <w:r w:rsidR="000816A1">
        <w:rPr>
          <w:rFonts w:ascii="Verdana" w:hAnsi="Verdana"/>
          <w:sz w:val="22"/>
          <w:szCs w:val="22"/>
        </w:rPr>
        <w:t>that</w:t>
      </w:r>
      <w:r w:rsidR="00272214">
        <w:rPr>
          <w:rFonts w:ascii="Verdana" w:hAnsi="Verdana"/>
          <w:sz w:val="22"/>
          <w:szCs w:val="22"/>
        </w:rPr>
        <w:t xml:space="preserve"> marks have the same owner</w:t>
      </w:r>
      <w:r w:rsidR="00F6484B">
        <w:rPr>
          <w:rFonts w:ascii="Verdana" w:hAnsi="Verdana"/>
          <w:sz w:val="22"/>
          <w:szCs w:val="22"/>
        </w:rPr>
        <w:t>,</w:t>
      </w:r>
      <w:r w:rsidR="00E46575">
        <w:rPr>
          <w:rFonts w:ascii="Verdana" w:hAnsi="Verdana"/>
          <w:sz w:val="22"/>
          <w:szCs w:val="22"/>
        </w:rPr>
        <w:t xml:space="preserve"> and need not issue a </w:t>
      </w:r>
      <w:r w:rsidR="00905A07">
        <w:rPr>
          <w:rFonts w:ascii="Verdana" w:hAnsi="Verdana"/>
          <w:sz w:val="22"/>
          <w:szCs w:val="22"/>
        </w:rPr>
        <w:t>§</w:t>
      </w:r>
      <w:r w:rsidR="00E46575">
        <w:rPr>
          <w:rFonts w:ascii="Verdana" w:hAnsi="Verdana"/>
          <w:sz w:val="22"/>
          <w:szCs w:val="22"/>
        </w:rPr>
        <w:t>2(d) refusal</w:t>
      </w:r>
      <w:r w:rsidR="00F6484B">
        <w:rPr>
          <w:rFonts w:ascii="Verdana" w:hAnsi="Verdana"/>
          <w:sz w:val="22"/>
          <w:szCs w:val="22"/>
        </w:rPr>
        <w:t>,</w:t>
      </w:r>
      <w:r w:rsidR="000816A1">
        <w:rPr>
          <w:rFonts w:ascii="Verdana" w:hAnsi="Verdana"/>
          <w:sz w:val="22"/>
          <w:szCs w:val="22"/>
        </w:rPr>
        <w:t xml:space="preserve"> </w:t>
      </w:r>
      <w:r w:rsidR="00437F91">
        <w:rPr>
          <w:rFonts w:ascii="Verdana" w:hAnsi="Verdana"/>
          <w:sz w:val="22"/>
          <w:szCs w:val="22"/>
        </w:rPr>
        <w:t>if</w:t>
      </w:r>
      <w:r w:rsidR="00C62394">
        <w:rPr>
          <w:rFonts w:ascii="Verdana" w:hAnsi="Verdana"/>
          <w:sz w:val="22"/>
          <w:szCs w:val="22"/>
        </w:rPr>
        <w:t xml:space="preserve"> </w:t>
      </w:r>
      <w:r w:rsidR="00C62394" w:rsidRPr="00756349">
        <w:rPr>
          <w:rFonts w:ascii="Verdana" w:hAnsi="Verdana"/>
          <w:i/>
          <w:sz w:val="22"/>
          <w:szCs w:val="22"/>
        </w:rPr>
        <w:t>all</w:t>
      </w:r>
      <w:r w:rsidR="00C62394">
        <w:rPr>
          <w:rFonts w:ascii="Verdana" w:hAnsi="Verdana"/>
          <w:sz w:val="22"/>
          <w:szCs w:val="22"/>
        </w:rPr>
        <w:t xml:space="preserve"> of the following conditions </w:t>
      </w:r>
      <w:r w:rsidR="009D47CA">
        <w:rPr>
          <w:rFonts w:ascii="Verdana" w:hAnsi="Verdana"/>
          <w:sz w:val="22"/>
          <w:szCs w:val="22"/>
        </w:rPr>
        <w:t>are satisfied</w:t>
      </w:r>
      <w:r w:rsidR="001C3BFC" w:rsidRPr="001C3BFC">
        <w:rPr>
          <w:rFonts w:ascii="Verdana" w:hAnsi="Verdana"/>
          <w:sz w:val="22"/>
          <w:szCs w:val="22"/>
        </w:rPr>
        <w:t>:</w:t>
      </w:r>
    </w:p>
    <w:p w14:paraId="2A6F9BA3" w14:textId="77777777" w:rsidR="00437F91" w:rsidRDefault="00437F91" w:rsidP="001C3BFC">
      <w:pPr>
        <w:rPr>
          <w:rFonts w:ascii="Verdana" w:hAnsi="Verdana"/>
          <w:sz w:val="22"/>
          <w:szCs w:val="22"/>
        </w:rPr>
      </w:pPr>
    </w:p>
    <w:p w14:paraId="16B297EE" w14:textId="77777777" w:rsidR="00287439" w:rsidRDefault="00DF1053" w:rsidP="003B4B66">
      <w:pPr>
        <w:pStyle w:val="ListParagraph"/>
        <w:numPr>
          <w:ilvl w:val="0"/>
          <w:numId w:val="1"/>
        </w:numPr>
        <w:rPr>
          <w:rFonts w:ascii="Verdana" w:hAnsi="Verdana"/>
          <w:b/>
          <w:sz w:val="22"/>
          <w:szCs w:val="22"/>
        </w:rPr>
      </w:pPr>
      <w:r w:rsidRPr="00287439">
        <w:rPr>
          <w:rFonts w:ascii="Verdana" w:hAnsi="Verdana"/>
          <w:b/>
          <w:sz w:val="22"/>
          <w:szCs w:val="22"/>
        </w:rPr>
        <w:t xml:space="preserve">The </w:t>
      </w:r>
      <w:r w:rsidRPr="000B5094">
        <w:rPr>
          <w:rFonts w:ascii="Verdana" w:hAnsi="Verdana"/>
          <w:b/>
          <w:sz w:val="22"/>
          <w:szCs w:val="22"/>
          <w:u w:val="single"/>
        </w:rPr>
        <w:t>o</w:t>
      </w:r>
      <w:r w:rsidR="00437F91" w:rsidRPr="000B5094">
        <w:rPr>
          <w:rFonts w:ascii="Verdana" w:hAnsi="Verdana"/>
          <w:b/>
          <w:sz w:val="22"/>
          <w:szCs w:val="22"/>
          <w:u w:val="single"/>
        </w:rPr>
        <w:t>wner name</w:t>
      </w:r>
      <w:r w:rsidR="00437F91" w:rsidRPr="00287439">
        <w:rPr>
          <w:rFonts w:ascii="Verdana" w:hAnsi="Verdana"/>
          <w:b/>
          <w:sz w:val="22"/>
          <w:szCs w:val="22"/>
        </w:rPr>
        <w:t xml:space="preserve"> in the application is </w:t>
      </w:r>
      <w:r w:rsidR="00437F91" w:rsidRPr="00E46575">
        <w:rPr>
          <w:rFonts w:ascii="Verdana" w:hAnsi="Verdana"/>
          <w:b/>
          <w:sz w:val="22"/>
          <w:szCs w:val="22"/>
        </w:rPr>
        <w:t>identical</w:t>
      </w:r>
      <w:r w:rsidR="00437F91" w:rsidRPr="00287439">
        <w:rPr>
          <w:rFonts w:ascii="Verdana" w:hAnsi="Verdana"/>
          <w:b/>
          <w:sz w:val="22"/>
          <w:szCs w:val="22"/>
        </w:rPr>
        <w:t xml:space="preserve"> to the owner name set forth in the </w:t>
      </w:r>
      <w:r w:rsidR="00E46575" w:rsidRPr="00287439">
        <w:rPr>
          <w:rFonts w:ascii="Verdana" w:hAnsi="Verdana"/>
          <w:b/>
          <w:sz w:val="22"/>
          <w:szCs w:val="22"/>
        </w:rPr>
        <w:t xml:space="preserve">prior </w:t>
      </w:r>
      <w:r w:rsidR="00437F91" w:rsidRPr="00287439">
        <w:rPr>
          <w:rFonts w:ascii="Verdana" w:hAnsi="Verdana"/>
          <w:b/>
          <w:sz w:val="22"/>
          <w:szCs w:val="22"/>
        </w:rPr>
        <w:t>registration or application</w:t>
      </w:r>
      <w:r w:rsidR="00287439">
        <w:rPr>
          <w:rFonts w:ascii="Verdana" w:hAnsi="Verdana"/>
          <w:b/>
          <w:sz w:val="22"/>
          <w:szCs w:val="22"/>
        </w:rPr>
        <w:t>.</w:t>
      </w:r>
    </w:p>
    <w:p w14:paraId="5C7B4586" w14:textId="77777777" w:rsidR="0043015A" w:rsidRDefault="0043015A" w:rsidP="00287439">
      <w:pPr>
        <w:pStyle w:val="ListParagraph"/>
        <w:rPr>
          <w:rFonts w:ascii="Verdana" w:hAnsi="Verdana"/>
          <w:sz w:val="22"/>
          <w:szCs w:val="22"/>
        </w:rPr>
      </w:pPr>
    </w:p>
    <w:p w14:paraId="00270B23" w14:textId="77777777" w:rsidR="00287439" w:rsidRPr="00287439" w:rsidRDefault="00287439" w:rsidP="005D21F6">
      <w:pPr>
        <w:pStyle w:val="ListParagraph"/>
        <w:ind w:left="1440"/>
        <w:rPr>
          <w:rFonts w:ascii="Verdana" w:hAnsi="Verdana"/>
          <w:sz w:val="22"/>
          <w:szCs w:val="22"/>
        </w:rPr>
      </w:pPr>
      <w:r w:rsidRPr="00287439">
        <w:rPr>
          <w:rFonts w:ascii="Verdana" w:hAnsi="Verdana"/>
          <w:sz w:val="22"/>
          <w:szCs w:val="22"/>
        </w:rPr>
        <w:t xml:space="preserve">Generally, the examining attorney will not consider the owner names to be identical if they contain different matter. However, </w:t>
      </w:r>
      <w:r w:rsidR="00A36572">
        <w:rPr>
          <w:rFonts w:ascii="Verdana" w:hAnsi="Verdana"/>
          <w:sz w:val="22"/>
          <w:szCs w:val="22"/>
        </w:rPr>
        <w:t>when</w:t>
      </w:r>
      <w:r w:rsidR="00A36572" w:rsidRPr="00287439">
        <w:rPr>
          <w:rFonts w:ascii="Verdana" w:hAnsi="Verdana"/>
          <w:sz w:val="22"/>
          <w:szCs w:val="22"/>
        </w:rPr>
        <w:t xml:space="preserve"> the only difference</w:t>
      </w:r>
      <w:r w:rsidR="00A36572">
        <w:rPr>
          <w:rFonts w:ascii="Verdana" w:hAnsi="Verdana"/>
          <w:sz w:val="22"/>
          <w:szCs w:val="22"/>
        </w:rPr>
        <w:t xml:space="preserve"> between the names</w:t>
      </w:r>
      <w:r w:rsidR="00A36572" w:rsidRPr="00287439">
        <w:rPr>
          <w:rFonts w:ascii="Verdana" w:hAnsi="Verdana"/>
          <w:sz w:val="22"/>
          <w:szCs w:val="22"/>
        </w:rPr>
        <w:t xml:space="preserve"> is that one contains an entity designation and the other does</w:t>
      </w:r>
      <w:r w:rsidR="00C43FAB">
        <w:rPr>
          <w:rFonts w:ascii="Verdana" w:hAnsi="Verdana"/>
          <w:sz w:val="22"/>
          <w:szCs w:val="22"/>
        </w:rPr>
        <w:t xml:space="preserve"> not (e.g., “Acme” and “Acme, GmbH”)</w:t>
      </w:r>
      <w:r w:rsidR="00A36572">
        <w:rPr>
          <w:rFonts w:ascii="Verdana" w:hAnsi="Verdana"/>
          <w:sz w:val="22"/>
          <w:szCs w:val="22"/>
        </w:rPr>
        <w:t xml:space="preserve">, </w:t>
      </w:r>
      <w:r w:rsidR="009D11FC">
        <w:rPr>
          <w:rFonts w:ascii="Verdana" w:hAnsi="Verdana"/>
          <w:sz w:val="22"/>
          <w:szCs w:val="22"/>
        </w:rPr>
        <w:t xml:space="preserve">the </w:t>
      </w:r>
      <w:r w:rsidR="001A2FEA">
        <w:rPr>
          <w:rFonts w:ascii="Verdana" w:hAnsi="Verdana"/>
          <w:sz w:val="22"/>
          <w:szCs w:val="22"/>
        </w:rPr>
        <w:t xml:space="preserve">parties </w:t>
      </w:r>
      <w:r w:rsidR="00A36572" w:rsidRPr="00287439">
        <w:rPr>
          <w:rFonts w:ascii="Verdana" w:hAnsi="Verdana"/>
          <w:sz w:val="22"/>
          <w:szCs w:val="22"/>
        </w:rPr>
        <w:t>may be treated as identical</w:t>
      </w:r>
      <w:r w:rsidR="00A36572">
        <w:rPr>
          <w:rFonts w:ascii="Verdana" w:hAnsi="Verdana"/>
          <w:sz w:val="22"/>
          <w:szCs w:val="22"/>
        </w:rPr>
        <w:t xml:space="preserve"> if conditions </w:t>
      </w:r>
      <w:r w:rsidR="001A2FEA">
        <w:rPr>
          <w:rFonts w:ascii="Verdana" w:hAnsi="Verdana"/>
          <w:sz w:val="22"/>
          <w:szCs w:val="22"/>
        </w:rPr>
        <w:t xml:space="preserve">(2) and (3) </w:t>
      </w:r>
      <w:r w:rsidR="00A36572">
        <w:rPr>
          <w:rFonts w:ascii="Verdana" w:hAnsi="Verdana"/>
          <w:sz w:val="22"/>
          <w:szCs w:val="22"/>
        </w:rPr>
        <w:t>below are satisfied</w:t>
      </w:r>
      <w:r w:rsidRPr="00287439">
        <w:rPr>
          <w:rFonts w:ascii="Verdana" w:hAnsi="Verdana"/>
          <w:sz w:val="22"/>
          <w:szCs w:val="22"/>
        </w:rPr>
        <w:t xml:space="preserve">. </w:t>
      </w:r>
      <w:r w:rsidR="000816A1">
        <w:rPr>
          <w:rFonts w:ascii="Verdana" w:hAnsi="Verdana"/>
          <w:i/>
          <w:sz w:val="22"/>
          <w:szCs w:val="22"/>
        </w:rPr>
        <w:t xml:space="preserve">See </w:t>
      </w:r>
      <w:hyperlink w:anchor="Ex1" w:tooltip="Go to Example 1" w:history="1">
        <w:r w:rsidR="000816A1" w:rsidRPr="000816A1">
          <w:rPr>
            <w:rStyle w:val="Hyperlink"/>
            <w:rFonts w:ascii="Verdana" w:hAnsi="Verdana"/>
            <w:sz w:val="22"/>
            <w:szCs w:val="22"/>
          </w:rPr>
          <w:t>Example 1</w:t>
        </w:r>
      </w:hyperlink>
      <w:r w:rsidR="000816A1">
        <w:rPr>
          <w:rFonts w:ascii="Verdana" w:hAnsi="Verdana"/>
          <w:sz w:val="22"/>
          <w:szCs w:val="22"/>
        </w:rPr>
        <w:t>.</w:t>
      </w:r>
      <w:r w:rsidRPr="00287439">
        <w:rPr>
          <w:rFonts w:ascii="Verdana" w:hAnsi="Verdana"/>
          <w:sz w:val="22"/>
          <w:szCs w:val="22"/>
        </w:rPr>
        <w:t xml:space="preserve"> </w:t>
      </w:r>
    </w:p>
    <w:p w14:paraId="74E2EEF1" w14:textId="77777777" w:rsidR="00287439" w:rsidRPr="00287439" w:rsidRDefault="00287439" w:rsidP="0043015A">
      <w:pPr>
        <w:pStyle w:val="ListParagraph"/>
        <w:rPr>
          <w:rFonts w:ascii="Verdana" w:hAnsi="Verdana"/>
          <w:sz w:val="22"/>
          <w:szCs w:val="22"/>
        </w:rPr>
      </w:pPr>
    </w:p>
    <w:p w14:paraId="40F57A5B" w14:textId="77777777" w:rsidR="00287439" w:rsidRPr="00A36572" w:rsidRDefault="00287439" w:rsidP="005D21F6">
      <w:pPr>
        <w:pStyle w:val="ListParagraph"/>
        <w:ind w:left="1440"/>
        <w:rPr>
          <w:rFonts w:ascii="Verdana" w:hAnsi="Verdana"/>
          <w:sz w:val="22"/>
          <w:szCs w:val="22"/>
        </w:rPr>
      </w:pPr>
      <w:r w:rsidRPr="00287439">
        <w:rPr>
          <w:rFonts w:ascii="Verdana" w:hAnsi="Verdana"/>
          <w:sz w:val="22"/>
          <w:szCs w:val="22"/>
        </w:rPr>
        <w:t>If, on the other hand, the owner names each contain different entity designations</w:t>
      </w:r>
      <w:r w:rsidR="003033DE">
        <w:rPr>
          <w:rFonts w:ascii="Verdana" w:hAnsi="Verdana"/>
          <w:sz w:val="22"/>
          <w:szCs w:val="22"/>
        </w:rPr>
        <w:t xml:space="preserve"> (e.g., </w:t>
      </w:r>
      <w:r w:rsidR="003033DE" w:rsidRPr="00287439">
        <w:rPr>
          <w:rFonts w:ascii="Verdana" w:hAnsi="Verdana"/>
          <w:sz w:val="22"/>
          <w:szCs w:val="22"/>
        </w:rPr>
        <w:t>“Acme</w:t>
      </w:r>
      <w:r w:rsidR="00F6484B">
        <w:rPr>
          <w:rFonts w:ascii="Verdana" w:hAnsi="Verdana"/>
          <w:sz w:val="22"/>
          <w:szCs w:val="22"/>
        </w:rPr>
        <w:t>,</w:t>
      </w:r>
      <w:r w:rsidR="003033DE" w:rsidRPr="00287439">
        <w:rPr>
          <w:rFonts w:ascii="Verdana" w:hAnsi="Verdana"/>
          <w:sz w:val="22"/>
          <w:szCs w:val="22"/>
        </w:rPr>
        <w:t xml:space="preserve"> KG” and “Acme</w:t>
      </w:r>
      <w:r w:rsidR="00F6484B">
        <w:rPr>
          <w:rFonts w:ascii="Verdana" w:hAnsi="Verdana"/>
          <w:sz w:val="22"/>
          <w:szCs w:val="22"/>
        </w:rPr>
        <w:t>,</w:t>
      </w:r>
      <w:r w:rsidR="003033DE" w:rsidRPr="00287439">
        <w:rPr>
          <w:rFonts w:ascii="Verdana" w:hAnsi="Verdana"/>
          <w:sz w:val="22"/>
          <w:szCs w:val="22"/>
        </w:rPr>
        <w:t xml:space="preserve"> GmbH”</w:t>
      </w:r>
      <w:r w:rsidR="003033DE">
        <w:rPr>
          <w:rFonts w:ascii="Verdana" w:hAnsi="Verdana"/>
          <w:sz w:val="22"/>
          <w:szCs w:val="22"/>
        </w:rPr>
        <w:t>)</w:t>
      </w:r>
      <w:r w:rsidRPr="00287439">
        <w:rPr>
          <w:rFonts w:ascii="Verdana" w:hAnsi="Verdana"/>
          <w:sz w:val="22"/>
          <w:szCs w:val="22"/>
        </w:rPr>
        <w:t xml:space="preserve">, </w:t>
      </w:r>
      <w:r w:rsidR="003033DE">
        <w:rPr>
          <w:rFonts w:ascii="Verdana" w:hAnsi="Verdana"/>
          <w:sz w:val="22"/>
          <w:szCs w:val="22"/>
        </w:rPr>
        <w:t>the examining attorney may not presume that they identify the same owner</w:t>
      </w:r>
      <w:r w:rsidRPr="00287439">
        <w:rPr>
          <w:rFonts w:ascii="Verdana" w:hAnsi="Verdana"/>
          <w:sz w:val="22"/>
          <w:szCs w:val="22"/>
        </w:rPr>
        <w:t xml:space="preserve">, even if the owner </w:t>
      </w:r>
      <w:r w:rsidR="001A2FEA">
        <w:rPr>
          <w:rFonts w:ascii="Verdana" w:hAnsi="Verdana"/>
          <w:sz w:val="22"/>
          <w:szCs w:val="22"/>
        </w:rPr>
        <w:t xml:space="preserve">entity </w:t>
      </w:r>
      <w:r w:rsidRPr="00287439">
        <w:rPr>
          <w:rFonts w:ascii="Verdana" w:hAnsi="Verdana"/>
          <w:sz w:val="22"/>
          <w:szCs w:val="22"/>
        </w:rPr>
        <w:t xml:space="preserve">information is otherwise the same. </w:t>
      </w:r>
      <w:r w:rsidR="00A36572">
        <w:rPr>
          <w:rFonts w:ascii="Verdana" w:hAnsi="Verdana"/>
          <w:i/>
          <w:sz w:val="22"/>
          <w:szCs w:val="22"/>
        </w:rPr>
        <w:t xml:space="preserve">See </w:t>
      </w:r>
      <w:hyperlink w:anchor="Ex2" w:tooltip="Go to Example 2" w:history="1">
        <w:r w:rsidR="00A36572" w:rsidRPr="003033DE">
          <w:rPr>
            <w:rStyle w:val="Hyperlink"/>
            <w:rFonts w:ascii="Verdana" w:hAnsi="Verdana"/>
            <w:sz w:val="22"/>
            <w:szCs w:val="22"/>
          </w:rPr>
          <w:t xml:space="preserve">Example </w:t>
        </w:r>
        <w:r w:rsidR="003033DE" w:rsidRPr="003033DE">
          <w:rPr>
            <w:rStyle w:val="Hyperlink"/>
            <w:rFonts w:ascii="Verdana" w:hAnsi="Verdana"/>
            <w:sz w:val="22"/>
            <w:szCs w:val="22"/>
          </w:rPr>
          <w:t>2</w:t>
        </w:r>
      </w:hyperlink>
      <w:r w:rsidR="00A36572">
        <w:rPr>
          <w:rFonts w:ascii="Verdana" w:hAnsi="Verdana"/>
          <w:sz w:val="22"/>
          <w:szCs w:val="22"/>
        </w:rPr>
        <w:t>.</w:t>
      </w:r>
    </w:p>
    <w:p w14:paraId="2463BF04" w14:textId="77777777" w:rsidR="00C608B7" w:rsidRDefault="00C608B7" w:rsidP="00C608B7">
      <w:pPr>
        <w:pStyle w:val="ListParagraph"/>
        <w:rPr>
          <w:rFonts w:ascii="Verdana" w:hAnsi="Verdana"/>
          <w:sz w:val="22"/>
          <w:szCs w:val="22"/>
        </w:rPr>
      </w:pPr>
    </w:p>
    <w:p w14:paraId="21A3BAA5" w14:textId="77777777" w:rsidR="00FD18E4" w:rsidRPr="0043015A" w:rsidRDefault="00FD18E4" w:rsidP="00FD18E4">
      <w:pPr>
        <w:pStyle w:val="ListParagraph"/>
        <w:numPr>
          <w:ilvl w:val="0"/>
          <w:numId w:val="1"/>
        </w:numPr>
        <w:rPr>
          <w:rFonts w:ascii="Verdana" w:hAnsi="Verdana"/>
          <w:b/>
          <w:sz w:val="22"/>
          <w:szCs w:val="22"/>
        </w:rPr>
      </w:pPr>
      <w:r w:rsidRPr="0043015A">
        <w:rPr>
          <w:rFonts w:ascii="Verdana" w:hAnsi="Verdana"/>
          <w:b/>
          <w:sz w:val="22"/>
          <w:szCs w:val="22"/>
        </w:rPr>
        <w:t xml:space="preserve">The </w:t>
      </w:r>
      <w:r w:rsidRPr="001945FA">
        <w:rPr>
          <w:rFonts w:ascii="Verdana" w:hAnsi="Verdana"/>
          <w:b/>
          <w:sz w:val="22"/>
          <w:szCs w:val="22"/>
          <w:u w:val="single"/>
        </w:rPr>
        <w:t>entity designation</w:t>
      </w:r>
      <w:r w:rsidRPr="0043015A">
        <w:rPr>
          <w:rFonts w:ascii="Verdana" w:hAnsi="Verdana"/>
          <w:b/>
          <w:sz w:val="22"/>
          <w:szCs w:val="22"/>
        </w:rPr>
        <w:t xml:space="preserve"> in the application translates to, or is otherwise the </w:t>
      </w:r>
      <w:r w:rsidRPr="00E46575">
        <w:rPr>
          <w:rFonts w:ascii="Verdana" w:hAnsi="Verdana"/>
          <w:b/>
          <w:sz w:val="22"/>
          <w:szCs w:val="22"/>
        </w:rPr>
        <w:t>equivalent</w:t>
      </w:r>
      <w:r w:rsidRPr="0043015A">
        <w:rPr>
          <w:rFonts w:ascii="Verdana" w:hAnsi="Verdana"/>
          <w:b/>
          <w:sz w:val="22"/>
          <w:szCs w:val="22"/>
        </w:rPr>
        <w:t xml:space="preserve"> of, the entity designation set forth in the prior registration</w:t>
      </w:r>
      <w:r>
        <w:rPr>
          <w:rFonts w:ascii="Verdana" w:hAnsi="Verdana"/>
          <w:b/>
          <w:sz w:val="22"/>
          <w:szCs w:val="22"/>
        </w:rPr>
        <w:t xml:space="preserve"> or application</w:t>
      </w:r>
      <w:r w:rsidRPr="0043015A">
        <w:rPr>
          <w:rFonts w:ascii="Verdana" w:hAnsi="Verdana"/>
          <w:b/>
          <w:sz w:val="22"/>
          <w:szCs w:val="22"/>
        </w:rPr>
        <w:t xml:space="preserve">, based on the information in the TMEP’s </w:t>
      </w:r>
      <w:hyperlink r:id="rId9" w:tgtFrame="_blank" w:history="1">
        <w:r w:rsidRPr="0043015A">
          <w:rPr>
            <w:rStyle w:val="Hyperlink"/>
            <w:rFonts w:ascii="Verdana" w:hAnsi="Verdana"/>
            <w:b/>
            <w:bCs/>
            <w:sz w:val="22"/>
            <w:szCs w:val="22"/>
            <w:lang w:val="en"/>
          </w:rPr>
          <w:t>Appendix D</w:t>
        </w:r>
      </w:hyperlink>
      <w:r w:rsidRPr="0043015A">
        <w:rPr>
          <w:rFonts w:ascii="Verdana" w:hAnsi="Verdana"/>
          <w:b/>
          <w:sz w:val="22"/>
          <w:szCs w:val="22"/>
        </w:rPr>
        <w:t xml:space="preserve">. </w:t>
      </w:r>
    </w:p>
    <w:p w14:paraId="213C1CA4" w14:textId="77777777" w:rsidR="00FD18E4" w:rsidRDefault="00FD18E4" w:rsidP="00FD18E4">
      <w:pPr>
        <w:pStyle w:val="ListParagraph"/>
        <w:rPr>
          <w:rFonts w:ascii="Verdana" w:hAnsi="Verdana"/>
          <w:sz w:val="22"/>
          <w:szCs w:val="22"/>
        </w:rPr>
      </w:pPr>
    </w:p>
    <w:p w14:paraId="1A238B1C" w14:textId="77777777" w:rsidR="00FD18E4" w:rsidRDefault="00843B2E" w:rsidP="00FD18E4">
      <w:pPr>
        <w:ind w:left="1440"/>
        <w:rPr>
          <w:rStyle w:val="Hyperlink"/>
          <w:rFonts w:ascii="Verdana" w:hAnsi="Verdana"/>
          <w:color w:val="000000" w:themeColor="text1"/>
          <w:sz w:val="22"/>
          <w:szCs w:val="22"/>
          <w:u w:val="none"/>
        </w:rPr>
      </w:pPr>
      <w:hyperlink r:id="rId10" w:tgtFrame="_blank" w:history="1">
        <w:r w:rsidR="00FD18E4" w:rsidRPr="00E95BE9">
          <w:rPr>
            <w:rStyle w:val="Hyperlink"/>
            <w:rFonts w:ascii="Verdana" w:hAnsi="Verdana"/>
            <w:bCs/>
            <w:sz w:val="22"/>
            <w:szCs w:val="22"/>
            <w:lang w:val="en"/>
          </w:rPr>
          <w:t>Appendix D</w:t>
        </w:r>
      </w:hyperlink>
      <w:r w:rsidR="00FD18E4">
        <w:rPr>
          <w:rFonts w:ascii="Verdana" w:hAnsi="Verdana"/>
          <w:sz w:val="22"/>
          <w:szCs w:val="22"/>
        </w:rPr>
        <w:t xml:space="preserve"> </w:t>
      </w:r>
      <w:r w:rsidR="00FD18E4" w:rsidRPr="008979C0">
        <w:rPr>
          <w:rFonts w:ascii="Verdana" w:hAnsi="Verdana"/>
          <w:sz w:val="22"/>
          <w:szCs w:val="22"/>
          <w:lang w:val="en"/>
        </w:rPr>
        <w:t xml:space="preserve">lists common abbreviations for entity designations used </w:t>
      </w:r>
      <w:r w:rsidR="00FD18E4">
        <w:rPr>
          <w:rFonts w:ascii="Verdana" w:hAnsi="Verdana"/>
          <w:sz w:val="22"/>
          <w:szCs w:val="22"/>
          <w:lang w:val="en"/>
        </w:rPr>
        <w:t>in</w:t>
      </w:r>
      <w:r w:rsidR="00FD18E4" w:rsidRPr="008979C0">
        <w:rPr>
          <w:rFonts w:ascii="Verdana" w:hAnsi="Verdana"/>
          <w:sz w:val="22"/>
          <w:szCs w:val="22"/>
          <w:lang w:val="en"/>
        </w:rPr>
        <w:t xml:space="preserve"> various foreign countries to identify legal commercial entities</w:t>
      </w:r>
      <w:r w:rsidR="00FD18E4">
        <w:rPr>
          <w:rFonts w:ascii="Verdana" w:hAnsi="Verdana"/>
          <w:sz w:val="22"/>
          <w:szCs w:val="22"/>
          <w:lang w:val="en"/>
        </w:rPr>
        <w:t xml:space="preserve">, </w:t>
      </w:r>
      <w:r w:rsidR="00FD18E4">
        <w:rPr>
          <w:rFonts w:ascii="Verdana" w:hAnsi="Verdana"/>
          <w:sz w:val="22"/>
          <w:szCs w:val="22"/>
        </w:rPr>
        <w:t>aiding examining attorneys in determining the acceptability of foreign entity designations</w:t>
      </w:r>
      <w:r w:rsidR="00FD18E4" w:rsidRPr="008979C0">
        <w:rPr>
          <w:rFonts w:ascii="Verdana" w:hAnsi="Verdana"/>
          <w:sz w:val="22"/>
          <w:szCs w:val="22"/>
          <w:lang w:val="en"/>
        </w:rPr>
        <w:t>. The appendix includes a description of the foreign designation and, in so</w:t>
      </w:r>
      <w:r w:rsidR="00FD18E4">
        <w:rPr>
          <w:rFonts w:ascii="Verdana" w:hAnsi="Verdana"/>
          <w:sz w:val="22"/>
          <w:szCs w:val="22"/>
          <w:lang w:val="en"/>
        </w:rPr>
        <w:t xml:space="preserve">me cases, the equivalent U.S. </w:t>
      </w:r>
      <w:r w:rsidR="00FD18E4" w:rsidRPr="008979C0">
        <w:rPr>
          <w:rFonts w:ascii="Verdana" w:hAnsi="Verdana"/>
          <w:sz w:val="22"/>
          <w:szCs w:val="22"/>
          <w:lang w:val="en"/>
        </w:rPr>
        <w:t>entity</w:t>
      </w:r>
      <w:r w:rsidR="00FD18E4">
        <w:rPr>
          <w:rFonts w:ascii="Verdana" w:hAnsi="Verdana"/>
          <w:sz w:val="22"/>
          <w:szCs w:val="22"/>
          <w:lang w:val="en"/>
        </w:rPr>
        <w:t xml:space="preserve"> type. </w:t>
      </w:r>
      <w:r w:rsidR="00FD18E4">
        <w:rPr>
          <w:rFonts w:ascii="Verdana" w:hAnsi="Verdana"/>
          <w:sz w:val="22"/>
          <w:szCs w:val="22"/>
        </w:rPr>
        <w:t>S</w:t>
      </w:r>
      <w:r w:rsidR="00FD18E4" w:rsidRPr="00C608B7">
        <w:rPr>
          <w:rFonts w:ascii="Verdana" w:hAnsi="Verdana"/>
          <w:sz w:val="22"/>
          <w:szCs w:val="22"/>
        </w:rPr>
        <w:t xml:space="preserve">uggestions for additions or </w:t>
      </w:r>
      <w:r w:rsidR="00FD18E4">
        <w:rPr>
          <w:rFonts w:ascii="Verdana" w:hAnsi="Verdana"/>
          <w:sz w:val="22"/>
          <w:szCs w:val="22"/>
        </w:rPr>
        <w:t>other changes to the appendix</w:t>
      </w:r>
      <w:r w:rsidR="00FD18E4" w:rsidRPr="00C608B7">
        <w:rPr>
          <w:rFonts w:ascii="Verdana" w:hAnsi="Verdana"/>
          <w:sz w:val="22"/>
          <w:szCs w:val="22"/>
        </w:rPr>
        <w:t xml:space="preserve"> may be emailed to </w:t>
      </w:r>
      <w:hyperlink r:id="rId11" w:history="1">
        <w:r w:rsidR="00FD18E4" w:rsidRPr="00C608B7">
          <w:rPr>
            <w:rStyle w:val="Hyperlink"/>
            <w:rFonts w:ascii="Verdana" w:hAnsi="Verdana"/>
            <w:sz w:val="22"/>
            <w:szCs w:val="22"/>
          </w:rPr>
          <w:t>TMTMEP@uspto.gov</w:t>
        </w:r>
      </w:hyperlink>
      <w:r w:rsidR="00FD18E4" w:rsidRPr="00C608B7">
        <w:rPr>
          <w:rStyle w:val="Hyperlink"/>
          <w:rFonts w:ascii="Verdana" w:hAnsi="Verdana"/>
          <w:color w:val="000000" w:themeColor="text1"/>
          <w:sz w:val="22"/>
          <w:szCs w:val="22"/>
          <w:u w:val="none"/>
        </w:rPr>
        <w:t>.</w:t>
      </w:r>
    </w:p>
    <w:p w14:paraId="609C683E" w14:textId="77777777" w:rsidR="00FD18E4" w:rsidRPr="00E530B8" w:rsidRDefault="00FD18E4" w:rsidP="00FD18E4">
      <w:pPr>
        <w:ind w:left="1440"/>
        <w:rPr>
          <w:rFonts w:ascii="Verdana" w:hAnsi="Verdana"/>
          <w:sz w:val="22"/>
          <w:szCs w:val="22"/>
          <w:lang w:val="en"/>
        </w:rPr>
      </w:pPr>
    </w:p>
    <w:p w14:paraId="6B57FFC4" w14:textId="77777777" w:rsidR="00C608B7" w:rsidRDefault="00C608B7" w:rsidP="003B4B66">
      <w:pPr>
        <w:pStyle w:val="ListParagraph"/>
        <w:numPr>
          <w:ilvl w:val="0"/>
          <w:numId w:val="1"/>
        </w:numPr>
        <w:rPr>
          <w:rFonts w:ascii="Verdana" w:hAnsi="Verdana"/>
          <w:b/>
          <w:sz w:val="22"/>
          <w:szCs w:val="22"/>
        </w:rPr>
      </w:pPr>
      <w:r w:rsidRPr="0043015A">
        <w:rPr>
          <w:rFonts w:ascii="Verdana" w:hAnsi="Verdana"/>
          <w:b/>
          <w:sz w:val="22"/>
          <w:szCs w:val="22"/>
        </w:rPr>
        <w:t xml:space="preserve">The entity’s </w:t>
      </w:r>
      <w:r w:rsidRPr="001945FA">
        <w:rPr>
          <w:rFonts w:ascii="Verdana" w:hAnsi="Verdana"/>
          <w:b/>
          <w:sz w:val="22"/>
          <w:szCs w:val="22"/>
          <w:u w:val="single"/>
        </w:rPr>
        <w:t>country</w:t>
      </w:r>
      <w:r w:rsidRPr="0043015A">
        <w:rPr>
          <w:rFonts w:ascii="Verdana" w:hAnsi="Verdana"/>
          <w:b/>
          <w:sz w:val="22"/>
          <w:szCs w:val="22"/>
        </w:rPr>
        <w:t xml:space="preserve"> of citizenship, incorporatio</w:t>
      </w:r>
      <w:r w:rsidR="0043015A">
        <w:rPr>
          <w:rFonts w:ascii="Verdana" w:hAnsi="Verdana"/>
          <w:b/>
          <w:sz w:val="22"/>
          <w:szCs w:val="22"/>
        </w:rPr>
        <w:t xml:space="preserve">n, or organization is the same. </w:t>
      </w:r>
    </w:p>
    <w:p w14:paraId="29FBFBF7" w14:textId="77777777" w:rsidR="0043015A" w:rsidRDefault="0043015A" w:rsidP="0043015A">
      <w:pPr>
        <w:rPr>
          <w:rFonts w:ascii="Verdana" w:hAnsi="Verdana"/>
          <w:b/>
          <w:sz w:val="22"/>
          <w:szCs w:val="22"/>
        </w:rPr>
      </w:pPr>
    </w:p>
    <w:p w14:paraId="42FDECA6" w14:textId="77777777" w:rsidR="0043015A" w:rsidRPr="008979C0" w:rsidRDefault="0043015A" w:rsidP="005D21F6">
      <w:pPr>
        <w:ind w:left="1440"/>
        <w:rPr>
          <w:rFonts w:ascii="Verdana" w:hAnsi="Verdana"/>
          <w:sz w:val="22"/>
          <w:szCs w:val="22"/>
        </w:rPr>
      </w:pPr>
      <w:r>
        <w:rPr>
          <w:rFonts w:ascii="Verdana" w:hAnsi="Verdana"/>
          <w:sz w:val="22"/>
          <w:szCs w:val="22"/>
        </w:rPr>
        <w:t>If the designated country of citizenship, incorporation, or organization differs in the respective records, the examining attorney may not presume that the marks have the same owner, even if the owner name, entity type, and other ownership information is otherwise the same</w:t>
      </w:r>
      <w:r w:rsidR="00FF7A65">
        <w:rPr>
          <w:rFonts w:ascii="Verdana" w:hAnsi="Verdana"/>
          <w:sz w:val="22"/>
          <w:szCs w:val="22"/>
        </w:rPr>
        <w:t xml:space="preserve"> or equivalent</w:t>
      </w:r>
      <w:r>
        <w:rPr>
          <w:rFonts w:ascii="Verdana" w:hAnsi="Verdana"/>
          <w:sz w:val="22"/>
          <w:szCs w:val="22"/>
        </w:rPr>
        <w:t>.</w:t>
      </w:r>
      <w:r w:rsidR="00C43FAB">
        <w:rPr>
          <w:rFonts w:ascii="Verdana" w:hAnsi="Verdana"/>
          <w:sz w:val="22"/>
          <w:szCs w:val="22"/>
        </w:rPr>
        <w:t xml:space="preserve"> </w:t>
      </w:r>
      <w:r w:rsidR="00C43FAB">
        <w:rPr>
          <w:rFonts w:ascii="Verdana" w:hAnsi="Verdana"/>
          <w:i/>
          <w:sz w:val="22"/>
          <w:szCs w:val="22"/>
        </w:rPr>
        <w:t xml:space="preserve">See </w:t>
      </w:r>
      <w:hyperlink w:anchor="Ex3" w:tooltip="Go to Example 3" w:history="1">
        <w:r w:rsidR="00C43FAB" w:rsidRPr="003033DE">
          <w:rPr>
            <w:rStyle w:val="Hyperlink"/>
            <w:rFonts w:ascii="Verdana" w:hAnsi="Verdana"/>
            <w:sz w:val="22"/>
            <w:szCs w:val="22"/>
          </w:rPr>
          <w:t xml:space="preserve">Example </w:t>
        </w:r>
        <w:r w:rsidR="003033DE" w:rsidRPr="003033DE">
          <w:rPr>
            <w:rStyle w:val="Hyperlink"/>
            <w:rFonts w:ascii="Verdana" w:hAnsi="Verdana"/>
            <w:sz w:val="22"/>
            <w:szCs w:val="22"/>
          </w:rPr>
          <w:t>3</w:t>
        </w:r>
      </w:hyperlink>
      <w:r w:rsidR="00C43FAB">
        <w:rPr>
          <w:rFonts w:ascii="Verdana" w:hAnsi="Verdana"/>
          <w:sz w:val="22"/>
          <w:szCs w:val="22"/>
        </w:rPr>
        <w:t>.</w:t>
      </w:r>
      <w:r>
        <w:rPr>
          <w:rFonts w:ascii="Verdana" w:hAnsi="Verdana"/>
          <w:sz w:val="22"/>
          <w:szCs w:val="22"/>
        </w:rPr>
        <w:t xml:space="preserve">  </w:t>
      </w:r>
    </w:p>
    <w:p w14:paraId="226C85CE" w14:textId="77777777" w:rsidR="0043015A" w:rsidRPr="00C608B7" w:rsidRDefault="0043015A" w:rsidP="00C608B7">
      <w:pPr>
        <w:pStyle w:val="ListParagraph"/>
        <w:rPr>
          <w:rFonts w:ascii="Verdana" w:hAnsi="Verdana"/>
          <w:sz w:val="22"/>
          <w:szCs w:val="22"/>
        </w:rPr>
      </w:pPr>
    </w:p>
    <w:p w14:paraId="38560016" w14:textId="77777777" w:rsidR="00DF1841" w:rsidRPr="00FE11A0" w:rsidRDefault="00DF1841" w:rsidP="00DF1841">
      <w:pPr>
        <w:rPr>
          <w:rFonts w:ascii="Verdana" w:hAnsi="Verdana"/>
          <w:b/>
          <w:sz w:val="22"/>
          <w:szCs w:val="22"/>
        </w:rPr>
      </w:pPr>
      <w:r>
        <w:rPr>
          <w:rFonts w:ascii="Verdana" w:hAnsi="Verdana"/>
          <w:b/>
          <w:sz w:val="22"/>
          <w:szCs w:val="22"/>
        </w:rPr>
        <w:t xml:space="preserve">Applicant May Respond to §2(d) Refusal by Verifying Ownership </w:t>
      </w:r>
    </w:p>
    <w:p w14:paraId="564E1412" w14:textId="77777777" w:rsidR="00DF1841" w:rsidRDefault="00DF1841" w:rsidP="00DF1841">
      <w:pPr>
        <w:rPr>
          <w:rFonts w:ascii="Verdana" w:hAnsi="Verdana"/>
          <w:sz w:val="22"/>
          <w:szCs w:val="22"/>
        </w:rPr>
      </w:pPr>
    </w:p>
    <w:p w14:paraId="0C64ECB4" w14:textId="77777777" w:rsidR="004F5081" w:rsidRDefault="00BE6AAA" w:rsidP="00DF1841">
      <w:pPr>
        <w:rPr>
          <w:rFonts w:ascii="Verdana" w:hAnsi="Verdana"/>
          <w:sz w:val="22"/>
          <w:szCs w:val="22"/>
          <w:lang w:val="en"/>
        </w:rPr>
      </w:pPr>
      <w:r>
        <w:rPr>
          <w:rFonts w:ascii="Verdana" w:hAnsi="Verdana"/>
          <w:sz w:val="22"/>
          <w:szCs w:val="22"/>
        </w:rPr>
        <w:t xml:space="preserve">If </w:t>
      </w:r>
      <w:r w:rsidR="00E142AC">
        <w:rPr>
          <w:rFonts w:ascii="Verdana" w:hAnsi="Verdana"/>
          <w:sz w:val="22"/>
          <w:szCs w:val="22"/>
        </w:rPr>
        <w:t xml:space="preserve">an </w:t>
      </w:r>
      <w:r>
        <w:rPr>
          <w:rFonts w:ascii="Verdana" w:hAnsi="Verdana"/>
          <w:sz w:val="22"/>
          <w:szCs w:val="22"/>
        </w:rPr>
        <w:t xml:space="preserve">examining attorney </w:t>
      </w:r>
      <w:r w:rsidR="004F5081">
        <w:rPr>
          <w:rFonts w:ascii="Verdana" w:hAnsi="Verdana"/>
          <w:sz w:val="22"/>
          <w:szCs w:val="22"/>
        </w:rPr>
        <w:t xml:space="preserve">refuses registration </w:t>
      </w:r>
      <w:r>
        <w:rPr>
          <w:rFonts w:ascii="Verdana" w:hAnsi="Verdana"/>
          <w:sz w:val="22"/>
          <w:szCs w:val="22"/>
        </w:rPr>
        <w:t>un</w:t>
      </w:r>
      <w:r w:rsidR="004F5081">
        <w:rPr>
          <w:rFonts w:ascii="Verdana" w:hAnsi="Verdana"/>
          <w:sz w:val="22"/>
          <w:szCs w:val="22"/>
        </w:rPr>
        <w:t>d</w:t>
      </w:r>
      <w:r w:rsidR="00C43FAB">
        <w:rPr>
          <w:rFonts w:ascii="Verdana" w:hAnsi="Verdana"/>
          <w:sz w:val="22"/>
          <w:szCs w:val="22"/>
        </w:rPr>
        <w:t xml:space="preserve">er </w:t>
      </w:r>
      <w:r w:rsidR="00367E23">
        <w:rPr>
          <w:rFonts w:ascii="Verdana" w:hAnsi="Verdana"/>
          <w:sz w:val="22"/>
          <w:szCs w:val="22"/>
        </w:rPr>
        <w:t>§</w:t>
      </w:r>
      <w:r w:rsidR="00C43FAB">
        <w:rPr>
          <w:rFonts w:ascii="Verdana" w:hAnsi="Verdana"/>
          <w:sz w:val="22"/>
          <w:szCs w:val="22"/>
        </w:rPr>
        <w:t>2(d)</w:t>
      </w:r>
      <w:r w:rsidR="00E142AC">
        <w:rPr>
          <w:rFonts w:ascii="Verdana" w:hAnsi="Verdana"/>
          <w:sz w:val="22"/>
          <w:szCs w:val="22"/>
        </w:rPr>
        <w:t xml:space="preserve"> because all three </w:t>
      </w:r>
      <w:r w:rsidR="001945FA">
        <w:rPr>
          <w:rFonts w:ascii="Verdana" w:hAnsi="Verdana"/>
          <w:sz w:val="22"/>
          <w:szCs w:val="22"/>
        </w:rPr>
        <w:t xml:space="preserve">of the </w:t>
      </w:r>
      <w:r w:rsidR="00E142AC">
        <w:rPr>
          <w:rFonts w:ascii="Verdana" w:hAnsi="Verdana"/>
          <w:sz w:val="22"/>
          <w:szCs w:val="22"/>
        </w:rPr>
        <w:t xml:space="preserve">conditions </w:t>
      </w:r>
      <w:r w:rsidR="00367E23">
        <w:rPr>
          <w:rFonts w:ascii="Verdana" w:hAnsi="Verdana"/>
          <w:sz w:val="22"/>
          <w:szCs w:val="22"/>
        </w:rPr>
        <w:t xml:space="preserve">listed above </w:t>
      </w:r>
      <w:r w:rsidR="00E142AC">
        <w:rPr>
          <w:rFonts w:ascii="Verdana" w:hAnsi="Verdana"/>
          <w:sz w:val="22"/>
          <w:szCs w:val="22"/>
        </w:rPr>
        <w:t>are not met</w:t>
      </w:r>
      <w:r w:rsidR="00C43FAB">
        <w:rPr>
          <w:rFonts w:ascii="Verdana" w:hAnsi="Verdana"/>
          <w:sz w:val="22"/>
          <w:szCs w:val="22"/>
        </w:rPr>
        <w:t xml:space="preserve">, the </w:t>
      </w:r>
      <w:r w:rsidR="00DF1841">
        <w:rPr>
          <w:rFonts w:ascii="Verdana" w:hAnsi="Verdana"/>
          <w:sz w:val="22"/>
          <w:szCs w:val="22"/>
          <w:lang w:val="en"/>
        </w:rPr>
        <w:t>applicant may respond to the refusal by verifying</w:t>
      </w:r>
      <w:r w:rsidR="00DF1841" w:rsidRPr="00EB2953">
        <w:rPr>
          <w:rFonts w:ascii="Verdana" w:hAnsi="Verdana"/>
          <w:sz w:val="22"/>
          <w:szCs w:val="22"/>
          <w:lang w:val="en"/>
        </w:rPr>
        <w:t xml:space="preserve"> its ownership claim of the cited registration</w:t>
      </w:r>
      <w:r w:rsidR="00DF1841">
        <w:rPr>
          <w:rFonts w:ascii="Verdana" w:hAnsi="Verdana"/>
          <w:sz w:val="22"/>
          <w:szCs w:val="22"/>
          <w:lang w:val="en"/>
        </w:rPr>
        <w:t xml:space="preserve"> in any of the following ways</w:t>
      </w:r>
      <w:r w:rsidR="00DF1841" w:rsidRPr="00EB2953">
        <w:rPr>
          <w:rFonts w:ascii="Verdana" w:hAnsi="Verdana"/>
          <w:sz w:val="22"/>
          <w:szCs w:val="22"/>
          <w:lang w:val="en"/>
        </w:rPr>
        <w:t>: </w:t>
      </w:r>
    </w:p>
    <w:p w14:paraId="16D97A07" w14:textId="77777777" w:rsidR="00F6229D" w:rsidRDefault="00F6229D" w:rsidP="00DF1841">
      <w:pPr>
        <w:rPr>
          <w:rFonts w:ascii="Verdana" w:hAnsi="Verdana"/>
          <w:sz w:val="22"/>
          <w:szCs w:val="22"/>
          <w:lang w:val="en"/>
        </w:rPr>
      </w:pPr>
    </w:p>
    <w:p w14:paraId="302B20B5" w14:textId="77777777" w:rsidR="00F6229D" w:rsidRDefault="00F6229D" w:rsidP="00F6229D">
      <w:pPr>
        <w:pStyle w:val="ListParagraph"/>
        <w:numPr>
          <w:ilvl w:val="0"/>
          <w:numId w:val="2"/>
        </w:numPr>
        <w:ind w:left="1440"/>
        <w:rPr>
          <w:rFonts w:ascii="Verdana" w:hAnsi="Verdana"/>
          <w:sz w:val="22"/>
          <w:szCs w:val="22"/>
          <w:lang w:val="en"/>
        </w:rPr>
      </w:pPr>
      <w:r>
        <w:rPr>
          <w:rFonts w:ascii="Verdana" w:hAnsi="Verdana"/>
          <w:sz w:val="22"/>
          <w:szCs w:val="22"/>
          <w:lang w:val="en"/>
        </w:rPr>
        <w:t>Submitting</w:t>
      </w:r>
      <w:r w:rsidRPr="00F6229D">
        <w:rPr>
          <w:rFonts w:ascii="Verdana" w:hAnsi="Verdana"/>
          <w:sz w:val="22"/>
          <w:szCs w:val="22"/>
          <w:lang w:val="en"/>
        </w:rPr>
        <w:t xml:space="preserve"> </w:t>
      </w:r>
      <w:r w:rsidRPr="00EB2953">
        <w:rPr>
          <w:rFonts w:ascii="Verdana" w:hAnsi="Verdana"/>
          <w:sz w:val="22"/>
          <w:szCs w:val="22"/>
          <w:lang w:val="en"/>
        </w:rPr>
        <w:t xml:space="preserve">a statement, supported by an affidavit or declaration under </w:t>
      </w:r>
      <w:r w:rsidRPr="009D47CA">
        <w:rPr>
          <w:rFonts w:ascii="Verdana" w:hAnsi="Verdana"/>
          <w:bCs/>
          <w:sz w:val="22"/>
          <w:szCs w:val="22"/>
          <w:lang w:val="en"/>
        </w:rPr>
        <w:t>37 C.F.R. §2.20</w:t>
      </w:r>
      <w:r w:rsidRPr="00EB2953">
        <w:rPr>
          <w:rFonts w:ascii="Verdana" w:hAnsi="Verdana"/>
          <w:sz w:val="22"/>
          <w:szCs w:val="22"/>
          <w:lang w:val="en"/>
        </w:rPr>
        <w:t xml:space="preserve">, that the applicant is the </w:t>
      </w:r>
      <w:r>
        <w:rPr>
          <w:rFonts w:ascii="Verdana" w:hAnsi="Verdana"/>
          <w:sz w:val="22"/>
          <w:szCs w:val="22"/>
          <w:lang w:val="en"/>
        </w:rPr>
        <w:t>owner of the cited registration;</w:t>
      </w:r>
    </w:p>
    <w:p w14:paraId="01928225" w14:textId="77777777" w:rsidR="00F6229D" w:rsidRDefault="00F6229D" w:rsidP="00F6229D">
      <w:pPr>
        <w:pStyle w:val="ListParagraph"/>
        <w:ind w:left="1080"/>
        <w:rPr>
          <w:rFonts w:ascii="Verdana" w:hAnsi="Verdana"/>
          <w:sz w:val="22"/>
          <w:szCs w:val="22"/>
          <w:lang w:val="en"/>
        </w:rPr>
      </w:pPr>
    </w:p>
    <w:p w14:paraId="6C97765E" w14:textId="77777777" w:rsidR="00F6229D" w:rsidRDefault="004F5081" w:rsidP="00F6229D">
      <w:pPr>
        <w:pStyle w:val="ListParagraph"/>
        <w:numPr>
          <w:ilvl w:val="0"/>
          <w:numId w:val="2"/>
        </w:numPr>
        <w:ind w:left="1440"/>
        <w:rPr>
          <w:rFonts w:ascii="Verdana" w:hAnsi="Verdana"/>
          <w:sz w:val="22"/>
          <w:szCs w:val="22"/>
          <w:lang w:val="en"/>
        </w:rPr>
      </w:pPr>
      <w:r w:rsidRPr="00F6229D">
        <w:rPr>
          <w:rFonts w:ascii="Verdana" w:hAnsi="Verdana"/>
          <w:sz w:val="22"/>
          <w:szCs w:val="22"/>
          <w:lang w:val="en"/>
        </w:rPr>
        <w:t>S</w:t>
      </w:r>
      <w:r w:rsidR="00DF1841" w:rsidRPr="00F6229D">
        <w:rPr>
          <w:rFonts w:ascii="Verdana" w:hAnsi="Verdana"/>
          <w:sz w:val="22"/>
          <w:szCs w:val="22"/>
          <w:lang w:val="en"/>
        </w:rPr>
        <w:t>ubmit</w:t>
      </w:r>
      <w:r w:rsidRPr="00F6229D">
        <w:rPr>
          <w:rFonts w:ascii="Verdana" w:hAnsi="Verdana"/>
          <w:sz w:val="22"/>
          <w:szCs w:val="22"/>
          <w:lang w:val="en"/>
        </w:rPr>
        <w:t>ting</w:t>
      </w:r>
      <w:r w:rsidR="00DF1841" w:rsidRPr="00F6229D">
        <w:rPr>
          <w:rFonts w:ascii="Verdana" w:hAnsi="Verdana"/>
          <w:sz w:val="22"/>
          <w:szCs w:val="22"/>
          <w:lang w:val="en"/>
        </w:rPr>
        <w:t xml:space="preserve"> </w:t>
      </w:r>
      <w:r w:rsidRPr="00F6229D">
        <w:rPr>
          <w:rFonts w:ascii="Verdana" w:hAnsi="Verdana"/>
          <w:sz w:val="22"/>
          <w:szCs w:val="22"/>
          <w:lang w:val="en"/>
        </w:rPr>
        <w:t>evidence of</w:t>
      </w:r>
      <w:r w:rsidR="00DF1841" w:rsidRPr="00F6229D">
        <w:rPr>
          <w:rFonts w:ascii="Verdana" w:hAnsi="Verdana"/>
          <w:sz w:val="22"/>
          <w:szCs w:val="22"/>
          <w:lang w:val="en"/>
        </w:rPr>
        <w:t xml:space="preserve"> the chain of title; or </w:t>
      </w:r>
    </w:p>
    <w:p w14:paraId="09A4E572" w14:textId="77777777" w:rsidR="00F6229D" w:rsidRPr="00F6229D" w:rsidRDefault="00F6229D" w:rsidP="00F6229D">
      <w:pPr>
        <w:pStyle w:val="ListParagraph"/>
        <w:rPr>
          <w:rFonts w:ascii="Verdana" w:hAnsi="Verdana"/>
          <w:sz w:val="22"/>
          <w:szCs w:val="22"/>
          <w:lang w:val="en"/>
        </w:rPr>
      </w:pPr>
    </w:p>
    <w:p w14:paraId="1602F7A5" w14:textId="77777777" w:rsidR="004F5081" w:rsidRPr="00F6229D" w:rsidRDefault="004F5081" w:rsidP="00F6229D">
      <w:pPr>
        <w:pStyle w:val="ListParagraph"/>
        <w:numPr>
          <w:ilvl w:val="0"/>
          <w:numId w:val="2"/>
        </w:numPr>
        <w:ind w:left="1440"/>
        <w:rPr>
          <w:rFonts w:ascii="Verdana" w:hAnsi="Verdana"/>
          <w:sz w:val="22"/>
          <w:szCs w:val="22"/>
          <w:lang w:val="en"/>
        </w:rPr>
      </w:pPr>
      <w:r w:rsidRPr="00F6229D">
        <w:rPr>
          <w:rFonts w:ascii="Verdana" w:hAnsi="Verdana"/>
          <w:sz w:val="22"/>
          <w:szCs w:val="22"/>
          <w:lang w:val="en"/>
        </w:rPr>
        <w:t>R</w:t>
      </w:r>
      <w:proofErr w:type="spellStart"/>
      <w:r w:rsidR="00DF1841" w:rsidRPr="00F6229D">
        <w:rPr>
          <w:rFonts w:ascii="Verdana" w:hAnsi="Verdana"/>
          <w:sz w:val="22"/>
          <w:szCs w:val="22"/>
        </w:rPr>
        <w:t>ecord</w:t>
      </w:r>
      <w:r w:rsidRPr="00F6229D">
        <w:rPr>
          <w:rFonts w:ascii="Verdana" w:hAnsi="Verdana"/>
          <w:sz w:val="22"/>
          <w:szCs w:val="22"/>
        </w:rPr>
        <w:t>ing</w:t>
      </w:r>
      <w:proofErr w:type="spellEnd"/>
      <w:r w:rsidR="00DF1841" w:rsidRPr="00F6229D">
        <w:rPr>
          <w:rFonts w:ascii="Verdana" w:hAnsi="Verdana"/>
          <w:sz w:val="22"/>
          <w:szCs w:val="22"/>
        </w:rPr>
        <w:t xml:space="preserve"> an assignment with the USPTO’s Assignment Recordation Branch for registrations based on </w:t>
      </w:r>
      <w:r w:rsidR="00367E23">
        <w:rPr>
          <w:rFonts w:ascii="Verdana" w:hAnsi="Verdana"/>
          <w:sz w:val="22"/>
          <w:szCs w:val="22"/>
        </w:rPr>
        <w:t>§</w:t>
      </w:r>
      <w:r w:rsidR="00DF1841" w:rsidRPr="00F6229D">
        <w:rPr>
          <w:rFonts w:ascii="Verdana" w:hAnsi="Verdana"/>
          <w:sz w:val="22"/>
          <w:szCs w:val="22"/>
        </w:rPr>
        <w:t xml:space="preserve">1 or </w:t>
      </w:r>
      <w:r w:rsidR="00367E23">
        <w:rPr>
          <w:rFonts w:ascii="Verdana" w:hAnsi="Verdana"/>
          <w:sz w:val="22"/>
          <w:szCs w:val="22"/>
        </w:rPr>
        <w:t>§</w:t>
      </w:r>
      <w:r w:rsidR="00DF1841" w:rsidRPr="00F6229D">
        <w:rPr>
          <w:rFonts w:ascii="Verdana" w:hAnsi="Verdana"/>
          <w:sz w:val="22"/>
          <w:szCs w:val="22"/>
        </w:rPr>
        <w:t xml:space="preserve">44, or with the International Bureau of the World Intellectual Property Organization for registrations based on </w:t>
      </w:r>
      <w:r w:rsidR="00367E23">
        <w:rPr>
          <w:rFonts w:ascii="Verdana" w:hAnsi="Verdana"/>
          <w:sz w:val="22"/>
          <w:szCs w:val="22"/>
        </w:rPr>
        <w:t>§</w:t>
      </w:r>
      <w:r w:rsidR="00DF1841" w:rsidRPr="00F6229D">
        <w:rPr>
          <w:rFonts w:ascii="Verdana" w:hAnsi="Verdana"/>
          <w:sz w:val="22"/>
          <w:szCs w:val="22"/>
        </w:rPr>
        <w:t>66(a), and notify</w:t>
      </w:r>
      <w:r w:rsidR="00C77C4D">
        <w:rPr>
          <w:rFonts w:ascii="Verdana" w:hAnsi="Verdana"/>
          <w:sz w:val="22"/>
          <w:szCs w:val="22"/>
        </w:rPr>
        <w:t>ing</w:t>
      </w:r>
      <w:r w:rsidR="00DF1841" w:rsidRPr="00F6229D">
        <w:rPr>
          <w:rFonts w:ascii="Verdana" w:hAnsi="Verdana"/>
          <w:sz w:val="22"/>
          <w:szCs w:val="22"/>
        </w:rPr>
        <w:t xml:space="preserve"> the trademark examining attorney that the assignment has been duly recorded.</w:t>
      </w:r>
      <w:r w:rsidR="00DF1841" w:rsidRPr="00F6229D">
        <w:rPr>
          <w:rFonts w:ascii="Verdana" w:hAnsi="Verdana"/>
          <w:sz w:val="22"/>
          <w:szCs w:val="22"/>
          <w:lang w:val="en"/>
        </w:rPr>
        <w:t xml:space="preserve"> </w:t>
      </w:r>
    </w:p>
    <w:p w14:paraId="0AE33562" w14:textId="77777777" w:rsidR="004F5081" w:rsidRDefault="004F5081" w:rsidP="004F5081">
      <w:pPr>
        <w:rPr>
          <w:rFonts w:ascii="Verdana" w:hAnsi="Verdana"/>
          <w:sz w:val="22"/>
          <w:szCs w:val="22"/>
          <w:lang w:val="en"/>
        </w:rPr>
      </w:pPr>
    </w:p>
    <w:p w14:paraId="4983AC2B" w14:textId="7286D059" w:rsidR="00DF1841" w:rsidRPr="004F5081" w:rsidRDefault="00DF1841" w:rsidP="004F5081">
      <w:pPr>
        <w:rPr>
          <w:rFonts w:ascii="Verdana" w:hAnsi="Verdana"/>
          <w:sz w:val="22"/>
          <w:szCs w:val="22"/>
        </w:rPr>
      </w:pPr>
      <w:r w:rsidRPr="00EB2953">
        <w:rPr>
          <w:rFonts w:ascii="Verdana" w:hAnsi="Verdana"/>
          <w:sz w:val="22"/>
          <w:szCs w:val="22"/>
          <w:lang w:val="en"/>
        </w:rPr>
        <w:t>T</w:t>
      </w:r>
      <w:r w:rsidR="00705BA9">
        <w:rPr>
          <w:rFonts w:ascii="Verdana" w:hAnsi="Verdana"/>
          <w:sz w:val="22"/>
          <w:szCs w:val="22"/>
          <w:lang w:val="en"/>
        </w:rPr>
        <w:t>he foregoing</w:t>
      </w:r>
      <w:r w:rsidR="004F5081">
        <w:rPr>
          <w:rFonts w:ascii="Verdana" w:hAnsi="Verdana"/>
          <w:sz w:val="22"/>
          <w:szCs w:val="22"/>
          <w:lang w:val="en"/>
        </w:rPr>
        <w:t xml:space="preserve"> </w:t>
      </w:r>
      <w:r w:rsidR="009E3753">
        <w:rPr>
          <w:rFonts w:ascii="Verdana" w:hAnsi="Verdana"/>
          <w:sz w:val="22"/>
          <w:szCs w:val="22"/>
          <w:lang w:val="en"/>
        </w:rPr>
        <w:t xml:space="preserve">response </w:t>
      </w:r>
      <w:r w:rsidR="004F5081">
        <w:rPr>
          <w:rFonts w:ascii="Verdana" w:hAnsi="Verdana"/>
          <w:sz w:val="22"/>
          <w:szCs w:val="22"/>
          <w:lang w:val="en"/>
        </w:rPr>
        <w:t>options also apply when a</w:t>
      </w:r>
      <w:r w:rsidRPr="00EB2953">
        <w:rPr>
          <w:rFonts w:ascii="Verdana" w:hAnsi="Verdana"/>
          <w:sz w:val="22"/>
          <w:szCs w:val="22"/>
          <w:lang w:val="en"/>
        </w:rPr>
        <w:t xml:space="preserve"> pending </w:t>
      </w:r>
      <w:r w:rsidR="004F5081">
        <w:rPr>
          <w:rFonts w:ascii="Verdana" w:hAnsi="Verdana"/>
          <w:sz w:val="22"/>
          <w:szCs w:val="22"/>
          <w:lang w:val="en"/>
        </w:rPr>
        <w:t>conflicting application</w:t>
      </w:r>
      <w:r w:rsidRPr="00EB2953">
        <w:rPr>
          <w:rFonts w:ascii="Verdana" w:hAnsi="Verdana"/>
          <w:sz w:val="22"/>
          <w:szCs w:val="22"/>
          <w:lang w:val="en"/>
        </w:rPr>
        <w:t xml:space="preserve"> </w:t>
      </w:r>
      <w:r w:rsidR="004F5081">
        <w:rPr>
          <w:rFonts w:ascii="Verdana" w:hAnsi="Verdana"/>
          <w:sz w:val="22"/>
          <w:szCs w:val="22"/>
          <w:lang w:val="en"/>
        </w:rPr>
        <w:t>is</w:t>
      </w:r>
      <w:r w:rsidRPr="00EB2953">
        <w:rPr>
          <w:rFonts w:ascii="Verdana" w:hAnsi="Verdana"/>
          <w:sz w:val="22"/>
          <w:szCs w:val="22"/>
          <w:lang w:val="en"/>
        </w:rPr>
        <w:t xml:space="preserve"> cited as a potential bar to registration.</w:t>
      </w:r>
      <w:r w:rsidR="004F5081">
        <w:rPr>
          <w:rFonts w:ascii="Verdana" w:hAnsi="Verdana"/>
          <w:sz w:val="22"/>
          <w:szCs w:val="22"/>
          <w:lang w:val="en"/>
        </w:rPr>
        <w:t xml:space="preserve"> </w:t>
      </w:r>
      <w:r w:rsidR="004F5081">
        <w:rPr>
          <w:rFonts w:ascii="Verdana" w:hAnsi="Verdana"/>
          <w:i/>
          <w:sz w:val="22"/>
          <w:szCs w:val="22"/>
          <w:lang w:val="en"/>
        </w:rPr>
        <w:t xml:space="preserve">See </w:t>
      </w:r>
      <w:r w:rsidR="004F5081">
        <w:rPr>
          <w:rFonts w:ascii="Verdana" w:hAnsi="Verdana"/>
          <w:sz w:val="22"/>
          <w:szCs w:val="22"/>
          <w:lang w:val="en"/>
        </w:rPr>
        <w:t>TMEP §812.01.</w:t>
      </w:r>
      <w:r w:rsidR="00FD18E4">
        <w:rPr>
          <w:rFonts w:ascii="Verdana" w:hAnsi="Verdana"/>
          <w:sz w:val="22"/>
          <w:szCs w:val="22"/>
          <w:lang w:val="en"/>
        </w:rPr>
        <w:t xml:space="preserve"> In addition, an applicant may also provide evidence </w:t>
      </w:r>
      <w:r w:rsidR="00FF7A65">
        <w:rPr>
          <w:rFonts w:ascii="Verdana" w:hAnsi="Verdana"/>
          <w:sz w:val="22"/>
          <w:szCs w:val="22"/>
          <w:lang w:val="en"/>
        </w:rPr>
        <w:t xml:space="preserve">showing that </w:t>
      </w:r>
      <w:r w:rsidR="00FF7A65" w:rsidRPr="00FD18E4">
        <w:rPr>
          <w:rFonts w:ascii="Verdana" w:hAnsi="Verdana"/>
          <w:sz w:val="22"/>
          <w:szCs w:val="22"/>
        </w:rPr>
        <w:t xml:space="preserve">the designated entity types are </w:t>
      </w:r>
      <w:r w:rsidR="00FF7A65">
        <w:rPr>
          <w:rFonts w:ascii="Verdana" w:hAnsi="Verdana"/>
          <w:sz w:val="22"/>
          <w:szCs w:val="22"/>
        </w:rPr>
        <w:t xml:space="preserve">in fact </w:t>
      </w:r>
      <w:r w:rsidR="00FF7A65" w:rsidRPr="00FD18E4">
        <w:rPr>
          <w:rFonts w:ascii="Verdana" w:hAnsi="Verdana"/>
          <w:sz w:val="22"/>
          <w:szCs w:val="22"/>
        </w:rPr>
        <w:t>equivalent, even if Appendix D does not list the relevant entity types as equivalent</w:t>
      </w:r>
      <w:r w:rsidR="00FF7A65">
        <w:rPr>
          <w:rFonts w:ascii="Verdana" w:hAnsi="Verdana"/>
          <w:sz w:val="22"/>
          <w:szCs w:val="22"/>
        </w:rPr>
        <w:t>, and thus</w:t>
      </w:r>
      <w:r w:rsidR="00FD18E4">
        <w:rPr>
          <w:rFonts w:ascii="Verdana" w:hAnsi="Verdana"/>
          <w:sz w:val="22"/>
          <w:szCs w:val="22"/>
          <w:lang w:val="en"/>
        </w:rPr>
        <w:t xml:space="preserve"> the</w:t>
      </w:r>
      <w:r w:rsidR="00FD18E4" w:rsidRPr="00FD18E4">
        <w:t xml:space="preserve"> </w:t>
      </w:r>
      <w:r w:rsidR="00FD18E4" w:rsidRPr="00FD18E4">
        <w:rPr>
          <w:rFonts w:ascii="Verdana" w:hAnsi="Verdana"/>
          <w:sz w:val="22"/>
          <w:szCs w:val="22"/>
        </w:rPr>
        <w:t>owners in the respective records are the same</w:t>
      </w:r>
      <w:r w:rsidR="00FD18E4">
        <w:rPr>
          <w:rFonts w:ascii="Verdana" w:hAnsi="Verdana"/>
          <w:sz w:val="22"/>
          <w:szCs w:val="22"/>
        </w:rPr>
        <w:t xml:space="preserve">. </w:t>
      </w:r>
      <w:r w:rsidR="000B5094">
        <w:rPr>
          <w:rFonts w:ascii="Verdana" w:hAnsi="Verdana"/>
          <w:sz w:val="22"/>
          <w:szCs w:val="22"/>
        </w:rPr>
        <w:t xml:space="preserve">And, if appropriate, an owner may resolve an inconsistency in the ownership information by clarifying indefinite </w:t>
      </w:r>
      <w:r w:rsidR="00B26849">
        <w:rPr>
          <w:rFonts w:ascii="Verdana" w:hAnsi="Verdana"/>
          <w:sz w:val="22"/>
          <w:szCs w:val="22"/>
        </w:rPr>
        <w:t xml:space="preserve">or incorrect </w:t>
      </w:r>
      <w:r w:rsidR="000B5094">
        <w:rPr>
          <w:rFonts w:ascii="Verdana" w:hAnsi="Verdana"/>
          <w:sz w:val="22"/>
          <w:szCs w:val="22"/>
        </w:rPr>
        <w:t>entity</w:t>
      </w:r>
      <w:r w:rsidR="00B26849">
        <w:rPr>
          <w:rFonts w:ascii="Verdana" w:hAnsi="Verdana"/>
          <w:sz w:val="22"/>
          <w:szCs w:val="22"/>
        </w:rPr>
        <w:t xml:space="preserve"> terminology or information </w:t>
      </w:r>
      <w:r w:rsidR="000B5094">
        <w:rPr>
          <w:rFonts w:ascii="Verdana" w:hAnsi="Verdana"/>
          <w:sz w:val="22"/>
          <w:szCs w:val="22"/>
        </w:rPr>
        <w:t xml:space="preserve">through an amendment to the application or a §7 correction of the registration. </w:t>
      </w:r>
      <w:r w:rsidR="00950C39">
        <w:rPr>
          <w:rFonts w:ascii="Verdana" w:hAnsi="Verdana"/>
          <w:i/>
          <w:sz w:val="22"/>
          <w:szCs w:val="22"/>
        </w:rPr>
        <w:t xml:space="preserve">See </w:t>
      </w:r>
      <w:r w:rsidR="007E6614">
        <w:rPr>
          <w:rFonts w:ascii="Verdana" w:hAnsi="Verdana"/>
          <w:sz w:val="22"/>
          <w:szCs w:val="22"/>
        </w:rPr>
        <w:t>TMEP §§</w:t>
      </w:r>
      <w:r w:rsidR="00950C39">
        <w:rPr>
          <w:rFonts w:ascii="Verdana" w:hAnsi="Verdana"/>
          <w:sz w:val="22"/>
          <w:szCs w:val="22"/>
        </w:rPr>
        <w:t xml:space="preserve">713, 1609.10(b). </w:t>
      </w:r>
      <w:r w:rsidR="00FD18E4">
        <w:rPr>
          <w:rFonts w:ascii="Verdana" w:hAnsi="Verdana"/>
          <w:sz w:val="22"/>
          <w:szCs w:val="22"/>
        </w:rPr>
        <w:t xml:space="preserve"> </w:t>
      </w:r>
      <w:r w:rsidR="00FD18E4">
        <w:rPr>
          <w:rFonts w:ascii="Verdana" w:hAnsi="Verdana"/>
          <w:sz w:val="22"/>
          <w:szCs w:val="22"/>
          <w:lang w:val="en"/>
        </w:rPr>
        <w:t xml:space="preserve"> </w:t>
      </w:r>
    </w:p>
    <w:p w14:paraId="5B70D6F8" w14:textId="77777777" w:rsidR="00DF1841" w:rsidRDefault="00DF1841" w:rsidP="001C3BFC">
      <w:pPr>
        <w:rPr>
          <w:rFonts w:ascii="Verdana" w:hAnsi="Verdana"/>
          <w:b/>
          <w:sz w:val="22"/>
          <w:szCs w:val="22"/>
        </w:rPr>
      </w:pPr>
    </w:p>
    <w:p w14:paraId="12F3D0C6" w14:textId="77777777" w:rsidR="001C3BFC" w:rsidRPr="0094739A" w:rsidRDefault="00160028" w:rsidP="001C3BFC">
      <w:pPr>
        <w:rPr>
          <w:rFonts w:ascii="Verdana" w:hAnsi="Verdana"/>
          <w:b/>
          <w:sz w:val="22"/>
          <w:szCs w:val="22"/>
        </w:rPr>
      </w:pPr>
      <w:r w:rsidRPr="0094739A">
        <w:rPr>
          <w:rFonts w:ascii="Verdana" w:hAnsi="Verdana"/>
          <w:b/>
          <w:sz w:val="22"/>
          <w:szCs w:val="22"/>
        </w:rPr>
        <w:t>Examples</w:t>
      </w:r>
    </w:p>
    <w:p w14:paraId="2E9CE5E4" w14:textId="77777777" w:rsidR="00F46CA6" w:rsidRDefault="00F46CA6" w:rsidP="001C3BFC">
      <w:pPr>
        <w:rPr>
          <w:rFonts w:ascii="Verdana" w:hAnsi="Verdana"/>
          <w:i/>
          <w:sz w:val="22"/>
          <w:szCs w:val="22"/>
        </w:rPr>
      </w:pPr>
    </w:p>
    <w:p w14:paraId="542C2AE0" w14:textId="77777777" w:rsidR="00F46CA6" w:rsidRDefault="00F46CA6" w:rsidP="001C3BFC">
      <w:pPr>
        <w:rPr>
          <w:rFonts w:ascii="Verdana" w:hAnsi="Verdana"/>
          <w:sz w:val="22"/>
          <w:szCs w:val="22"/>
        </w:rPr>
      </w:pPr>
      <w:r>
        <w:rPr>
          <w:rFonts w:ascii="Verdana" w:hAnsi="Verdana"/>
          <w:sz w:val="22"/>
          <w:szCs w:val="22"/>
        </w:rPr>
        <w:t xml:space="preserve">The following examples illustrate the concepts discussed above: </w:t>
      </w:r>
    </w:p>
    <w:p w14:paraId="3D75C56B" w14:textId="77777777" w:rsidR="000F541E" w:rsidRDefault="000F541E" w:rsidP="001C3BFC">
      <w:pPr>
        <w:rPr>
          <w:rFonts w:ascii="Verdana" w:hAnsi="Verdana"/>
          <w:sz w:val="22"/>
          <w:szCs w:val="22"/>
        </w:rPr>
      </w:pPr>
    </w:p>
    <w:p w14:paraId="6A235EE1" w14:textId="0F414F9D" w:rsidR="000F541E" w:rsidRDefault="000F541E" w:rsidP="001C3BFC">
      <w:pPr>
        <w:rPr>
          <w:rFonts w:ascii="Verdana" w:hAnsi="Verdana"/>
          <w:i/>
          <w:sz w:val="22"/>
          <w:szCs w:val="22"/>
        </w:rPr>
      </w:pPr>
      <w:bookmarkStart w:id="1" w:name="Ex1"/>
      <w:r>
        <w:rPr>
          <w:rFonts w:ascii="Verdana" w:hAnsi="Verdana"/>
          <w:i/>
          <w:sz w:val="22"/>
          <w:szCs w:val="22"/>
        </w:rPr>
        <w:t>Example 1</w:t>
      </w:r>
      <w:r w:rsidR="00147016">
        <w:rPr>
          <w:rFonts w:ascii="Verdana" w:hAnsi="Verdana"/>
          <w:i/>
          <w:sz w:val="22"/>
          <w:szCs w:val="22"/>
        </w:rPr>
        <w:t xml:space="preserve"> </w:t>
      </w:r>
      <w:r w:rsidR="00905A07">
        <w:rPr>
          <w:rFonts w:ascii="Verdana" w:hAnsi="Verdana"/>
          <w:i/>
          <w:sz w:val="22"/>
          <w:szCs w:val="22"/>
        </w:rPr>
        <w:t>–</w:t>
      </w:r>
      <w:r w:rsidR="00147016">
        <w:rPr>
          <w:rFonts w:ascii="Verdana" w:hAnsi="Verdana"/>
          <w:i/>
          <w:sz w:val="22"/>
          <w:szCs w:val="22"/>
        </w:rPr>
        <w:t xml:space="preserve"> </w:t>
      </w:r>
      <w:r w:rsidR="00905A07">
        <w:rPr>
          <w:rFonts w:ascii="Verdana" w:hAnsi="Verdana"/>
          <w:i/>
          <w:sz w:val="22"/>
          <w:szCs w:val="22"/>
        </w:rPr>
        <w:t>No §2(d) Refusal</w:t>
      </w:r>
    </w:p>
    <w:bookmarkEnd w:id="1"/>
    <w:p w14:paraId="69FBC2BD" w14:textId="77777777" w:rsidR="00840969" w:rsidRPr="000F541E" w:rsidRDefault="00840969" w:rsidP="001C3BFC">
      <w:pPr>
        <w:rPr>
          <w:rFonts w:ascii="Verdana" w:hAnsi="Verdana"/>
          <w:i/>
          <w:sz w:val="22"/>
          <w:szCs w:val="22"/>
        </w:rPr>
      </w:pPr>
    </w:p>
    <w:tbl>
      <w:tblPr>
        <w:tblStyle w:val="GridTable5Dark-Accent1"/>
        <w:tblW w:w="0" w:type="auto"/>
        <w:tblLook w:val="04A0" w:firstRow="1" w:lastRow="0" w:firstColumn="1" w:lastColumn="0" w:noHBand="0" w:noVBand="1"/>
      </w:tblPr>
      <w:tblGrid>
        <w:gridCol w:w="1734"/>
        <w:gridCol w:w="2581"/>
        <w:gridCol w:w="2880"/>
        <w:gridCol w:w="2155"/>
      </w:tblGrid>
      <w:tr w:rsidR="000B4FBA" w14:paraId="30E23DBC" w14:textId="77777777" w:rsidTr="00EE5C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dxa"/>
            <w:tcBorders>
              <w:right w:val="single" w:sz="4" w:space="0" w:color="FFFFFF" w:themeColor="background1"/>
            </w:tcBorders>
            <w:shd w:val="clear" w:color="auto" w:fill="FFFFFF" w:themeFill="background1"/>
          </w:tcPr>
          <w:p w14:paraId="7A6AC72A" w14:textId="77777777" w:rsidR="00F46CA6" w:rsidRDefault="00F46CA6" w:rsidP="001C3BFC">
            <w:pPr>
              <w:rPr>
                <w:rFonts w:ascii="Verdana" w:hAnsi="Verdana"/>
                <w:sz w:val="22"/>
                <w:szCs w:val="22"/>
              </w:rPr>
            </w:pPr>
          </w:p>
        </w:tc>
        <w:tc>
          <w:tcPr>
            <w:tcW w:w="2581" w:type="dxa"/>
            <w:tcBorders>
              <w:left w:val="single" w:sz="4" w:space="0" w:color="FFFFFF" w:themeColor="background1"/>
              <w:right w:val="single" w:sz="4" w:space="0" w:color="FFFFFF" w:themeColor="background1"/>
            </w:tcBorders>
          </w:tcPr>
          <w:p w14:paraId="6D6795C9" w14:textId="77777777" w:rsidR="00F46CA6" w:rsidRDefault="00F46CA6" w:rsidP="001C3BFC">
            <w:pPr>
              <w:cnfStyle w:val="100000000000" w:firstRow="1" w:lastRow="0" w:firstColumn="0" w:lastColumn="0" w:oddVBand="0" w:evenVBand="0" w:oddHBand="0" w:evenHBand="0" w:firstRowFirstColumn="0" w:firstRowLastColumn="0" w:lastRowFirstColumn="0" w:lastRowLastColumn="0"/>
              <w:rPr>
                <w:rFonts w:ascii="Verdana" w:hAnsi="Verdana"/>
                <w:sz w:val="22"/>
                <w:szCs w:val="22"/>
              </w:rPr>
            </w:pPr>
            <w:r>
              <w:rPr>
                <w:rFonts w:ascii="Verdana" w:hAnsi="Verdana"/>
                <w:sz w:val="22"/>
                <w:szCs w:val="22"/>
              </w:rPr>
              <w:t>Owner Name</w:t>
            </w:r>
          </w:p>
        </w:tc>
        <w:tc>
          <w:tcPr>
            <w:tcW w:w="2880" w:type="dxa"/>
            <w:tcBorders>
              <w:left w:val="single" w:sz="4" w:space="0" w:color="FFFFFF" w:themeColor="background1"/>
              <w:right w:val="single" w:sz="4" w:space="0" w:color="FFFFFF" w:themeColor="background1"/>
            </w:tcBorders>
          </w:tcPr>
          <w:p w14:paraId="39EA1FDB" w14:textId="77777777" w:rsidR="00F46CA6" w:rsidRDefault="00F46CA6" w:rsidP="001C3BFC">
            <w:pPr>
              <w:cnfStyle w:val="100000000000" w:firstRow="1" w:lastRow="0" w:firstColumn="0" w:lastColumn="0" w:oddVBand="0" w:evenVBand="0" w:oddHBand="0" w:evenHBand="0" w:firstRowFirstColumn="0" w:firstRowLastColumn="0" w:lastRowFirstColumn="0" w:lastRowLastColumn="0"/>
              <w:rPr>
                <w:rFonts w:ascii="Verdana" w:hAnsi="Verdana"/>
                <w:sz w:val="22"/>
                <w:szCs w:val="22"/>
              </w:rPr>
            </w:pPr>
            <w:r>
              <w:rPr>
                <w:rFonts w:ascii="Verdana" w:hAnsi="Verdana"/>
                <w:sz w:val="22"/>
                <w:szCs w:val="22"/>
              </w:rPr>
              <w:t>Entity Designation</w:t>
            </w:r>
          </w:p>
        </w:tc>
        <w:tc>
          <w:tcPr>
            <w:tcW w:w="2155" w:type="dxa"/>
            <w:tcBorders>
              <w:left w:val="single" w:sz="4" w:space="0" w:color="FFFFFF" w:themeColor="background1"/>
            </w:tcBorders>
          </w:tcPr>
          <w:p w14:paraId="65D4D452" w14:textId="77777777" w:rsidR="00F46CA6" w:rsidRDefault="00F0424A" w:rsidP="00FD18E4">
            <w:pPr>
              <w:cnfStyle w:val="100000000000" w:firstRow="1" w:lastRow="0" w:firstColumn="0" w:lastColumn="0" w:oddVBand="0" w:evenVBand="0" w:oddHBand="0" w:evenHBand="0" w:firstRowFirstColumn="0" w:firstRowLastColumn="0" w:lastRowFirstColumn="0" w:lastRowLastColumn="0"/>
              <w:rPr>
                <w:rFonts w:ascii="Verdana" w:hAnsi="Verdana"/>
                <w:sz w:val="22"/>
                <w:szCs w:val="22"/>
              </w:rPr>
            </w:pPr>
            <w:r>
              <w:rPr>
                <w:rFonts w:ascii="Verdana" w:hAnsi="Verdana"/>
                <w:sz w:val="22"/>
                <w:szCs w:val="22"/>
              </w:rPr>
              <w:t xml:space="preserve">Country </w:t>
            </w:r>
          </w:p>
        </w:tc>
      </w:tr>
      <w:tr w:rsidR="00F46CA6" w14:paraId="721CDA66" w14:textId="77777777" w:rsidTr="00EE5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dxa"/>
          </w:tcPr>
          <w:p w14:paraId="72671702" w14:textId="77777777" w:rsidR="00F46CA6" w:rsidRDefault="00F46CA6" w:rsidP="001C3BFC">
            <w:pPr>
              <w:rPr>
                <w:rFonts w:ascii="Verdana" w:hAnsi="Verdana"/>
                <w:sz w:val="22"/>
                <w:szCs w:val="22"/>
              </w:rPr>
            </w:pPr>
            <w:r>
              <w:rPr>
                <w:rFonts w:ascii="Verdana" w:hAnsi="Verdana"/>
                <w:sz w:val="22"/>
                <w:szCs w:val="22"/>
              </w:rPr>
              <w:t>Application</w:t>
            </w:r>
          </w:p>
        </w:tc>
        <w:tc>
          <w:tcPr>
            <w:tcW w:w="2581" w:type="dxa"/>
            <w:shd w:val="clear" w:color="auto" w:fill="DBE5F1" w:themeFill="accent1" w:themeFillTint="33"/>
          </w:tcPr>
          <w:p w14:paraId="77EA8D07" w14:textId="77777777" w:rsidR="00F46CA6" w:rsidRDefault="00F46CA6" w:rsidP="001C3BFC">
            <w:pPr>
              <w:cnfStyle w:val="000000100000" w:firstRow="0" w:lastRow="0" w:firstColumn="0" w:lastColumn="0" w:oddVBand="0" w:evenVBand="0" w:oddHBand="1" w:evenHBand="0" w:firstRowFirstColumn="0" w:firstRowLastColumn="0" w:lastRowFirstColumn="0" w:lastRowLastColumn="0"/>
              <w:rPr>
                <w:rFonts w:ascii="Verdana" w:hAnsi="Verdana"/>
                <w:sz w:val="22"/>
                <w:szCs w:val="22"/>
              </w:rPr>
            </w:pPr>
            <w:r>
              <w:rPr>
                <w:rFonts w:ascii="Verdana" w:hAnsi="Verdana"/>
                <w:sz w:val="22"/>
                <w:szCs w:val="22"/>
              </w:rPr>
              <w:t>Acme Industries</w:t>
            </w:r>
          </w:p>
        </w:tc>
        <w:tc>
          <w:tcPr>
            <w:tcW w:w="2880" w:type="dxa"/>
            <w:shd w:val="clear" w:color="auto" w:fill="DBE5F1" w:themeFill="accent1" w:themeFillTint="33"/>
          </w:tcPr>
          <w:p w14:paraId="7C31358F" w14:textId="77777777" w:rsidR="00F46CA6" w:rsidRPr="00705BA9" w:rsidRDefault="00705BA9" w:rsidP="001C3BFC">
            <w:pPr>
              <w:cnfStyle w:val="000000100000" w:firstRow="0" w:lastRow="0" w:firstColumn="0" w:lastColumn="0" w:oddVBand="0" w:evenVBand="0" w:oddHBand="1" w:evenHBand="0" w:firstRowFirstColumn="0" w:firstRowLastColumn="0" w:lastRowFirstColumn="0" w:lastRowLastColumn="0"/>
              <w:rPr>
                <w:rFonts w:ascii="Verdana" w:hAnsi="Verdana"/>
                <w:sz w:val="22"/>
                <w:szCs w:val="22"/>
              </w:rPr>
            </w:pPr>
            <w:proofErr w:type="spellStart"/>
            <w:r w:rsidRPr="00705BA9">
              <w:rPr>
                <w:rFonts w:ascii="Verdana" w:hAnsi="Verdana"/>
                <w:iCs/>
                <w:sz w:val="22"/>
                <w:szCs w:val="22"/>
              </w:rPr>
              <w:t>Aktiengesellschaft</w:t>
            </w:r>
            <w:proofErr w:type="spellEnd"/>
          </w:p>
        </w:tc>
        <w:tc>
          <w:tcPr>
            <w:tcW w:w="2155" w:type="dxa"/>
            <w:shd w:val="clear" w:color="auto" w:fill="DBE5F1" w:themeFill="accent1" w:themeFillTint="33"/>
          </w:tcPr>
          <w:p w14:paraId="06E09E12" w14:textId="77777777" w:rsidR="00F46CA6" w:rsidRDefault="00F46CA6" w:rsidP="001C3BFC">
            <w:pPr>
              <w:cnfStyle w:val="000000100000" w:firstRow="0" w:lastRow="0" w:firstColumn="0" w:lastColumn="0" w:oddVBand="0" w:evenVBand="0" w:oddHBand="1" w:evenHBand="0" w:firstRowFirstColumn="0" w:firstRowLastColumn="0" w:lastRowFirstColumn="0" w:lastRowLastColumn="0"/>
              <w:rPr>
                <w:rFonts w:ascii="Verdana" w:hAnsi="Verdana"/>
                <w:sz w:val="22"/>
                <w:szCs w:val="22"/>
              </w:rPr>
            </w:pPr>
            <w:r>
              <w:rPr>
                <w:rFonts w:ascii="Verdana" w:hAnsi="Verdana"/>
                <w:sz w:val="22"/>
                <w:szCs w:val="22"/>
              </w:rPr>
              <w:t>Switzerland</w:t>
            </w:r>
          </w:p>
        </w:tc>
      </w:tr>
      <w:tr w:rsidR="00F46CA6" w14:paraId="29DA9327" w14:textId="77777777" w:rsidTr="00EE5C1C">
        <w:tc>
          <w:tcPr>
            <w:cnfStyle w:val="001000000000" w:firstRow="0" w:lastRow="0" w:firstColumn="1" w:lastColumn="0" w:oddVBand="0" w:evenVBand="0" w:oddHBand="0" w:evenHBand="0" w:firstRowFirstColumn="0" w:firstRowLastColumn="0" w:lastRowFirstColumn="0" w:lastRowLastColumn="0"/>
            <w:tcW w:w="1734" w:type="dxa"/>
          </w:tcPr>
          <w:p w14:paraId="57F36E4B" w14:textId="77777777" w:rsidR="00F46CA6" w:rsidRDefault="00F46CA6" w:rsidP="001C3BFC">
            <w:pPr>
              <w:rPr>
                <w:rFonts w:ascii="Verdana" w:hAnsi="Verdana"/>
                <w:sz w:val="22"/>
                <w:szCs w:val="22"/>
              </w:rPr>
            </w:pPr>
            <w:r>
              <w:rPr>
                <w:rFonts w:ascii="Verdana" w:hAnsi="Verdana"/>
                <w:sz w:val="22"/>
                <w:szCs w:val="22"/>
              </w:rPr>
              <w:t>Registration</w:t>
            </w:r>
          </w:p>
        </w:tc>
        <w:tc>
          <w:tcPr>
            <w:tcW w:w="2581" w:type="dxa"/>
          </w:tcPr>
          <w:p w14:paraId="30DB1B2C" w14:textId="77777777" w:rsidR="00F46CA6" w:rsidRDefault="00F46CA6" w:rsidP="001C3BFC">
            <w:pP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Pr>
                <w:rFonts w:ascii="Verdana" w:hAnsi="Verdana"/>
                <w:sz w:val="22"/>
                <w:szCs w:val="22"/>
              </w:rPr>
              <w:t>Acme Industries</w:t>
            </w:r>
            <w:r w:rsidR="00EE5C1C">
              <w:rPr>
                <w:rFonts w:ascii="Verdana" w:hAnsi="Verdana"/>
                <w:sz w:val="22"/>
                <w:szCs w:val="22"/>
              </w:rPr>
              <w:t>, AG</w:t>
            </w:r>
          </w:p>
        </w:tc>
        <w:tc>
          <w:tcPr>
            <w:tcW w:w="2880" w:type="dxa"/>
          </w:tcPr>
          <w:p w14:paraId="60AE3E59" w14:textId="77777777" w:rsidR="00F46CA6" w:rsidRDefault="00F46CA6" w:rsidP="001C3BFC">
            <w:pP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Pr>
                <w:rFonts w:ascii="Verdana" w:hAnsi="Verdana"/>
                <w:sz w:val="22"/>
                <w:szCs w:val="22"/>
              </w:rPr>
              <w:t>Joint Stock Company</w:t>
            </w:r>
          </w:p>
        </w:tc>
        <w:tc>
          <w:tcPr>
            <w:tcW w:w="2155" w:type="dxa"/>
          </w:tcPr>
          <w:p w14:paraId="179AD498" w14:textId="77777777" w:rsidR="00F46CA6" w:rsidRDefault="00F46CA6" w:rsidP="001C3BFC">
            <w:pP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Pr>
                <w:rFonts w:ascii="Verdana" w:hAnsi="Verdana"/>
                <w:sz w:val="22"/>
                <w:szCs w:val="22"/>
              </w:rPr>
              <w:t>Switzerland</w:t>
            </w:r>
          </w:p>
        </w:tc>
      </w:tr>
    </w:tbl>
    <w:p w14:paraId="414C0108" w14:textId="77777777" w:rsidR="00F46CA6" w:rsidRPr="00F46CA6" w:rsidRDefault="00F46CA6" w:rsidP="001C3BFC">
      <w:pPr>
        <w:rPr>
          <w:rFonts w:ascii="Verdana" w:hAnsi="Verdana"/>
          <w:sz w:val="22"/>
          <w:szCs w:val="22"/>
        </w:rPr>
      </w:pPr>
    </w:p>
    <w:p w14:paraId="1BD05CC9" w14:textId="1B6BAFA3" w:rsidR="001C3BFC" w:rsidRDefault="001C3BFC" w:rsidP="001C3BFC">
      <w:pPr>
        <w:rPr>
          <w:rFonts w:ascii="Verdana" w:hAnsi="Verdana"/>
          <w:sz w:val="22"/>
          <w:szCs w:val="22"/>
        </w:rPr>
      </w:pPr>
      <w:r>
        <w:rPr>
          <w:rFonts w:ascii="Verdana" w:hAnsi="Verdana"/>
          <w:sz w:val="22"/>
          <w:szCs w:val="22"/>
        </w:rPr>
        <w:t>Here</w:t>
      </w:r>
      <w:r w:rsidR="00437F91">
        <w:rPr>
          <w:rFonts w:ascii="Verdana" w:hAnsi="Verdana"/>
          <w:sz w:val="22"/>
          <w:szCs w:val="22"/>
        </w:rPr>
        <w:t xml:space="preserve">, </w:t>
      </w:r>
      <w:r w:rsidR="00EE5C1C">
        <w:rPr>
          <w:rFonts w:ascii="Verdana" w:hAnsi="Verdana"/>
          <w:sz w:val="22"/>
          <w:szCs w:val="22"/>
        </w:rPr>
        <w:t xml:space="preserve">the registrant’s name includes the entity designation AG, but the applicant’s name does not. However, the owner names may be treated as identical, because </w:t>
      </w:r>
      <w:r w:rsidR="00A7753F">
        <w:rPr>
          <w:rFonts w:ascii="Verdana" w:hAnsi="Verdana"/>
          <w:sz w:val="22"/>
          <w:szCs w:val="22"/>
        </w:rPr>
        <w:t xml:space="preserve">the country of </w:t>
      </w:r>
      <w:r w:rsidR="003008F7">
        <w:rPr>
          <w:rFonts w:ascii="Verdana" w:hAnsi="Verdana"/>
          <w:sz w:val="22"/>
          <w:szCs w:val="22"/>
        </w:rPr>
        <w:t>organization</w:t>
      </w:r>
      <w:r w:rsidR="00A7753F">
        <w:rPr>
          <w:rFonts w:ascii="Verdana" w:hAnsi="Verdana"/>
          <w:sz w:val="22"/>
          <w:szCs w:val="22"/>
        </w:rPr>
        <w:t xml:space="preserve"> is the same</w:t>
      </w:r>
      <w:r w:rsidR="00EE5C1C">
        <w:rPr>
          <w:rFonts w:ascii="Verdana" w:hAnsi="Verdana"/>
          <w:sz w:val="22"/>
          <w:szCs w:val="22"/>
        </w:rPr>
        <w:t xml:space="preserve"> and the</w:t>
      </w:r>
      <w:r w:rsidR="00840969">
        <w:rPr>
          <w:rFonts w:ascii="Verdana" w:hAnsi="Verdana"/>
          <w:sz w:val="22"/>
          <w:szCs w:val="22"/>
        </w:rPr>
        <w:t xml:space="preserve"> </w:t>
      </w:r>
      <w:r w:rsidR="002B0896">
        <w:rPr>
          <w:rFonts w:ascii="Verdana" w:hAnsi="Verdana"/>
          <w:sz w:val="22"/>
          <w:szCs w:val="22"/>
        </w:rPr>
        <w:t>specified entity types are equivalent. Specifically, the</w:t>
      </w:r>
      <w:r w:rsidR="00E530B8">
        <w:rPr>
          <w:rFonts w:ascii="Verdana" w:hAnsi="Verdana"/>
          <w:sz w:val="22"/>
          <w:szCs w:val="22"/>
        </w:rPr>
        <w:t xml:space="preserve"> TMEP’s </w:t>
      </w:r>
      <w:hyperlink r:id="rId12" w:tgtFrame="_blank" w:history="1">
        <w:r w:rsidR="005D21F6" w:rsidRPr="00E95BE9">
          <w:rPr>
            <w:rStyle w:val="Hyperlink"/>
            <w:rFonts w:ascii="Verdana" w:hAnsi="Verdana"/>
            <w:bCs/>
            <w:sz w:val="22"/>
            <w:szCs w:val="22"/>
            <w:lang w:val="en"/>
          </w:rPr>
          <w:t>Appendix D</w:t>
        </w:r>
      </w:hyperlink>
      <w:r w:rsidR="000C5D61" w:rsidRPr="001C3BFC">
        <w:rPr>
          <w:rFonts w:ascii="Verdana" w:hAnsi="Verdana"/>
          <w:sz w:val="22"/>
          <w:szCs w:val="22"/>
        </w:rPr>
        <w:t xml:space="preserve"> </w:t>
      </w:r>
      <w:r w:rsidR="009E3753">
        <w:rPr>
          <w:rFonts w:ascii="Verdana" w:hAnsi="Verdana"/>
          <w:sz w:val="22"/>
          <w:szCs w:val="22"/>
        </w:rPr>
        <w:t xml:space="preserve">indicates that the term </w:t>
      </w:r>
      <w:proofErr w:type="spellStart"/>
      <w:r w:rsidR="00E530B8" w:rsidRPr="00E530B8">
        <w:rPr>
          <w:rFonts w:ascii="Verdana" w:hAnsi="Verdana"/>
          <w:i/>
          <w:iCs/>
          <w:sz w:val="22"/>
          <w:szCs w:val="22"/>
        </w:rPr>
        <w:t>Aktiengesellschaft</w:t>
      </w:r>
      <w:proofErr w:type="spellEnd"/>
      <w:r w:rsidR="009E3753">
        <w:rPr>
          <w:rFonts w:ascii="Verdana" w:hAnsi="Verdana"/>
          <w:iCs/>
          <w:sz w:val="22"/>
          <w:szCs w:val="22"/>
        </w:rPr>
        <w:t>, abbreviated as AG,</w:t>
      </w:r>
      <w:r w:rsidR="00E530B8">
        <w:rPr>
          <w:rFonts w:ascii="Verdana" w:hAnsi="Verdana"/>
          <w:iCs/>
          <w:sz w:val="22"/>
          <w:szCs w:val="22"/>
        </w:rPr>
        <w:t xml:space="preserve"> refers to </w:t>
      </w:r>
      <w:r w:rsidR="00E530B8">
        <w:rPr>
          <w:rFonts w:ascii="Verdana" w:hAnsi="Verdana"/>
          <w:sz w:val="22"/>
          <w:szCs w:val="22"/>
        </w:rPr>
        <w:t>a</w:t>
      </w:r>
      <w:r w:rsidR="000C5D61" w:rsidRPr="001C3BFC">
        <w:rPr>
          <w:rFonts w:ascii="Verdana" w:hAnsi="Verdana"/>
          <w:sz w:val="22"/>
          <w:szCs w:val="22"/>
        </w:rPr>
        <w:t xml:space="preserve"> “joint stock company</w:t>
      </w:r>
      <w:r w:rsidR="000C5D61">
        <w:rPr>
          <w:rFonts w:ascii="Verdana" w:hAnsi="Verdana"/>
          <w:sz w:val="22"/>
          <w:szCs w:val="22"/>
        </w:rPr>
        <w:t xml:space="preserve">.” Thus, the owner is presumed to be the same and no </w:t>
      </w:r>
      <w:r w:rsidR="00DA0F51">
        <w:rPr>
          <w:rFonts w:ascii="Verdana" w:hAnsi="Verdana"/>
          <w:sz w:val="22"/>
          <w:szCs w:val="22"/>
        </w:rPr>
        <w:t>§</w:t>
      </w:r>
      <w:r w:rsidR="000C5D61">
        <w:rPr>
          <w:rFonts w:ascii="Verdana" w:hAnsi="Verdana"/>
          <w:sz w:val="22"/>
          <w:szCs w:val="22"/>
        </w:rPr>
        <w:t xml:space="preserve">2(d) refusal should issue. </w:t>
      </w:r>
      <w:r w:rsidRPr="001C3BFC">
        <w:rPr>
          <w:rFonts w:ascii="Verdana" w:hAnsi="Verdana"/>
          <w:sz w:val="22"/>
          <w:szCs w:val="22"/>
        </w:rPr>
        <w:t xml:space="preserve"> </w:t>
      </w:r>
    </w:p>
    <w:p w14:paraId="23844C6F" w14:textId="77777777" w:rsidR="000F541E" w:rsidRDefault="000F541E" w:rsidP="001C3BFC">
      <w:pPr>
        <w:rPr>
          <w:rFonts w:ascii="Verdana" w:hAnsi="Verdana"/>
          <w:sz w:val="22"/>
          <w:szCs w:val="22"/>
        </w:rPr>
      </w:pPr>
    </w:p>
    <w:p w14:paraId="257507C2" w14:textId="5512FE8C" w:rsidR="003033DE" w:rsidRPr="000F541E" w:rsidRDefault="004F5081" w:rsidP="003033DE">
      <w:pPr>
        <w:rPr>
          <w:rFonts w:ascii="Verdana" w:hAnsi="Verdana"/>
          <w:i/>
          <w:sz w:val="22"/>
          <w:szCs w:val="22"/>
        </w:rPr>
      </w:pPr>
      <w:bookmarkStart w:id="2" w:name="Ex2"/>
      <w:r>
        <w:rPr>
          <w:rFonts w:ascii="Verdana" w:hAnsi="Verdana"/>
          <w:i/>
          <w:sz w:val="22"/>
          <w:szCs w:val="22"/>
        </w:rPr>
        <w:t>Example 2</w:t>
      </w:r>
      <w:r w:rsidR="00905A07">
        <w:rPr>
          <w:rFonts w:ascii="Verdana" w:hAnsi="Verdana"/>
          <w:i/>
          <w:sz w:val="22"/>
          <w:szCs w:val="22"/>
        </w:rPr>
        <w:t xml:space="preserve"> – Issue §2(d) Refusal </w:t>
      </w:r>
    </w:p>
    <w:bookmarkEnd w:id="2"/>
    <w:p w14:paraId="15B75141" w14:textId="77777777" w:rsidR="003033DE" w:rsidRDefault="003033DE" w:rsidP="003033DE">
      <w:pPr>
        <w:rPr>
          <w:rFonts w:ascii="Verdana" w:hAnsi="Verdana"/>
          <w:sz w:val="22"/>
          <w:szCs w:val="22"/>
        </w:rPr>
      </w:pPr>
    </w:p>
    <w:tbl>
      <w:tblPr>
        <w:tblStyle w:val="GridTable5Dark-Accent1"/>
        <w:tblW w:w="0" w:type="auto"/>
        <w:tblLook w:val="04A0" w:firstRow="1" w:lastRow="0" w:firstColumn="1" w:lastColumn="0" w:noHBand="0" w:noVBand="1"/>
      </w:tblPr>
      <w:tblGrid>
        <w:gridCol w:w="2337"/>
        <w:gridCol w:w="2248"/>
        <w:gridCol w:w="2610"/>
        <w:gridCol w:w="2155"/>
      </w:tblGrid>
      <w:tr w:rsidR="003033DE" w14:paraId="32F62286" w14:textId="77777777" w:rsidTr="00545E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right w:val="single" w:sz="4" w:space="0" w:color="FFFFFF" w:themeColor="background1"/>
            </w:tcBorders>
            <w:shd w:val="clear" w:color="auto" w:fill="FFFFFF" w:themeFill="background1"/>
          </w:tcPr>
          <w:p w14:paraId="34B4F1CC" w14:textId="77777777" w:rsidR="003033DE" w:rsidRDefault="003033DE" w:rsidP="00545ED2">
            <w:pPr>
              <w:rPr>
                <w:rFonts w:ascii="Verdana" w:hAnsi="Verdana"/>
                <w:sz w:val="22"/>
                <w:szCs w:val="22"/>
              </w:rPr>
            </w:pPr>
          </w:p>
        </w:tc>
        <w:tc>
          <w:tcPr>
            <w:tcW w:w="2248" w:type="dxa"/>
            <w:tcBorders>
              <w:left w:val="single" w:sz="4" w:space="0" w:color="FFFFFF" w:themeColor="background1"/>
              <w:right w:val="single" w:sz="4" w:space="0" w:color="FFFFFF" w:themeColor="background1"/>
            </w:tcBorders>
          </w:tcPr>
          <w:p w14:paraId="1CACE804" w14:textId="77777777" w:rsidR="003033DE" w:rsidRDefault="003033DE" w:rsidP="00545ED2">
            <w:pPr>
              <w:cnfStyle w:val="100000000000" w:firstRow="1" w:lastRow="0" w:firstColumn="0" w:lastColumn="0" w:oddVBand="0" w:evenVBand="0" w:oddHBand="0" w:evenHBand="0" w:firstRowFirstColumn="0" w:firstRowLastColumn="0" w:lastRowFirstColumn="0" w:lastRowLastColumn="0"/>
              <w:rPr>
                <w:rFonts w:ascii="Verdana" w:hAnsi="Verdana"/>
                <w:sz w:val="22"/>
                <w:szCs w:val="22"/>
              </w:rPr>
            </w:pPr>
            <w:r>
              <w:rPr>
                <w:rFonts w:ascii="Verdana" w:hAnsi="Verdana"/>
                <w:sz w:val="22"/>
                <w:szCs w:val="22"/>
              </w:rPr>
              <w:t>Owner Name</w:t>
            </w:r>
          </w:p>
        </w:tc>
        <w:tc>
          <w:tcPr>
            <w:tcW w:w="2610" w:type="dxa"/>
            <w:tcBorders>
              <w:left w:val="single" w:sz="4" w:space="0" w:color="FFFFFF" w:themeColor="background1"/>
              <w:right w:val="single" w:sz="4" w:space="0" w:color="FFFFFF" w:themeColor="background1"/>
            </w:tcBorders>
          </w:tcPr>
          <w:p w14:paraId="304DB12E" w14:textId="77777777" w:rsidR="003033DE" w:rsidRDefault="003033DE" w:rsidP="00545ED2">
            <w:pPr>
              <w:cnfStyle w:val="100000000000" w:firstRow="1" w:lastRow="0" w:firstColumn="0" w:lastColumn="0" w:oddVBand="0" w:evenVBand="0" w:oddHBand="0" w:evenHBand="0" w:firstRowFirstColumn="0" w:firstRowLastColumn="0" w:lastRowFirstColumn="0" w:lastRowLastColumn="0"/>
              <w:rPr>
                <w:rFonts w:ascii="Verdana" w:hAnsi="Verdana"/>
                <w:sz w:val="22"/>
                <w:szCs w:val="22"/>
              </w:rPr>
            </w:pPr>
            <w:r>
              <w:rPr>
                <w:rFonts w:ascii="Verdana" w:hAnsi="Verdana"/>
                <w:sz w:val="22"/>
                <w:szCs w:val="22"/>
              </w:rPr>
              <w:t>Entity Designation</w:t>
            </w:r>
          </w:p>
        </w:tc>
        <w:tc>
          <w:tcPr>
            <w:tcW w:w="2155" w:type="dxa"/>
            <w:tcBorders>
              <w:left w:val="single" w:sz="4" w:space="0" w:color="FFFFFF" w:themeColor="background1"/>
            </w:tcBorders>
          </w:tcPr>
          <w:p w14:paraId="2F92EF61" w14:textId="77777777" w:rsidR="003033DE" w:rsidRDefault="003033DE" w:rsidP="00FD18E4">
            <w:pPr>
              <w:cnfStyle w:val="100000000000" w:firstRow="1" w:lastRow="0" w:firstColumn="0" w:lastColumn="0" w:oddVBand="0" w:evenVBand="0" w:oddHBand="0" w:evenHBand="0" w:firstRowFirstColumn="0" w:firstRowLastColumn="0" w:lastRowFirstColumn="0" w:lastRowLastColumn="0"/>
              <w:rPr>
                <w:rFonts w:ascii="Verdana" w:hAnsi="Verdana"/>
                <w:sz w:val="22"/>
                <w:szCs w:val="22"/>
              </w:rPr>
            </w:pPr>
            <w:r>
              <w:rPr>
                <w:rFonts w:ascii="Verdana" w:hAnsi="Verdana"/>
                <w:sz w:val="22"/>
                <w:szCs w:val="22"/>
              </w:rPr>
              <w:t xml:space="preserve">Country </w:t>
            </w:r>
          </w:p>
        </w:tc>
      </w:tr>
      <w:tr w:rsidR="003033DE" w14:paraId="605B5ECF" w14:textId="77777777" w:rsidTr="00545E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79730B1" w14:textId="77777777" w:rsidR="003033DE" w:rsidRDefault="003033DE" w:rsidP="00545ED2">
            <w:pPr>
              <w:rPr>
                <w:rFonts w:ascii="Verdana" w:hAnsi="Verdana"/>
                <w:sz w:val="22"/>
                <w:szCs w:val="22"/>
              </w:rPr>
            </w:pPr>
            <w:r>
              <w:rPr>
                <w:rFonts w:ascii="Verdana" w:hAnsi="Verdana"/>
                <w:sz w:val="22"/>
                <w:szCs w:val="22"/>
              </w:rPr>
              <w:t>Application</w:t>
            </w:r>
          </w:p>
        </w:tc>
        <w:tc>
          <w:tcPr>
            <w:tcW w:w="2248" w:type="dxa"/>
          </w:tcPr>
          <w:p w14:paraId="6E33D11D" w14:textId="77777777" w:rsidR="003033DE" w:rsidRDefault="003033DE" w:rsidP="00545ED2">
            <w:pPr>
              <w:cnfStyle w:val="000000100000" w:firstRow="0" w:lastRow="0" w:firstColumn="0" w:lastColumn="0" w:oddVBand="0" w:evenVBand="0" w:oddHBand="1" w:evenHBand="0" w:firstRowFirstColumn="0" w:firstRowLastColumn="0" w:lastRowFirstColumn="0" w:lastRowLastColumn="0"/>
              <w:rPr>
                <w:rFonts w:ascii="Verdana" w:hAnsi="Verdana"/>
                <w:sz w:val="22"/>
                <w:szCs w:val="22"/>
              </w:rPr>
            </w:pPr>
            <w:proofErr w:type="spellStart"/>
            <w:r>
              <w:rPr>
                <w:rFonts w:ascii="Verdana" w:hAnsi="Verdana"/>
                <w:sz w:val="22"/>
                <w:szCs w:val="22"/>
              </w:rPr>
              <w:t>Oakstreet</w:t>
            </w:r>
            <w:proofErr w:type="spellEnd"/>
            <w:r>
              <w:rPr>
                <w:rFonts w:ascii="Verdana" w:hAnsi="Verdana"/>
                <w:sz w:val="22"/>
                <w:szCs w:val="22"/>
              </w:rPr>
              <w:t xml:space="preserve"> SRC</w:t>
            </w:r>
          </w:p>
        </w:tc>
        <w:tc>
          <w:tcPr>
            <w:tcW w:w="2610" w:type="dxa"/>
          </w:tcPr>
          <w:p w14:paraId="54EA2511" w14:textId="77777777" w:rsidR="003033DE" w:rsidRPr="000A2CE8" w:rsidRDefault="003033DE" w:rsidP="00545ED2">
            <w:pPr>
              <w:cnfStyle w:val="000000100000" w:firstRow="0" w:lastRow="0" w:firstColumn="0" w:lastColumn="0" w:oddVBand="0" w:evenVBand="0" w:oddHBand="1" w:evenHBand="0" w:firstRowFirstColumn="0" w:firstRowLastColumn="0" w:lastRowFirstColumn="0" w:lastRowLastColumn="0"/>
              <w:rPr>
                <w:rFonts w:ascii="Verdana" w:hAnsi="Verdana"/>
                <w:sz w:val="22"/>
                <w:szCs w:val="22"/>
              </w:rPr>
            </w:pPr>
            <w:proofErr w:type="spellStart"/>
            <w:r w:rsidRPr="000A2CE8">
              <w:rPr>
                <w:rFonts w:ascii="Verdana" w:hAnsi="Verdana"/>
                <w:sz w:val="22"/>
                <w:szCs w:val="22"/>
              </w:rPr>
              <w:t>Sociedad</w:t>
            </w:r>
            <w:proofErr w:type="spellEnd"/>
            <w:r w:rsidRPr="000A2CE8">
              <w:rPr>
                <w:rFonts w:ascii="Verdana" w:hAnsi="Verdana"/>
                <w:sz w:val="22"/>
                <w:szCs w:val="22"/>
              </w:rPr>
              <w:t xml:space="preserve"> </w:t>
            </w:r>
            <w:proofErr w:type="spellStart"/>
            <w:r w:rsidRPr="000A2CE8">
              <w:rPr>
                <w:rFonts w:ascii="Verdana" w:hAnsi="Verdana"/>
                <w:sz w:val="22"/>
                <w:szCs w:val="22"/>
              </w:rPr>
              <w:t>Anonima</w:t>
            </w:r>
            <w:proofErr w:type="spellEnd"/>
          </w:p>
        </w:tc>
        <w:tc>
          <w:tcPr>
            <w:tcW w:w="2155" w:type="dxa"/>
          </w:tcPr>
          <w:p w14:paraId="359CEDCB" w14:textId="77777777" w:rsidR="003033DE" w:rsidRDefault="003033DE" w:rsidP="00545ED2">
            <w:pPr>
              <w:cnfStyle w:val="000000100000" w:firstRow="0" w:lastRow="0" w:firstColumn="0" w:lastColumn="0" w:oddVBand="0" w:evenVBand="0" w:oddHBand="1" w:evenHBand="0" w:firstRowFirstColumn="0" w:firstRowLastColumn="0" w:lastRowFirstColumn="0" w:lastRowLastColumn="0"/>
              <w:rPr>
                <w:rFonts w:ascii="Verdana" w:hAnsi="Verdana"/>
                <w:sz w:val="22"/>
                <w:szCs w:val="22"/>
              </w:rPr>
            </w:pPr>
            <w:r>
              <w:rPr>
                <w:rFonts w:ascii="Verdana" w:hAnsi="Verdana"/>
                <w:sz w:val="22"/>
                <w:szCs w:val="22"/>
              </w:rPr>
              <w:t>Spain</w:t>
            </w:r>
          </w:p>
        </w:tc>
      </w:tr>
      <w:tr w:rsidR="003033DE" w14:paraId="648F7697" w14:textId="77777777" w:rsidTr="00545ED2">
        <w:tc>
          <w:tcPr>
            <w:cnfStyle w:val="001000000000" w:firstRow="0" w:lastRow="0" w:firstColumn="1" w:lastColumn="0" w:oddVBand="0" w:evenVBand="0" w:oddHBand="0" w:evenHBand="0" w:firstRowFirstColumn="0" w:firstRowLastColumn="0" w:lastRowFirstColumn="0" w:lastRowLastColumn="0"/>
            <w:tcW w:w="2337" w:type="dxa"/>
          </w:tcPr>
          <w:p w14:paraId="2C5111C7" w14:textId="77777777" w:rsidR="003033DE" w:rsidRDefault="003033DE" w:rsidP="00545ED2">
            <w:pPr>
              <w:rPr>
                <w:rFonts w:ascii="Verdana" w:hAnsi="Verdana"/>
                <w:sz w:val="22"/>
                <w:szCs w:val="22"/>
              </w:rPr>
            </w:pPr>
            <w:r>
              <w:rPr>
                <w:rFonts w:ascii="Verdana" w:hAnsi="Verdana"/>
                <w:sz w:val="22"/>
                <w:szCs w:val="22"/>
              </w:rPr>
              <w:t>Registration</w:t>
            </w:r>
          </w:p>
        </w:tc>
        <w:tc>
          <w:tcPr>
            <w:tcW w:w="2248" w:type="dxa"/>
          </w:tcPr>
          <w:p w14:paraId="3D23CC52" w14:textId="77777777" w:rsidR="003033DE" w:rsidRDefault="003033DE" w:rsidP="00545ED2">
            <w:pP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proofErr w:type="spellStart"/>
            <w:r>
              <w:rPr>
                <w:rFonts w:ascii="Verdana" w:hAnsi="Verdana"/>
                <w:sz w:val="22"/>
                <w:szCs w:val="22"/>
              </w:rPr>
              <w:t>Oakstreet</w:t>
            </w:r>
            <w:proofErr w:type="spellEnd"/>
            <w:r>
              <w:rPr>
                <w:rFonts w:ascii="Verdana" w:hAnsi="Verdana"/>
                <w:sz w:val="22"/>
                <w:szCs w:val="22"/>
              </w:rPr>
              <w:t xml:space="preserve"> SA</w:t>
            </w:r>
          </w:p>
        </w:tc>
        <w:tc>
          <w:tcPr>
            <w:tcW w:w="2610" w:type="dxa"/>
          </w:tcPr>
          <w:p w14:paraId="21623524" w14:textId="77777777" w:rsidR="003033DE" w:rsidRPr="000A2CE8" w:rsidRDefault="003033DE" w:rsidP="00545ED2">
            <w:pP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proofErr w:type="spellStart"/>
            <w:r w:rsidRPr="000A2CE8">
              <w:rPr>
                <w:rFonts w:ascii="Verdana" w:hAnsi="Verdana"/>
                <w:sz w:val="22"/>
                <w:szCs w:val="22"/>
              </w:rPr>
              <w:t>Sociedad</w:t>
            </w:r>
            <w:proofErr w:type="spellEnd"/>
            <w:r w:rsidRPr="000A2CE8">
              <w:rPr>
                <w:rFonts w:ascii="Verdana" w:hAnsi="Verdana"/>
                <w:sz w:val="22"/>
                <w:szCs w:val="22"/>
              </w:rPr>
              <w:t xml:space="preserve"> </w:t>
            </w:r>
            <w:proofErr w:type="spellStart"/>
            <w:r w:rsidRPr="000A2CE8">
              <w:rPr>
                <w:rFonts w:ascii="Verdana" w:hAnsi="Verdana"/>
                <w:sz w:val="22"/>
                <w:szCs w:val="22"/>
              </w:rPr>
              <w:t>Anonima</w:t>
            </w:r>
            <w:proofErr w:type="spellEnd"/>
          </w:p>
        </w:tc>
        <w:tc>
          <w:tcPr>
            <w:tcW w:w="2155" w:type="dxa"/>
          </w:tcPr>
          <w:p w14:paraId="4F9D6744" w14:textId="77777777" w:rsidR="003033DE" w:rsidRDefault="003033DE" w:rsidP="00545ED2">
            <w:pP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Pr>
                <w:rFonts w:ascii="Verdana" w:hAnsi="Verdana"/>
                <w:sz w:val="22"/>
                <w:szCs w:val="22"/>
              </w:rPr>
              <w:t>Spain</w:t>
            </w:r>
          </w:p>
        </w:tc>
      </w:tr>
    </w:tbl>
    <w:p w14:paraId="6EC5655B" w14:textId="77777777" w:rsidR="003033DE" w:rsidRDefault="003033DE" w:rsidP="003033DE">
      <w:pPr>
        <w:rPr>
          <w:rFonts w:ascii="Verdana" w:hAnsi="Verdana"/>
          <w:sz w:val="22"/>
          <w:szCs w:val="22"/>
        </w:rPr>
      </w:pPr>
    </w:p>
    <w:p w14:paraId="25CE407B" w14:textId="77777777" w:rsidR="003033DE" w:rsidRDefault="003033DE" w:rsidP="003033DE">
      <w:pPr>
        <w:rPr>
          <w:rFonts w:ascii="Verdana" w:hAnsi="Verdana"/>
          <w:sz w:val="22"/>
          <w:szCs w:val="22"/>
        </w:rPr>
      </w:pPr>
      <w:r>
        <w:rPr>
          <w:rFonts w:ascii="Verdana" w:hAnsi="Verdana"/>
          <w:sz w:val="22"/>
          <w:szCs w:val="22"/>
        </w:rPr>
        <w:t>Here</w:t>
      </w:r>
      <w:r w:rsidRPr="001C3BFC">
        <w:rPr>
          <w:rFonts w:ascii="Verdana" w:hAnsi="Verdana"/>
          <w:sz w:val="22"/>
          <w:szCs w:val="22"/>
        </w:rPr>
        <w:t xml:space="preserve">, </w:t>
      </w:r>
      <w:r>
        <w:rPr>
          <w:rFonts w:ascii="Verdana" w:hAnsi="Verdana"/>
          <w:sz w:val="22"/>
          <w:szCs w:val="22"/>
        </w:rPr>
        <w:t xml:space="preserve">the application and registration specify the same entity designation and country of organization. However, the owner names differ because the applicant’s owner name includes “SRC,” the abbreviation for the </w:t>
      </w:r>
      <w:proofErr w:type="spellStart"/>
      <w:r w:rsidRPr="009A72CF">
        <w:rPr>
          <w:rFonts w:ascii="Verdana" w:hAnsi="Verdana"/>
          <w:i/>
          <w:iCs/>
          <w:sz w:val="22"/>
          <w:szCs w:val="22"/>
        </w:rPr>
        <w:t>Sociedad</w:t>
      </w:r>
      <w:proofErr w:type="spellEnd"/>
      <w:r w:rsidRPr="009A72CF">
        <w:rPr>
          <w:rFonts w:ascii="Verdana" w:hAnsi="Verdana"/>
          <w:i/>
          <w:iCs/>
          <w:sz w:val="22"/>
          <w:szCs w:val="22"/>
        </w:rPr>
        <w:t xml:space="preserve"> Regular </w:t>
      </w:r>
      <w:proofErr w:type="spellStart"/>
      <w:r w:rsidRPr="009A72CF">
        <w:rPr>
          <w:rFonts w:ascii="Verdana" w:hAnsi="Verdana"/>
          <w:i/>
          <w:iCs/>
          <w:sz w:val="22"/>
          <w:szCs w:val="22"/>
        </w:rPr>
        <w:t>Colectiva</w:t>
      </w:r>
      <w:proofErr w:type="spellEnd"/>
      <w:r>
        <w:rPr>
          <w:rFonts w:ascii="Verdana" w:hAnsi="Verdana"/>
          <w:i/>
          <w:iCs/>
          <w:sz w:val="22"/>
          <w:szCs w:val="22"/>
        </w:rPr>
        <w:t xml:space="preserve"> </w:t>
      </w:r>
      <w:r>
        <w:rPr>
          <w:rFonts w:ascii="Verdana" w:hAnsi="Verdana"/>
          <w:iCs/>
          <w:sz w:val="22"/>
          <w:szCs w:val="22"/>
        </w:rPr>
        <w:t>entity type</w:t>
      </w:r>
      <w:r>
        <w:rPr>
          <w:rFonts w:ascii="Verdana" w:hAnsi="Verdana"/>
          <w:sz w:val="22"/>
          <w:szCs w:val="22"/>
        </w:rPr>
        <w:t xml:space="preserve">, while the registrant’s owner name includes “SA,” the abbreviation for the </w:t>
      </w:r>
      <w:proofErr w:type="spellStart"/>
      <w:r>
        <w:rPr>
          <w:rFonts w:ascii="Verdana" w:hAnsi="Verdana"/>
          <w:i/>
          <w:sz w:val="22"/>
          <w:szCs w:val="22"/>
        </w:rPr>
        <w:t>Sociedad</w:t>
      </w:r>
      <w:proofErr w:type="spellEnd"/>
      <w:r>
        <w:rPr>
          <w:rFonts w:ascii="Verdana" w:hAnsi="Verdana"/>
          <w:i/>
          <w:sz w:val="22"/>
          <w:szCs w:val="22"/>
        </w:rPr>
        <w:t xml:space="preserve"> </w:t>
      </w:r>
      <w:proofErr w:type="spellStart"/>
      <w:r>
        <w:rPr>
          <w:rFonts w:ascii="Verdana" w:hAnsi="Verdana"/>
          <w:i/>
          <w:sz w:val="22"/>
          <w:szCs w:val="22"/>
        </w:rPr>
        <w:t>Anonima</w:t>
      </w:r>
      <w:proofErr w:type="spellEnd"/>
      <w:r>
        <w:rPr>
          <w:rFonts w:ascii="Verdana" w:hAnsi="Verdana"/>
          <w:i/>
          <w:sz w:val="22"/>
          <w:szCs w:val="22"/>
        </w:rPr>
        <w:t xml:space="preserve"> </w:t>
      </w:r>
      <w:r>
        <w:rPr>
          <w:rFonts w:ascii="Verdana" w:hAnsi="Verdana"/>
          <w:sz w:val="22"/>
          <w:szCs w:val="22"/>
        </w:rPr>
        <w:t xml:space="preserve">entity type. Thus, the examining attorney must treat the applicant and registrant as different owners and issue a </w:t>
      </w:r>
      <w:r w:rsidR="00367E23">
        <w:rPr>
          <w:rFonts w:ascii="Verdana" w:hAnsi="Verdana"/>
          <w:sz w:val="22"/>
          <w:szCs w:val="22"/>
        </w:rPr>
        <w:t>§</w:t>
      </w:r>
      <w:r w:rsidRPr="001C3BFC">
        <w:rPr>
          <w:rFonts w:ascii="Verdana" w:hAnsi="Verdana"/>
          <w:sz w:val="22"/>
          <w:szCs w:val="22"/>
        </w:rPr>
        <w:t>2(d) refusal</w:t>
      </w:r>
      <w:r>
        <w:rPr>
          <w:rFonts w:ascii="Verdana" w:hAnsi="Verdana"/>
          <w:sz w:val="22"/>
          <w:szCs w:val="22"/>
        </w:rPr>
        <w:t>. In addition, because the entity type referenced in the applicant’s owner name (SRC) does not agree with the entity designation</w:t>
      </w:r>
      <w:r w:rsidR="00E142AC">
        <w:rPr>
          <w:rFonts w:ascii="Verdana" w:hAnsi="Verdana"/>
          <w:sz w:val="22"/>
          <w:szCs w:val="22"/>
        </w:rPr>
        <w:t xml:space="preserve"> specified in the application</w:t>
      </w:r>
      <w:r>
        <w:rPr>
          <w:rFonts w:ascii="Verdana" w:hAnsi="Verdana"/>
          <w:sz w:val="22"/>
          <w:szCs w:val="22"/>
        </w:rPr>
        <w:t xml:space="preserve"> (</w:t>
      </w:r>
      <w:proofErr w:type="spellStart"/>
      <w:r>
        <w:rPr>
          <w:rFonts w:ascii="Verdana" w:hAnsi="Verdana"/>
          <w:i/>
          <w:sz w:val="22"/>
          <w:szCs w:val="22"/>
        </w:rPr>
        <w:t>Sociedad</w:t>
      </w:r>
      <w:proofErr w:type="spellEnd"/>
      <w:r>
        <w:rPr>
          <w:rFonts w:ascii="Verdana" w:hAnsi="Verdana"/>
          <w:i/>
          <w:sz w:val="22"/>
          <w:szCs w:val="22"/>
        </w:rPr>
        <w:t xml:space="preserve"> </w:t>
      </w:r>
      <w:proofErr w:type="spellStart"/>
      <w:r>
        <w:rPr>
          <w:rFonts w:ascii="Verdana" w:hAnsi="Verdana"/>
          <w:i/>
          <w:sz w:val="22"/>
          <w:szCs w:val="22"/>
        </w:rPr>
        <w:t>Anonima</w:t>
      </w:r>
      <w:proofErr w:type="spellEnd"/>
      <w:r>
        <w:rPr>
          <w:rFonts w:ascii="Verdana" w:hAnsi="Verdana"/>
          <w:sz w:val="22"/>
          <w:szCs w:val="22"/>
        </w:rPr>
        <w:t xml:space="preserve">), the examining attorney </w:t>
      </w:r>
      <w:r w:rsidR="001D0C87">
        <w:rPr>
          <w:rFonts w:ascii="Verdana" w:hAnsi="Verdana"/>
          <w:sz w:val="22"/>
          <w:szCs w:val="22"/>
        </w:rPr>
        <w:t xml:space="preserve">must </w:t>
      </w:r>
      <w:r>
        <w:rPr>
          <w:rFonts w:ascii="Verdana" w:hAnsi="Verdana"/>
          <w:sz w:val="22"/>
          <w:szCs w:val="22"/>
        </w:rPr>
        <w:t xml:space="preserve">require the applicant to resolve this discrepancy.  </w:t>
      </w:r>
    </w:p>
    <w:p w14:paraId="748C823A" w14:textId="77777777" w:rsidR="003033DE" w:rsidRDefault="003033DE" w:rsidP="003033DE">
      <w:pPr>
        <w:rPr>
          <w:rFonts w:ascii="Verdana" w:hAnsi="Verdana"/>
          <w:b/>
          <w:sz w:val="22"/>
          <w:szCs w:val="22"/>
        </w:rPr>
      </w:pPr>
    </w:p>
    <w:p w14:paraId="4D6CD937" w14:textId="04DA7CCF" w:rsidR="003033DE" w:rsidRDefault="003033DE" w:rsidP="003033DE">
      <w:pPr>
        <w:rPr>
          <w:rFonts w:ascii="Verdana" w:hAnsi="Verdana"/>
          <w:i/>
          <w:sz w:val="22"/>
          <w:szCs w:val="22"/>
        </w:rPr>
      </w:pPr>
      <w:bookmarkStart w:id="3" w:name="Ex3"/>
      <w:r>
        <w:rPr>
          <w:rFonts w:ascii="Verdana" w:hAnsi="Verdana"/>
          <w:i/>
          <w:sz w:val="22"/>
          <w:szCs w:val="22"/>
        </w:rPr>
        <w:t>Example 3</w:t>
      </w:r>
      <w:r w:rsidR="00905A07">
        <w:rPr>
          <w:rFonts w:ascii="Verdana" w:hAnsi="Verdana"/>
          <w:i/>
          <w:sz w:val="22"/>
          <w:szCs w:val="22"/>
        </w:rPr>
        <w:t xml:space="preserve"> – Issue §2(d) Refusal </w:t>
      </w:r>
    </w:p>
    <w:bookmarkEnd w:id="3"/>
    <w:p w14:paraId="63D5ED6B" w14:textId="77777777" w:rsidR="003033DE" w:rsidRDefault="003033DE" w:rsidP="003033DE">
      <w:pPr>
        <w:rPr>
          <w:rFonts w:ascii="Verdana" w:hAnsi="Verdana"/>
          <w:sz w:val="22"/>
          <w:szCs w:val="22"/>
        </w:rPr>
      </w:pPr>
    </w:p>
    <w:tbl>
      <w:tblPr>
        <w:tblStyle w:val="GridTable5Dark-Accent1"/>
        <w:tblW w:w="0" w:type="auto"/>
        <w:tblLook w:val="04A0" w:firstRow="1" w:lastRow="0" w:firstColumn="1" w:lastColumn="0" w:noHBand="0" w:noVBand="1"/>
      </w:tblPr>
      <w:tblGrid>
        <w:gridCol w:w="1734"/>
        <w:gridCol w:w="2131"/>
        <w:gridCol w:w="3330"/>
        <w:gridCol w:w="2155"/>
      </w:tblGrid>
      <w:tr w:rsidR="003033DE" w14:paraId="704082AB" w14:textId="77777777" w:rsidTr="00CA5D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dxa"/>
            <w:tcBorders>
              <w:right w:val="single" w:sz="4" w:space="0" w:color="FFFFFF" w:themeColor="background1"/>
            </w:tcBorders>
            <w:shd w:val="clear" w:color="auto" w:fill="FFFFFF" w:themeFill="background1"/>
          </w:tcPr>
          <w:p w14:paraId="210204EE" w14:textId="77777777" w:rsidR="003033DE" w:rsidRDefault="003033DE" w:rsidP="00CA5D0E">
            <w:pPr>
              <w:rPr>
                <w:rFonts w:ascii="Verdana" w:hAnsi="Verdana"/>
                <w:sz w:val="22"/>
                <w:szCs w:val="22"/>
              </w:rPr>
            </w:pPr>
          </w:p>
        </w:tc>
        <w:tc>
          <w:tcPr>
            <w:tcW w:w="2131" w:type="dxa"/>
            <w:tcBorders>
              <w:left w:val="single" w:sz="4" w:space="0" w:color="FFFFFF" w:themeColor="background1"/>
              <w:right w:val="single" w:sz="4" w:space="0" w:color="FFFFFF" w:themeColor="background1"/>
            </w:tcBorders>
          </w:tcPr>
          <w:p w14:paraId="6583D6E1" w14:textId="77777777" w:rsidR="003033DE" w:rsidRDefault="003033DE" w:rsidP="00CA5D0E">
            <w:pPr>
              <w:cnfStyle w:val="100000000000" w:firstRow="1" w:lastRow="0" w:firstColumn="0" w:lastColumn="0" w:oddVBand="0" w:evenVBand="0" w:oddHBand="0" w:evenHBand="0" w:firstRowFirstColumn="0" w:firstRowLastColumn="0" w:lastRowFirstColumn="0" w:lastRowLastColumn="0"/>
              <w:rPr>
                <w:rFonts w:ascii="Verdana" w:hAnsi="Verdana"/>
                <w:sz w:val="22"/>
                <w:szCs w:val="22"/>
              </w:rPr>
            </w:pPr>
            <w:r>
              <w:rPr>
                <w:rFonts w:ascii="Verdana" w:hAnsi="Verdana"/>
                <w:sz w:val="22"/>
                <w:szCs w:val="22"/>
              </w:rPr>
              <w:t>Owner Name</w:t>
            </w:r>
          </w:p>
        </w:tc>
        <w:tc>
          <w:tcPr>
            <w:tcW w:w="3330" w:type="dxa"/>
            <w:tcBorders>
              <w:left w:val="single" w:sz="4" w:space="0" w:color="FFFFFF" w:themeColor="background1"/>
              <w:right w:val="single" w:sz="4" w:space="0" w:color="FFFFFF" w:themeColor="background1"/>
            </w:tcBorders>
          </w:tcPr>
          <w:p w14:paraId="0DD76D54" w14:textId="77777777" w:rsidR="003033DE" w:rsidRDefault="003033DE" w:rsidP="00CA5D0E">
            <w:pPr>
              <w:cnfStyle w:val="100000000000" w:firstRow="1" w:lastRow="0" w:firstColumn="0" w:lastColumn="0" w:oddVBand="0" w:evenVBand="0" w:oddHBand="0" w:evenHBand="0" w:firstRowFirstColumn="0" w:firstRowLastColumn="0" w:lastRowFirstColumn="0" w:lastRowLastColumn="0"/>
              <w:rPr>
                <w:rFonts w:ascii="Verdana" w:hAnsi="Verdana"/>
                <w:sz w:val="22"/>
                <w:szCs w:val="22"/>
              </w:rPr>
            </w:pPr>
            <w:r>
              <w:rPr>
                <w:rFonts w:ascii="Verdana" w:hAnsi="Verdana"/>
                <w:sz w:val="22"/>
                <w:szCs w:val="22"/>
              </w:rPr>
              <w:t>Entity Designation</w:t>
            </w:r>
          </w:p>
        </w:tc>
        <w:tc>
          <w:tcPr>
            <w:tcW w:w="2155" w:type="dxa"/>
            <w:tcBorders>
              <w:left w:val="single" w:sz="4" w:space="0" w:color="FFFFFF" w:themeColor="background1"/>
            </w:tcBorders>
          </w:tcPr>
          <w:p w14:paraId="1C89DF19" w14:textId="77777777" w:rsidR="003033DE" w:rsidRDefault="003033DE" w:rsidP="00FD18E4">
            <w:pPr>
              <w:cnfStyle w:val="100000000000" w:firstRow="1" w:lastRow="0" w:firstColumn="0" w:lastColumn="0" w:oddVBand="0" w:evenVBand="0" w:oddHBand="0" w:evenHBand="0" w:firstRowFirstColumn="0" w:firstRowLastColumn="0" w:lastRowFirstColumn="0" w:lastRowLastColumn="0"/>
              <w:rPr>
                <w:rFonts w:ascii="Verdana" w:hAnsi="Verdana"/>
                <w:sz w:val="22"/>
                <w:szCs w:val="22"/>
              </w:rPr>
            </w:pPr>
            <w:r>
              <w:rPr>
                <w:rFonts w:ascii="Verdana" w:hAnsi="Verdana"/>
                <w:sz w:val="22"/>
                <w:szCs w:val="22"/>
              </w:rPr>
              <w:t xml:space="preserve">Country </w:t>
            </w:r>
          </w:p>
        </w:tc>
      </w:tr>
      <w:tr w:rsidR="003033DE" w14:paraId="450D24FC" w14:textId="77777777" w:rsidTr="00CA5D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dxa"/>
          </w:tcPr>
          <w:p w14:paraId="75E1C9FC" w14:textId="77777777" w:rsidR="003033DE" w:rsidRDefault="003033DE" w:rsidP="00CA5D0E">
            <w:pPr>
              <w:rPr>
                <w:rFonts w:ascii="Verdana" w:hAnsi="Verdana"/>
                <w:sz w:val="22"/>
                <w:szCs w:val="22"/>
              </w:rPr>
            </w:pPr>
            <w:r>
              <w:rPr>
                <w:rFonts w:ascii="Verdana" w:hAnsi="Verdana"/>
                <w:sz w:val="22"/>
                <w:szCs w:val="22"/>
              </w:rPr>
              <w:t>Application</w:t>
            </w:r>
          </w:p>
        </w:tc>
        <w:tc>
          <w:tcPr>
            <w:tcW w:w="2131" w:type="dxa"/>
          </w:tcPr>
          <w:p w14:paraId="720ED017" w14:textId="77777777" w:rsidR="003033DE" w:rsidRDefault="003033DE" w:rsidP="00CA5D0E">
            <w:pPr>
              <w:cnfStyle w:val="000000100000" w:firstRow="0" w:lastRow="0" w:firstColumn="0" w:lastColumn="0" w:oddVBand="0" w:evenVBand="0" w:oddHBand="1" w:evenHBand="0" w:firstRowFirstColumn="0" w:firstRowLastColumn="0" w:lastRowFirstColumn="0" w:lastRowLastColumn="0"/>
              <w:rPr>
                <w:rFonts w:ascii="Verdana" w:hAnsi="Verdana"/>
                <w:sz w:val="22"/>
                <w:szCs w:val="22"/>
              </w:rPr>
            </w:pPr>
            <w:r>
              <w:rPr>
                <w:rFonts w:ascii="Verdana" w:hAnsi="Verdana"/>
                <w:sz w:val="22"/>
                <w:szCs w:val="22"/>
              </w:rPr>
              <w:t>Redwood</w:t>
            </w:r>
          </w:p>
        </w:tc>
        <w:tc>
          <w:tcPr>
            <w:tcW w:w="3330" w:type="dxa"/>
          </w:tcPr>
          <w:p w14:paraId="3D51F2D3" w14:textId="77777777" w:rsidR="003033DE" w:rsidRDefault="003033DE" w:rsidP="00CA5D0E">
            <w:pPr>
              <w:cnfStyle w:val="000000100000" w:firstRow="0" w:lastRow="0" w:firstColumn="0" w:lastColumn="0" w:oddVBand="0" w:evenVBand="0" w:oddHBand="1" w:evenHBand="0" w:firstRowFirstColumn="0" w:firstRowLastColumn="0" w:lastRowFirstColumn="0" w:lastRowLastColumn="0"/>
              <w:rPr>
                <w:rFonts w:ascii="Verdana" w:hAnsi="Verdana"/>
                <w:sz w:val="22"/>
                <w:szCs w:val="22"/>
              </w:rPr>
            </w:pPr>
            <w:r>
              <w:rPr>
                <w:rFonts w:ascii="Verdana" w:hAnsi="Verdana"/>
                <w:sz w:val="22"/>
                <w:szCs w:val="22"/>
              </w:rPr>
              <w:t>Joint Stock Company</w:t>
            </w:r>
          </w:p>
        </w:tc>
        <w:tc>
          <w:tcPr>
            <w:tcW w:w="2155" w:type="dxa"/>
          </w:tcPr>
          <w:p w14:paraId="0BDD54DC" w14:textId="77777777" w:rsidR="003033DE" w:rsidRDefault="003033DE" w:rsidP="00CA5D0E">
            <w:pPr>
              <w:cnfStyle w:val="000000100000" w:firstRow="0" w:lastRow="0" w:firstColumn="0" w:lastColumn="0" w:oddVBand="0" w:evenVBand="0" w:oddHBand="1" w:evenHBand="0" w:firstRowFirstColumn="0" w:firstRowLastColumn="0" w:lastRowFirstColumn="0" w:lastRowLastColumn="0"/>
              <w:rPr>
                <w:rFonts w:ascii="Verdana" w:hAnsi="Verdana"/>
                <w:sz w:val="22"/>
                <w:szCs w:val="22"/>
              </w:rPr>
            </w:pPr>
            <w:r>
              <w:rPr>
                <w:rFonts w:ascii="Verdana" w:hAnsi="Verdana"/>
                <w:sz w:val="22"/>
                <w:szCs w:val="22"/>
              </w:rPr>
              <w:t>Switzerland</w:t>
            </w:r>
          </w:p>
        </w:tc>
      </w:tr>
      <w:tr w:rsidR="003033DE" w14:paraId="472D6A70" w14:textId="77777777" w:rsidTr="00CA5D0E">
        <w:tc>
          <w:tcPr>
            <w:cnfStyle w:val="001000000000" w:firstRow="0" w:lastRow="0" w:firstColumn="1" w:lastColumn="0" w:oddVBand="0" w:evenVBand="0" w:oddHBand="0" w:evenHBand="0" w:firstRowFirstColumn="0" w:firstRowLastColumn="0" w:lastRowFirstColumn="0" w:lastRowLastColumn="0"/>
            <w:tcW w:w="1734" w:type="dxa"/>
          </w:tcPr>
          <w:p w14:paraId="24509FB4" w14:textId="77777777" w:rsidR="003033DE" w:rsidRDefault="003033DE" w:rsidP="00CA5D0E">
            <w:pPr>
              <w:rPr>
                <w:rFonts w:ascii="Verdana" w:hAnsi="Verdana"/>
                <w:sz w:val="22"/>
                <w:szCs w:val="22"/>
              </w:rPr>
            </w:pPr>
            <w:r>
              <w:rPr>
                <w:rFonts w:ascii="Verdana" w:hAnsi="Verdana"/>
                <w:sz w:val="22"/>
                <w:szCs w:val="22"/>
              </w:rPr>
              <w:t>Registration</w:t>
            </w:r>
          </w:p>
        </w:tc>
        <w:tc>
          <w:tcPr>
            <w:tcW w:w="2131" w:type="dxa"/>
          </w:tcPr>
          <w:p w14:paraId="440B9328" w14:textId="77777777" w:rsidR="003033DE" w:rsidRDefault="003033DE" w:rsidP="00CA5D0E">
            <w:pP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Pr>
                <w:rFonts w:ascii="Verdana" w:hAnsi="Verdana"/>
                <w:sz w:val="22"/>
                <w:szCs w:val="22"/>
              </w:rPr>
              <w:t>Redwood</w:t>
            </w:r>
          </w:p>
        </w:tc>
        <w:tc>
          <w:tcPr>
            <w:tcW w:w="3330" w:type="dxa"/>
          </w:tcPr>
          <w:p w14:paraId="0B194C69" w14:textId="77777777" w:rsidR="003033DE" w:rsidRPr="0019321B" w:rsidRDefault="0019321B" w:rsidP="00CA5D0E">
            <w:pP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proofErr w:type="spellStart"/>
            <w:r w:rsidRPr="001D0C87">
              <w:rPr>
                <w:rFonts w:ascii="Verdana" w:hAnsi="Verdana"/>
                <w:sz w:val="22"/>
                <w:szCs w:val="22"/>
              </w:rPr>
              <w:t>Aktiebolag</w:t>
            </w:r>
            <w:proofErr w:type="spellEnd"/>
          </w:p>
        </w:tc>
        <w:tc>
          <w:tcPr>
            <w:tcW w:w="2155" w:type="dxa"/>
          </w:tcPr>
          <w:p w14:paraId="64951AAE" w14:textId="77777777" w:rsidR="003033DE" w:rsidRDefault="003033DE" w:rsidP="00CA5D0E">
            <w:pP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Pr>
                <w:rFonts w:ascii="Verdana" w:hAnsi="Verdana"/>
                <w:sz w:val="22"/>
                <w:szCs w:val="22"/>
              </w:rPr>
              <w:t>Sweden</w:t>
            </w:r>
          </w:p>
        </w:tc>
      </w:tr>
    </w:tbl>
    <w:p w14:paraId="345933BD" w14:textId="77777777" w:rsidR="003033DE" w:rsidRDefault="003033DE" w:rsidP="003033DE">
      <w:pPr>
        <w:rPr>
          <w:rFonts w:ascii="Verdana" w:hAnsi="Verdana"/>
          <w:sz w:val="22"/>
          <w:szCs w:val="22"/>
        </w:rPr>
      </w:pPr>
    </w:p>
    <w:p w14:paraId="5D22A676" w14:textId="77777777" w:rsidR="003033DE" w:rsidRDefault="003033DE" w:rsidP="003033DE">
      <w:pPr>
        <w:rPr>
          <w:rFonts w:ascii="Verdana" w:hAnsi="Verdana"/>
          <w:sz w:val="22"/>
          <w:szCs w:val="22"/>
        </w:rPr>
      </w:pPr>
      <w:r>
        <w:rPr>
          <w:rFonts w:ascii="Verdana" w:hAnsi="Verdana"/>
          <w:sz w:val="22"/>
          <w:szCs w:val="22"/>
        </w:rPr>
        <w:t>Here</w:t>
      </w:r>
      <w:r w:rsidRPr="001C3BFC">
        <w:rPr>
          <w:rFonts w:ascii="Verdana" w:hAnsi="Verdana"/>
          <w:sz w:val="22"/>
          <w:szCs w:val="22"/>
        </w:rPr>
        <w:t xml:space="preserve">, </w:t>
      </w:r>
      <w:r>
        <w:rPr>
          <w:rFonts w:ascii="Verdana" w:hAnsi="Verdana"/>
          <w:sz w:val="22"/>
          <w:szCs w:val="22"/>
        </w:rPr>
        <w:t xml:space="preserve">the owner names are identical and the entity designations, joint stock company and </w:t>
      </w:r>
      <w:proofErr w:type="spellStart"/>
      <w:r w:rsidR="0019321B" w:rsidRPr="003008F7">
        <w:rPr>
          <w:rFonts w:ascii="Verdana" w:hAnsi="Verdana"/>
          <w:i/>
          <w:sz w:val="22"/>
          <w:szCs w:val="22"/>
        </w:rPr>
        <w:t>Aktiebolag</w:t>
      </w:r>
      <w:proofErr w:type="spellEnd"/>
      <w:r>
        <w:rPr>
          <w:rFonts w:ascii="Verdana" w:hAnsi="Verdana"/>
          <w:sz w:val="22"/>
          <w:szCs w:val="22"/>
        </w:rPr>
        <w:t xml:space="preserve">, are equivalent according to </w:t>
      </w:r>
      <w:hyperlink r:id="rId13" w:tgtFrame="_blank" w:history="1">
        <w:r w:rsidRPr="00E95BE9">
          <w:rPr>
            <w:rStyle w:val="Hyperlink"/>
            <w:rFonts w:ascii="Verdana" w:hAnsi="Verdana"/>
            <w:bCs/>
            <w:sz w:val="22"/>
            <w:szCs w:val="22"/>
            <w:lang w:val="en"/>
          </w:rPr>
          <w:t>Appendix D</w:t>
        </w:r>
      </w:hyperlink>
      <w:r>
        <w:rPr>
          <w:rFonts w:ascii="Verdana" w:hAnsi="Verdana"/>
          <w:sz w:val="22"/>
          <w:szCs w:val="22"/>
        </w:rPr>
        <w:t xml:space="preserve">. However, the application identifies the country of organization as Switzerland, while the registration identifies the country of organization as Sweden. Thus, the examining attorney must treat the applicant and registrant as different owners and issue a </w:t>
      </w:r>
      <w:r w:rsidR="00367E23">
        <w:rPr>
          <w:rFonts w:ascii="Verdana" w:hAnsi="Verdana"/>
          <w:sz w:val="22"/>
          <w:szCs w:val="22"/>
        </w:rPr>
        <w:t>§</w:t>
      </w:r>
      <w:r w:rsidRPr="001C3BFC">
        <w:rPr>
          <w:rFonts w:ascii="Verdana" w:hAnsi="Verdana"/>
          <w:sz w:val="22"/>
          <w:szCs w:val="22"/>
        </w:rPr>
        <w:t>2(d) refusal</w:t>
      </w:r>
      <w:r>
        <w:rPr>
          <w:rFonts w:ascii="Verdana" w:hAnsi="Verdana"/>
          <w:sz w:val="22"/>
          <w:szCs w:val="22"/>
        </w:rPr>
        <w:t>.</w:t>
      </w:r>
    </w:p>
    <w:p w14:paraId="1558DDAD" w14:textId="77777777" w:rsidR="003033DE" w:rsidRPr="001C3BFC" w:rsidRDefault="003033DE" w:rsidP="003033DE">
      <w:pPr>
        <w:rPr>
          <w:rFonts w:ascii="Verdana" w:hAnsi="Verdana"/>
          <w:sz w:val="22"/>
          <w:szCs w:val="22"/>
        </w:rPr>
      </w:pPr>
    </w:p>
    <w:p w14:paraId="0D3D0367" w14:textId="3492E95D" w:rsidR="003033DE" w:rsidRPr="000F541E" w:rsidRDefault="003033DE" w:rsidP="003033DE">
      <w:pPr>
        <w:rPr>
          <w:rFonts w:ascii="Verdana" w:hAnsi="Verdana"/>
          <w:i/>
          <w:sz w:val="22"/>
          <w:szCs w:val="22"/>
        </w:rPr>
      </w:pPr>
      <w:r>
        <w:rPr>
          <w:rFonts w:ascii="Verdana" w:hAnsi="Verdana"/>
          <w:i/>
          <w:sz w:val="22"/>
          <w:szCs w:val="22"/>
        </w:rPr>
        <w:t>Example 4</w:t>
      </w:r>
      <w:r w:rsidR="00905A07">
        <w:rPr>
          <w:rFonts w:ascii="Verdana" w:hAnsi="Verdana"/>
          <w:i/>
          <w:sz w:val="22"/>
          <w:szCs w:val="22"/>
        </w:rPr>
        <w:t xml:space="preserve"> – No §2(d) Refusal</w:t>
      </w:r>
    </w:p>
    <w:p w14:paraId="78B839D1" w14:textId="77777777" w:rsidR="004F5081" w:rsidRDefault="004F5081" w:rsidP="004F5081">
      <w:pPr>
        <w:rPr>
          <w:rFonts w:ascii="Verdana" w:hAnsi="Verdana"/>
          <w:sz w:val="22"/>
          <w:szCs w:val="22"/>
        </w:rPr>
      </w:pPr>
    </w:p>
    <w:tbl>
      <w:tblPr>
        <w:tblStyle w:val="GridTable5Dark-Accent1"/>
        <w:tblW w:w="0" w:type="auto"/>
        <w:tblLook w:val="04A0" w:firstRow="1" w:lastRow="0" w:firstColumn="1" w:lastColumn="0" w:noHBand="0" w:noVBand="1"/>
      </w:tblPr>
      <w:tblGrid>
        <w:gridCol w:w="1734"/>
        <w:gridCol w:w="2041"/>
        <w:gridCol w:w="3420"/>
        <w:gridCol w:w="2155"/>
      </w:tblGrid>
      <w:tr w:rsidR="000C5D61" w14:paraId="23F9C74F" w14:textId="77777777" w:rsidTr="004204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dxa"/>
            <w:tcBorders>
              <w:right w:val="single" w:sz="4" w:space="0" w:color="FFFFFF" w:themeColor="background1"/>
            </w:tcBorders>
            <w:shd w:val="clear" w:color="auto" w:fill="FFFFFF" w:themeFill="background1"/>
          </w:tcPr>
          <w:p w14:paraId="4E8EF7FE" w14:textId="77777777" w:rsidR="000C5D61" w:rsidRDefault="000C5D61" w:rsidP="00C600CF">
            <w:pPr>
              <w:rPr>
                <w:rFonts w:ascii="Verdana" w:hAnsi="Verdana"/>
                <w:sz w:val="22"/>
                <w:szCs w:val="22"/>
              </w:rPr>
            </w:pPr>
          </w:p>
        </w:tc>
        <w:tc>
          <w:tcPr>
            <w:tcW w:w="2041" w:type="dxa"/>
            <w:tcBorders>
              <w:left w:val="single" w:sz="4" w:space="0" w:color="FFFFFF" w:themeColor="background1"/>
              <w:right w:val="single" w:sz="4" w:space="0" w:color="FFFFFF" w:themeColor="background1"/>
            </w:tcBorders>
          </w:tcPr>
          <w:p w14:paraId="5DCCA8DB" w14:textId="77777777" w:rsidR="000C5D61" w:rsidRDefault="000C5D61" w:rsidP="00C600CF">
            <w:pPr>
              <w:cnfStyle w:val="100000000000" w:firstRow="1" w:lastRow="0" w:firstColumn="0" w:lastColumn="0" w:oddVBand="0" w:evenVBand="0" w:oddHBand="0" w:evenHBand="0" w:firstRowFirstColumn="0" w:firstRowLastColumn="0" w:lastRowFirstColumn="0" w:lastRowLastColumn="0"/>
              <w:rPr>
                <w:rFonts w:ascii="Verdana" w:hAnsi="Verdana"/>
                <w:sz w:val="22"/>
                <w:szCs w:val="22"/>
              </w:rPr>
            </w:pPr>
            <w:r>
              <w:rPr>
                <w:rFonts w:ascii="Verdana" w:hAnsi="Verdana"/>
                <w:sz w:val="22"/>
                <w:szCs w:val="22"/>
              </w:rPr>
              <w:t>Owner Name</w:t>
            </w:r>
          </w:p>
        </w:tc>
        <w:tc>
          <w:tcPr>
            <w:tcW w:w="3420" w:type="dxa"/>
            <w:tcBorders>
              <w:left w:val="single" w:sz="4" w:space="0" w:color="FFFFFF" w:themeColor="background1"/>
              <w:right w:val="single" w:sz="4" w:space="0" w:color="FFFFFF" w:themeColor="background1"/>
            </w:tcBorders>
          </w:tcPr>
          <w:p w14:paraId="0F76D4BE" w14:textId="77777777" w:rsidR="000C5D61" w:rsidRDefault="000C5D61" w:rsidP="00C600CF">
            <w:pPr>
              <w:cnfStyle w:val="100000000000" w:firstRow="1" w:lastRow="0" w:firstColumn="0" w:lastColumn="0" w:oddVBand="0" w:evenVBand="0" w:oddHBand="0" w:evenHBand="0" w:firstRowFirstColumn="0" w:firstRowLastColumn="0" w:lastRowFirstColumn="0" w:lastRowLastColumn="0"/>
              <w:rPr>
                <w:rFonts w:ascii="Verdana" w:hAnsi="Verdana"/>
                <w:sz w:val="22"/>
                <w:szCs w:val="22"/>
              </w:rPr>
            </w:pPr>
            <w:r>
              <w:rPr>
                <w:rFonts w:ascii="Verdana" w:hAnsi="Verdana"/>
                <w:sz w:val="22"/>
                <w:szCs w:val="22"/>
              </w:rPr>
              <w:t>Entity Designation</w:t>
            </w:r>
          </w:p>
        </w:tc>
        <w:tc>
          <w:tcPr>
            <w:tcW w:w="2155" w:type="dxa"/>
            <w:tcBorders>
              <w:left w:val="single" w:sz="4" w:space="0" w:color="FFFFFF" w:themeColor="background1"/>
            </w:tcBorders>
          </w:tcPr>
          <w:p w14:paraId="5CCC482D" w14:textId="77777777" w:rsidR="000C5D61" w:rsidRDefault="000C5D61" w:rsidP="00FD18E4">
            <w:pPr>
              <w:cnfStyle w:val="100000000000" w:firstRow="1" w:lastRow="0" w:firstColumn="0" w:lastColumn="0" w:oddVBand="0" w:evenVBand="0" w:oddHBand="0" w:evenHBand="0" w:firstRowFirstColumn="0" w:firstRowLastColumn="0" w:lastRowFirstColumn="0" w:lastRowLastColumn="0"/>
              <w:rPr>
                <w:rFonts w:ascii="Verdana" w:hAnsi="Verdana"/>
                <w:sz w:val="22"/>
                <w:szCs w:val="22"/>
              </w:rPr>
            </w:pPr>
            <w:r>
              <w:rPr>
                <w:rFonts w:ascii="Verdana" w:hAnsi="Verdana"/>
                <w:sz w:val="22"/>
                <w:szCs w:val="22"/>
              </w:rPr>
              <w:t xml:space="preserve">Country </w:t>
            </w:r>
          </w:p>
        </w:tc>
      </w:tr>
      <w:tr w:rsidR="000C5D61" w14:paraId="4348F58E" w14:textId="77777777" w:rsidTr="00420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dxa"/>
          </w:tcPr>
          <w:p w14:paraId="405FD6D3" w14:textId="77777777" w:rsidR="000C5D61" w:rsidRDefault="000C5D61" w:rsidP="00C600CF">
            <w:pPr>
              <w:rPr>
                <w:rFonts w:ascii="Verdana" w:hAnsi="Verdana"/>
                <w:sz w:val="22"/>
                <w:szCs w:val="22"/>
              </w:rPr>
            </w:pPr>
            <w:r>
              <w:rPr>
                <w:rFonts w:ascii="Verdana" w:hAnsi="Verdana"/>
                <w:sz w:val="22"/>
                <w:szCs w:val="22"/>
              </w:rPr>
              <w:t>Application</w:t>
            </w:r>
          </w:p>
        </w:tc>
        <w:tc>
          <w:tcPr>
            <w:tcW w:w="2041" w:type="dxa"/>
          </w:tcPr>
          <w:p w14:paraId="37C12E2D" w14:textId="77777777" w:rsidR="000C5D61" w:rsidRDefault="000C5D61" w:rsidP="000C5D61">
            <w:pPr>
              <w:cnfStyle w:val="000000100000" w:firstRow="0" w:lastRow="0" w:firstColumn="0" w:lastColumn="0" w:oddVBand="0" w:evenVBand="0" w:oddHBand="1" w:evenHBand="0" w:firstRowFirstColumn="0" w:firstRowLastColumn="0" w:lastRowFirstColumn="0" w:lastRowLastColumn="0"/>
              <w:rPr>
                <w:rFonts w:ascii="Verdana" w:hAnsi="Verdana"/>
                <w:sz w:val="22"/>
                <w:szCs w:val="22"/>
              </w:rPr>
            </w:pPr>
            <w:r>
              <w:rPr>
                <w:rFonts w:ascii="Verdana" w:hAnsi="Verdana"/>
                <w:sz w:val="22"/>
                <w:szCs w:val="22"/>
              </w:rPr>
              <w:t>Space Labs, AB</w:t>
            </w:r>
          </w:p>
        </w:tc>
        <w:tc>
          <w:tcPr>
            <w:tcW w:w="3420" w:type="dxa"/>
          </w:tcPr>
          <w:p w14:paraId="09153FCE" w14:textId="77777777" w:rsidR="000C5D61" w:rsidRDefault="000C5D61" w:rsidP="00C600CF">
            <w:pPr>
              <w:cnfStyle w:val="000000100000" w:firstRow="0" w:lastRow="0" w:firstColumn="0" w:lastColumn="0" w:oddVBand="0" w:evenVBand="0" w:oddHBand="1" w:evenHBand="0" w:firstRowFirstColumn="0" w:firstRowLastColumn="0" w:lastRowFirstColumn="0" w:lastRowLastColumn="0"/>
              <w:rPr>
                <w:rFonts w:ascii="Verdana" w:hAnsi="Verdana"/>
                <w:sz w:val="22"/>
                <w:szCs w:val="22"/>
              </w:rPr>
            </w:pPr>
            <w:r>
              <w:rPr>
                <w:rFonts w:ascii="Verdana" w:hAnsi="Verdana"/>
                <w:sz w:val="22"/>
                <w:szCs w:val="22"/>
              </w:rPr>
              <w:t>Joint Stock Company</w:t>
            </w:r>
          </w:p>
        </w:tc>
        <w:tc>
          <w:tcPr>
            <w:tcW w:w="2155" w:type="dxa"/>
          </w:tcPr>
          <w:p w14:paraId="0F3D71F1" w14:textId="77777777" w:rsidR="000C5D61" w:rsidRDefault="000C5D61" w:rsidP="00C600CF">
            <w:pPr>
              <w:cnfStyle w:val="000000100000" w:firstRow="0" w:lastRow="0" w:firstColumn="0" w:lastColumn="0" w:oddVBand="0" w:evenVBand="0" w:oddHBand="1" w:evenHBand="0" w:firstRowFirstColumn="0" w:firstRowLastColumn="0" w:lastRowFirstColumn="0" w:lastRowLastColumn="0"/>
              <w:rPr>
                <w:rFonts w:ascii="Verdana" w:hAnsi="Verdana"/>
                <w:sz w:val="22"/>
                <w:szCs w:val="22"/>
              </w:rPr>
            </w:pPr>
            <w:r>
              <w:rPr>
                <w:rFonts w:ascii="Verdana" w:hAnsi="Verdana"/>
                <w:sz w:val="22"/>
                <w:szCs w:val="22"/>
              </w:rPr>
              <w:t>Sweden</w:t>
            </w:r>
          </w:p>
        </w:tc>
      </w:tr>
      <w:tr w:rsidR="000C5D61" w14:paraId="280ECD1D" w14:textId="77777777" w:rsidTr="00420427">
        <w:tc>
          <w:tcPr>
            <w:cnfStyle w:val="001000000000" w:firstRow="0" w:lastRow="0" w:firstColumn="1" w:lastColumn="0" w:oddVBand="0" w:evenVBand="0" w:oddHBand="0" w:evenHBand="0" w:firstRowFirstColumn="0" w:firstRowLastColumn="0" w:lastRowFirstColumn="0" w:lastRowLastColumn="0"/>
            <w:tcW w:w="1734" w:type="dxa"/>
          </w:tcPr>
          <w:p w14:paraId="61011B9B" w14:textId="77777777" w:rsidR="000C5D61" w:rsidRDefault="000C5D61" w:rsidP="00C600CF">
            <w:pPr>
              <w:rPr>
                <w:rFonts w:ascii="Verdana" w:hAnsi="Verdana"/>
                <w:sz w:val="22"/>
                <w:szCs w:val="22"/>
              </w:rPr>
            </w:pPr>
            <w:r>
              <w:rPr>
                <w:rFonts w:ascii="Verdana" w:hAnsi="Verdana"/>
                <w:sz w:val="22"/>
                <w:szCs w:val="22"/>
              </w:rPr>
              <w:t>Registration</w:t>
            </w:r>
          </w:p>
        </w:tc>
        <w:tc>
          <w:tcPr>
            <w:tcW w:w="2041" w:type="dxa"/>
          </w:tcPr>
          <w:p w14:paraId="028CED0B" w14:textId="77777777" w:rsidR="000C5D61" w:rsidRDefault="000C5D61" w:rsidP="000C5D61">
            <w:pP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Pr>
                <w:rFonts w:ascii="Verdana" w:hAnsi="Verdana"/>
                <w:sz w:val="22"/>
                <w:szCs w:val="22"/>
              </w:rPr>
              <w:t>Space Labs, AB</w:t>
            </w:r>
          </w:p>
        </w:tc>
        <w:tc>
          <w:tcPr>
            <w:tcW w:w="3420" w:type="dxa"/>
          </w:tcPr>
          <w:p w14:paraId="736E6967" w14:textId="77777777" w:rsidR="000C5D61" w:rsidRDefault="000C5D61" w:rsidP="00C600CF">
            <w:pP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Pr>
                <w:rFonts w:ascii="Verdana" w:hAnsi="Verdana"/>
                <w:sz w:val="22"/>
                <w:szCs w:val="22"/>
              </w:rPr>
              <w:t>Corporation</w:t>
            </w:r>
          </w:p>
        </w:tc>
        <w:tc>
          <w:tcPr>
            <w:tcW w:w="2155" w:type="dxa"/>
          </w:tcPr>
          <w:p w14:paraId="6DCE8D47" w14:textId="77777777" w:rsidR="000C5D61" w:rsidRDefault="000C5D61" w:rsidP="00C600CF">
            <w:pP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Pr>
                <w:rFonts w:ascii="Verdana" w:hAnsi="Verdana"/>
                <w:sz w:val="22"/>
                <w:szCs w:val="22"/>
              </w:rPr>
              <w:t>Sweden</w:t>
            </w:r>
          </w:p>
        </w:tc>
      </w:tr>
    </w:tbl>
    <w:p w14:paraId="5ADF8FCD" w14:textId="77777777" w:rsidR="000C5D61" w:rsidRPr="001C3BFC" w:rsidRDefault="000C5D61" w:rsidP="001C3BFC">
      <w:pPr>
        <w:rPr>
          <w:rFonts w:ascii="Verdana" w:hAnsi="Verdana"/>
          <w:sz w:val="22"/>
          <w:szCs w:val="22"/>
        </w:rPr>
      </w:pPr>
    </w:p>
    <w:p w14:paraId="4D9C8323" w14:textId="77777777" w:rsidR="001C3BFC" w:rsidRDefault="000C5D61" w:rsidP="001C3BFC">
      <w:pPr>
        <w:rPr>
          <w:rFonts w:ascii="Verdana" w:hAnsi="Verdana"/>
          <w:sz w:val="22"/>
          <w:szCs w:val="22"/>
        </w:rPr>
      </w:pPr>
      <w:r>
        <w:rPr>
          <w:rFonts w:ascii="Verdana" w:hAnsi="Verdana"/>
          <w:sz w:val="22"/>
          <w:szCs w:val="22"/>
        </w:rPr>
        <w:t>Here</w:t>
      </w:r>
      <w:r w:rsidR="001C3BFC" w:rsidRPr="001C3BFC">
        <w:rPr>
          <w:rFonts w:ascii="Verdana" w:hAnsi="Verdana"/>
          <w:sz w:val="22"/>
          <w:szCs w:val="22"/>
        </w:rPr>
        <w:t xml:space="preserve">, </w:t>
      </w:r>
      <w:r w:rsidR="00CE6ECB">
        <w:rPr>
          <w:rFonts w:ascii="Verdana" w:hAnsi="Verdana"/>
          <w:sz w:val="22"/>
          <w:szCs w:val="22"/>
        </w:rPr>
        <w:t>the owner names</w:t>
      </w:r>
      <w:r w:rsidR="00FC3A2C">
        <w:rPr>
          <w:rFonts w:ascii="Verdana" w:hAnsi="Verdana"/>
          <w:sz w:val="22"/>
          <w:szCs w:val="22"/>
        </w:rPr>
        <w:t>, which include the entity designation “AB,”</w:t>
      </w:r>
      <w:r w:rsidR="00CE6ECB">
        <w:rPr>
          <w:rFonts w:ascii="Verdana" w:hAnsi="Verdana"/>
          <w:sz w:val="22"/>
          <w:szCs w:val="22"/>
        </w:rPr>
        <w:t xml:space="preserve"> </w:t>
      </w:r>
      <w:r w:rsidR="00A7753F">
        <w:rPr>
          <w:rFonts w:ascii="Verdana" w:hAnsi="Verdana"/>
          <w:sz w:val="22"/>
          <w:szCs w:val="22"/>
        </w:rPr>
        <w:t xml:space="preserve">are identical and the country of </w:t>
      </w:r>
      <w:r w:rsidR="003008F7">
        <w:rPr>
          <w:rFonts w:ascii="Verdana" w:hAnsi="Verdana"/>
          <w:sz w:val="22"/>
          <w:szCs w:val="22"/>
        </w:rPr>
        <w:t>organization</w:t>
      </w:r>
      <w:r w:rsidR="00A7753F">
        <w:rPr>
          <w:rFonts w:ascii="Verdana" w:hAnsi="Verdana"/>
          <w:sz w:val="22"/>
          <w:szCs w:val="22"/>
        </w:rPr>
        <w:t>, Sweden, is the same. A</w:t>
      </w:r>
      <w:r w:rsidR="001C3BFC" w:rsidRPr="001C3BFC">
        <w:rPr>
          <w:rFonts w:ascii="Verdana" w:hAnsi="Verdana"/>
          <w:sz w:val="22"/>
          <w:szCs w:val="22"/>
        </w:rPr>
        <w:t>lthough the registrant has used “Corporation” to describe the nature of its entity, and applicant has used “</w:t>
      </w:r>
      <w:r>
        <w:rPr>
          <w:rFonts w:ascii="Verdana" w:hAnsi="Verdana"/>
          <w:sz w:val="22"/>
          <w:szCs w:val="22"/>
        </w:rPr>
        <w:t>Joint Stoc</w:t>
      </w:r>
      <w:r w:rsidR="00F0424A">
        <w:rPr>
          <w:rFonts w:ascii="Verdana" w:hAnsi="Verdana"/>
          <w:sz w:val="22"/>
          <w:szCs w:val="22"/>
        </w:rPr>
        <w:t>k</w:t>
      </w:r>
      <w:r w:rsidR="001C3BFC" w:rsidRPr="001C3BFC">
        <w:rPr>
          <w:rFonts w:ascii="Verdana" w:hAnsi="Verdana"/>
          <w:sz w:val="22"/>
          <w:szCs w:val="22"/>
        </w:rPr>
        <w:t xml:space="preserve"> Company,” </w:t>
      </w:r>
      <w:hyperlink r:id="rId14" w:tgtFrame="_blank" w:history="1">
        <w:r w:rsidR="005D21F6" w:rsidRPr="00E95BE9">
          <w:rPr>
            <w:rStyle w:val="Hyperlink"/>
            <w:rFonts w:ascii="Verdana" w:hAnsi="Verdana"/>
            <w:bCs/>
            <w:sz w:val="22"/>
            <w:szCs w:val="22"/>
            <w:lang w:val="en"/>
          </w:rPr>
          <w:t>Appendix D</w:t>
        </w:r>
      </w:hyperlink>
      <w:r w:rsidR="00A7753F">
        <w:rPr>
          <w:rFonts w:ascii="Verdana" w:hAnsi="Verdana"/>
          <w:sz w:val="22"/>
          <w:szCs w:val="22"/>
        </w:rPr>
        <w:t xml:space="preserve"> indicates that, in Sweden, an AB, or </w:t>
      </w:r>
      <w:proofErr w:type="spellStart"/>
      <w:r w:rsidR="00A7753F" w:rsidRPr="003008F7">
        <w:rPr>
          <w:rFonts w:ascii="Verdana" w:hAnsi="Verdana"/>
          <w:i/>
          <w:sz w:val="22"/>
          <w:szCs w:val="22"/>
        </w:rPr>
        <w:t>Aktiebolag</w:t>
      </w:r>
      <w:proofErr w:type="spellEnd"/>
      <w:r w:rsidR="00A7753F">
        <w:rPr>
          <w:rFonts w:ascii="Verdana" w:hAnsi="Verdana"/>
          <w:sz w:val="22"/>
          <w:szCs w:val="22"/>
        </w:rPr>
        <w:t xml:space="preserve">, is a </w:t>
      </w:r>
      <w:r w:rsidR="003008F7">
        <w:rPr>
          <w:rFonts w:ascii="Verdana" w:hAnsi="Verdana"/>
          <w:sz w:val="22"/>
          <w:szCs w:val="22"/>
        </w:rPr>
        <w:t>joint stock company</w:t>
      </w:r>
      <w:r w:rsidR="00A7753F">
        <w:rPr>
          <w:rFonts w:ascii="Verdana" w:hAnsi="Verdana"/>
          <w:sz w:val="22"/>
          <w:szCs w:val="22"/>
        </w:rPr>
        <w:t>,</w:t>
      </w:r>
      <w:r w:rsidR="003008F7">
        <w:rPr>
          <w:rFonts w:ascii="Verdana" w:hAnsi="Verdana"/>
          <w:sz w:val="22"/>
          <w:szCs w:val="22"/>
        </w:rPr>
        <w:t xml:space="preserve"> which is</w:t>
      </w:r>
      <w:r w:rsidR="00A7753F">
        <w:rPr>
          <w:rFonts w:ascii="Verdana" w:hAnsi="Verdana"/>
          <w:sz w:val="22"/>
          <w:szCs w:val="22"/>
        </w:rPr>
        <w:t xml:space="preserve"> equivalent to a corporation. Thus, the owner is presumed to be the same and no </w:t>
      </w:r>
      <w:r w:rsidR="00367E23">
        <w:rPr>
          <w:rFonts w:ascii="Verdana" w:hAnsi="Verdana"/>
          <w:sz w:val="22"/>
          <w:szCs w:val="22"/>
        </w:rPr>
        <w:t>§</w:t>
      </w:r>
      <w:r w:rsidR="001C3BFC" w:rsidRPr="001C3BFC">
        <w:rPr>
          <w:rFonts w:ascii="Verdana" w:hAnsi="Verdana"/>
          <w:sz w:val="22"/>
          <w:szCs w:val="22"/>
        </w:rPr>
        <w:t xml:space="preserve">2(d) refusal </w:t>
      </w:r>
      <w:r w:rsidR="00A7753F">
        <w:rPr>
          <w:rFonts w:ascii="Verdana" w:hAnsi="Verdana"/>
          <w:sz w:val="22"/>
          <w:szCs w:val="22"/>
        </w:rPr>
        <w:t xml:space="preserve">should issue. </w:t>
      </w:r>
    </w:p>
    <w:p w14:paraId="085FC37D" w14:textId="77777777" w:rsidR="003008F7" w:rsidRDefault="003008F7" w:rsidP="001C3BFC">
      <w:pPr>
        <w:rPr>
          <w:rFonts w:ascii="Verdana" w:hAnsi="Verdana"/>
          <w:sz w:val="22"/>
          <w:szCs w:val="22"/>
        </w:rPr>
      </w:pPr>
    </w:p>
    <w:p w14:paraId="5CDB49DB" w14:textId="29E139D1" w:rsidR="003033DE" w:rsidRPr="00905A07" w:rsidRDefault="003033DE" w:rsidP="003033DE">
      <w:pPr>
        <w:rPr>
          <w:rFonts w:ascii="Verdana" w:hAnsi="Verdana"/>
          <w:b/>
          <w:i/>
          <w:sz w:val="22"/>
          <w:szCs w:val="22"/>
        </w:rPr>
      </w:pPr>
      <w:r>
        <w:rPr>
          <w:rFonts w:ascii="Verdana" w:hAnsi="Verdana"/>
          <w:i/>
          <w:sz w:val="22"/>
          <w:szCs w:val="22"/>
        </w:rPr>
        <w:t>Example 5</w:t>
      </w:r>
      <w:r>
        <w:rPr>
          <w:rFonts w:ascii="Verdana" w:hAnsi="Verdana"/>
          <w:sz w:val="22"/>
          <w:szCs w:val="22"/>
        </w:rPr>
        <w:t xml:space="preserve"> </w:t>
      </w:r>
      <w:r w:rsidR="00905A07">
        <w:rPr>
          <w:rFonts w:ascii="Verdana" w:hAnsi="Verdana"/>
          <w:i/>
          <w:sz w:val="22"/>
          <w:szCs w:val="22"/>
        </w:rPr>
        <w:t xml:space="preserve">- No §2(d) Refusal </w:t>
      </w:r>
    </w:p>
    <w:p w14:paraId="63AD4048" w14:textId="77777777" w:rsidR="00477BED" w:rsidRDefault="00477BED" w:rsidP="003008F7">
      <w:pPr>
        <w:rPr>
          <w:rFonts w:ascii="Verdana" w:hAnsi="Verdana"/>
          <w:i/>
          <w:sz w:val="22"/>
          <w:szCs w:val="22"/>
        </w:rPr>
      </w:pPr>
    </w:p>
    <w:tbl>
      <w:tblPr>
        <w:tblStyle w:val="GridTable5Dark-Accent1"/>
        <w:tblW w:w="0" w:type="auto"/>
        <w:tblLook w:val="04A0" w:firstRow="1" w:lastRow="0" w:firstColumn="1" w:lastColumn="0" w:noHBand="0" w:noVBand="1"/>
      </w:tblPr>
      <w:tblGrid>
        <w:gridCol w:w="1734"/>
        <w:gridCol w:w="2041"/>
        <w:gridCol w:w="3420"/>
        <w:gridCol w:w="2155"/>
      </w:tblGrid>
      <w:tr w:rsidR="00420427" w14:paraId="144013AD" w14:textId="77777777" w:rsidTr="00FF46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dxa"/>
            <w:tcBorders>
              <w:right w:val="single" w:sz="4" w:space="0" w:color="FFFFFF" w:themeColor="background1"/>
            </w:tcBorders>
            <w:shd w:val="clear" w:color="auto" w:fill="FFFFFF" w:themeFill="background1"/>
          </w:tcPr>
          <w:p w14:paraId="0887EF50" w14:textId="77777777" w:rsidR="00477BED" w:rsidRDefault="00477BED" w:rsidP="0064172C">
            <w:pPr>
              <w:rPr>
                <w:rFonts w:ascii="Verdana" w:hAnsi="Verdana"/>
                <w:sz w:val="22"/>
                <w:szCs w:val="22"/>
              </w:rPr>
            </w:pPr>
          </w:p>
        </w:tc>
        <w:tc>
          <w:tcPr>
            <w:tcW w:w="2041" w:type="dxa"/>
            <w:tcBorders>
              <w:left w:val="single" w:sz="4" w:space="0" w:color="FFFFFF" w:themeColor="background1"/>
              <w:right w:val="single" w:sz="4" w:space="0" w:color="FFFFFF" w:themeColor="background1"/>
            </w:tcBorders>
          </w:tcPr>
          <w:p w14:paraId="61F48BC7" w14:textId="77777777" w:rsidR="00477BED" w:rsidRDefault="00477BED" w:rsidP="0064172C">
            <w:pPr>
              <w:cnfStyle w:val="100000000000" w:firstRow="1" w:lastRow="0" w:firstColumn="0" w:lastColumn="0" w:oddVBand="0" w:evenVBand="0" w:oddHBand="0" w:evenHBand="0" w:firstRowFirstColumn="0" w:firstRowLastColumn="0" w:lastRowFirstColumn="0" w:lastRowLastColumn="0"/>
              <w:rPr>
                <w:rFonts w:ascii="Verdana" w:hAnsi="Verdana"/>
                <w:sz w:val="22"/>
                <w:szCs w:val="22"/>
              </w:rPr>
            </w:pPr>
            <w:r>
              <w:rPr>
                <w:rFonts w:ascii="Verdana" w:hAnsi="Verdana"/>
                <w:sz w:val="22"/>
                <w:szCs w:val="22"/>
              </w:rPr>
              <w:t>Owner Name</w:t>
            </w:r>
          </w:p>
        </w:tc>
        <w:tc>
          <w:tcPr>
            <w:tcW w:w="3420" w:type="dxa"/>
            <w:tcBorders>
              <w:left w:val="single" w:sz="4" w:space="0" w:color="FFFFFF" w:themeColor="background1"/>
              <w:right w:val="single" w:sz="4" w:space="0" w:color="FFFFFF" w:themeColor="background1"/>
            </w:tcBorders>
          </w:tcPr>
          <w:p w14:paraId="7DA34893" w14:textId="77777777" w:rsidR="00477BED" w:rsidRDefault="00477BED" w:rsidP="0064172C">
            <w:pPr>
              <w:cnfStyle w:val="100000000000" w:firstRow="1" w:lastRow="0" w:firstColumn="0" w:lastColumn="0" w:oddVBand="0" w:evenVBand="0" w:oddHBand="0" w:evenHBand="0" w:firstRowFirstColumn="0" w:firstRowLastColumn="0" w:lastRowFirstColumn="0" w:lastRowLastColumn="0"/>
              <w:rPr>
                <w:rFonts w:ascii="Verdana" w:hAnsi="Verdana"/>
                <w:sz w:val="22"/>
                <w:szCs w:val="22"/>
              </w:rPr>
            </w:pPr>
            <w:r>
              <w:rPr>
                <w:rFonts w:ascii="Verdana" w:hAnsi="Verdana"/>
                <w:sz w:val="22"/>
                <w:szCs w:val="22"/>
              </w:rPr>
              <w:t>Entity Designation</w:t>
            </w:r>
          </w:p>
        </w:tc>
        <w:tc>
          <w:tcPr>
            <w:tcW w:w="2155" w:type="dxa"/>
            <w:tcBorders>
              <w:left w:val="single" w:sz="4" w:space="0" w:color="FFFFFF" w:themeColor="background1"/>
            </w:tcBorders>
          </w:tcPr>
          <w:p w14:paraId="7C243632" w14:textId="77777777" w:rsidR="00477BED" w:rsidRDefault="00477BED" w:rsidP="00FD18E4">
            <w:pPr>
              <w:cnfStyle w:val="100000000000" w:firstRow="1" w:lastRow="0" w:firstColumn="0" w:lastColumn="0" w:oddVBand="0" w:evenVBand="0" w:oddHBand="0" w:evenHBand="0" w:firstRowFirstColumn="0" w:firstRowLastColumn="0" w:lastRowFirstColumn="0" w:lastRowLastColumn="0"/>
              <w:rPr>
                <w:rFonts w:ascii="Verdana" w:hAnsi="Verdana"/>
                <w:sz w:val="22"/>
                <w:szCs w:val="22"/>
              </w:rPr>
            </w:pPr>
            <w:r>
              <w:rPr>
                <w:rFonts w:ascii="Verdana" w:hAnsi="Verdana"/>
                <w:sz w:val="22"/>
                <w:szCs w:val="22"/>
              </w:rPr>
              <w:t xml:space="preserve">Country </w:t>
            </w:r>
          </w:p>
        </w:tc>
      </w:tr>
      <w:tr w:rsidR="00477BED" w14:paraId="6C469A07" w14:textId="77777777" w:rsidTr="00FF46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dxa"/>
          </w:tcPr>
          <w:p w14:paraId="793FA2E5" w14:textId="77777777" w:rsidR="00477BED" w:rsidRDefault="00477BED" w:rsidP="0064172C">
            <w:pPr>
              <w:rPr>
                <w:rFonts w:ascii="Verdana" w:hAnsi="Verdana"/>
                <w:sz w:val="22"/>
                <w:szCs w:val="22"/>
              </w:rPr>
            </w:pPr>
            <w:r>
              <w:rPr>
                <w:rFonts w:ascii="Verdana" w:hAnsi="Verdana"/>
                <w:sz w:val="22"/>
                <w:szCs w:val="22"/>
              </w:rPr>
              <w:t>Application</w:t>
            </w:r>
          </w:p>
        </w:tc>
        <w:tc>
          <w:tcPr>
            <w:tcW w:w="2041" w:type="dxa"/>
          </w:tcPr>
          <w:p w14:paraId="19591D3C" w14:textId="77777777" w:rsidR="00477BED" w:rsidRDefault="00477BED" w:rsidP="0064172C">
            <w:pPr>
              <w:cnfStyle w:val="000000100000" w:firstRow="0" w:lastRow="0" w:firstColumn="0" w:lastColumn="0" w:oddVBand="0" w:evenVBand="0" w:oddHBand="1" w:evenHBand="0" w:firstRowFirstColumn="0" w:firstRowLastColumn="0" w:lastRowFirstColumn="0" w:lastRowLastColumn="0"/>
              <w:rPr>
                <w:rFonts w:ascii="Verdana" w:hAnsi="Verdana"/>
                <w:sz w:val="22"/>
                <w:szCs w:val="22"/>
              </w:rPr>
            </w:pPr>
            <w:r>
              <w:rPr>
                <w:rFonts w:ascii="Verdana" w:hAnsi="Verdana"/>
                <w:sz w:val="22"/>
                <w:szCs w:val="22"/>
              </w:rPr>
              <w:t>Skyline</w:t>
            </w:r>
            <w:r w:rsidR="00420427">
              <w:rPr>
                <w:rFonts w:ascii="Verdana" w:hAnsi="Verdana"/>
                <w:sz w:val="22"/>
                <w:szCs w:val="22"/>
              </w:rPr>
              <w:t>,</w:t>
            </w:r>
            <w:r>
              <w:rPr>
                <w:rFonts w:ascii="Verdana" w:hAnsi="Verdana"/>
                <w:sz w:val="22"/>
                <w:szCs w:val="22"/>
              </w:rPr>
              <w:t xml:space="preserve"> GmbH</w:t>
            </w:r>
          </w:p>
        </w:tc>
        <w:tc>
          <w:tcPr>
            <w:tcW w:w="3420" w:type="dxa"/>
          </w:tcPr>
          <w:p w14:paraId="0AC34BF6" w14:textId="77777777" w:rsidR="00477BED" w:rsidRDefault="00420427" w:rsidP="0064172C">
            <w:pPr>
              <w:cnfStyle w:val="000000100000" w:firstRow="0" w:lastRow="0" w:firstColumn="0" w:lastColumn="0" w:oddVBand="0" w:evenVBand="0" w:oddHBand="1" w:evenHBand="0" w:firstRowFirstColumn="0" w:firstRowLastColumn="0" w:lastRowFirstColumn="0" w:lastRowLastColumn="0"/>
              <w:rPr>
                <w:rFonts w:ascii="Verdana" w:hAnsi="Verdana"/>
                <w:sz w:val="22"/>
                <w:szCs w:val="22"/>
              </w:rPr>
            </w:pPr>
            <w:r>
              <w:rPr>
                <w:rFonts w:ascii="Verdana" w:hAnsi="Verdana"/>
                <w:sz w:val="22"/>
                <w:szCs w:val="22"/>
              </w:rPr>
              <w:t>Limited Liability</w:t>
            </w:r>
            <w:r w:rsidR="00477BED">
              <w:rPr>
                <w:rFonts w:ascii="Verdana" w:hAnsi="Verdana"/>
                <w:sz w:val="22"/>
                <w:szCs w:val="22"/>
              </w:rPr>
              <w:t xml:space="preserve"> Company</w:t>
            </w:r>
          </w:p>
        </w:tc>
        <w:tc>
          <w:tcPr>
            <w:tcW w:w="2155" w:type="dxa"/>
          </w:tcPr>
          <w:p w14:paraId="0145C296" w14:textId="77777777" w:rsidR="00477BED" w:rsidRDefault="00420427" w:rsidP="0064172C">
            <w:pPr>
              <w:cnfStyle w:val="000000100000" w:firstRow="0" w:lastRow="0" w:firstColumn="0" w:lastColumn="0" w:oddVBand="0" w:evenVBand="0" w:oddHBand="1" w:evenHBand="0" w:firstRowFirstColumn="0" w:firstRowLastColumn="0" w:lastRowFirstColumn="0" w:lastRowLastColumn="0"/>
              <w:rPr>
                <w:rFonts w:ascii="Verdana" w:hAnsi="Verdana"/>
                <w:sz w:val="22"/>
                <w:szCs w:val="22"/>
              </w:rPr>
            </w:pPr>
            <w:r>
              <w:rPr>
                <w:rFonts w:ascii="Verdana" w:hAnsi="Verdana"/>
                <w:sz w:val="22"/>
                <w:szCs w:val="22"/>
              </w:rPr>
              <w:t>Germany</w:t>
            </w:r>
          </w:p>
        </w:tc>
      </w:tr>
      <w:tr w:rsidR="00477BED" w14:paraId="7091A21D" w14:textId="77777777" w:rsidTr="00FF4680">
        <w:tc>
          <w:tcPr>
            <w:cnfStyle w:val="001000000000" w:firstRow="0" w:lastRow="0" w:firstColumn="1" w:lastColumn="0" w:oddVBand="0" w:evenVBand="0" w:oddHBand="0" w:evenHBand="0" w:firstRowFirstColumn="0" w:firstRowLastColumn="0" w:lastRowFirstColumn="0" w:lastRowLastColumn="0"/>
            <w:tcW w:w="1734" w:type="dxa"/>
          </w:tcPr>
          <w:p w14:paraId="6B8FFED2" w14:textId="77777777" w:rsidR="00477BED" w:rsidRDefault="00477BED" w:rsidP="0064172C">
            <w:pPr>
              <w:rPr>
                <w:rFonts w:ascii="Verdana" w:hAnsi="Verdana"/>
                <w:sz w:val="22"/>
                <w:szCs w:val="22"/>
              </w:rPr>
            </w:pPr>
            <w:r>
              <w:rPr>
                <w:rFonts w:ascii="Verdana" w:hAnsi="Verdana"/>
                <w:sz w:val="22"/>
                <w:szCs w:val="22"/>
              </w:rPr>
              <w:t>Registration</w:t>
            </w:r>
          </w:p>
        </w:tc>
        <w:tc>
          <w:tcPr>
            <w:tcW w:w="2041" w:type="dxa"/>
          </w:tcPr>
          <w:p w14:paraId="0E2FA279" w14:textId="77777777" w:rsidR="00477BED" w:rsidRDefault="00477BED" w:rsidP="0064172C">
            <w:pP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Pr>
                <w:rFonts w:ascii="Verdana" w:hAnsi="Verdana"/>
                <w:sz w:val="22"/>
                <w:szCs w:val="22"/>
              </w:rPr>
              <w:t>Skyline</w:t>
            </w:r>
            <w:r w:rsidR="00420427">
              <w:rPr>
                <w:rFonts w:ascii="Verdana" w:hAnsi="Verdana"/>
                <w:sz w:val="22"/>
                <w:szCs w:val="22"/>
              </w:rPr>
              <w:t>,</w:t>
            </w:r>
            <w:r>
              <w:rPr>
                <w:rFonts w:ascii="Verdana" w:hAnsi="Verdana"/>
                <w:sz w:val="22"/>
                <w:szCs w:val="22"/>
              </w:rPr>
              <w:t xml:space="preserve"> GmbH</w:t>
            </w:r>
          </w:p>
        </w:tc>
        <w:tc>
          <w:tcPr>
            <w:tcW w:w="3420" w:type="dxa"/>
          </w:tcPr>
          <w:p w14:paraId="5478A9E3" w14:textId="77777777" w:rsidR="00477BED" w:rsidRDefault="00477BED" w:rsidP="0064172C">
            <w:pP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Pr>
                <w:rFonts w:ascii="Verdana" w:hAnsi="Verdana"/>
                <w:sz w:val="22"/>
                <w:szCs w:val="22"/>
              </w:rPr>
              <w:t>Corporation</w:t>
            </w:r>
          </w:p>
        </w:tc>
        <w:tc>
          <w:tcPr>
            <w:tcW w:w="2155" w:type="dxa"/>
          </w:tcPr>
          <w:p w14:paraId="341A5091" w14:textId="77777777" w:rsidR="00477BED" w:rsidRDefault="00420427" w:rsidP="0064172C">
            <w:pP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r>
              <w:rPr>
                <w:rFonts w:ascii="Verdana" w:hAnsi="Verdana"/>
                <w:sz w:val="22"/>
                <w:szCs w:val="22"/>
              </w:rPr>
              <w:t>Germany</w:t>
            </w:r>
          </w:p>
        </w:tc>
      </w:tr>
    </w:tbl>
    <w:p w14:paraId="1E0531C4" w14:textId="77777777" w:rsidR="00477BED" w:rsidRDefault="00477BED" w:rsidP="003008F7">
      <w:pPr>
        <w:rPr>
          <w:rFonts w:ascii="Verdana" w:hAnsi="Verdana"/>
          <w:i/>
          <w:sz w:val="22"/>
          <w:szCs w:val="22"/>
        </w:rPr>
      </w:pPr>
    </w:p>
    <w:p w14:paraId="4852F02A" w14:textId="77777777" w:rsidR="001C3BFC" w:rsidRPr="001C3BFC" w:rsidRDefault="00420427" w:rsidP="001C3BFC">
      <w:pPr>
        <w:rPr>
          <w:rFonts w:ascii="Verdana" w:hAnsi="Verdana"/>
          <w:sz w:val="22"/>
          <w:szCs w:val="22"/>
        </w:rPr>
      </w:pPr>
      <w:r>
        <w:rPr>
          <w:rFonts w:ascii="Verdana" w:hAnsi="Verdana"/>
          <w:sz w:val="22"/>
          <w:szCs w:val="22"/>
        </w:rPr>
        <w:t>Here</w:t>
      </w:r>
      <w:r w:rsidRPr="001C3BFC">
        <w:rPr>
          <w:rFonts w:ascii="Verdana" w:hAnsi="Verdana"/>
          <w:sz w:val="22"/>
          <w:szCs w:val="22"/>
        </w:rPr>
        <w:t xml:space="preserve">, </w:t>
      </w:r>
      <w:r>
        <w:rPr>
          <w:rFonts w:ascii="Verdana" w:hAnsi="Verdana"/>
          <w:sz w:val="22"/>
          <w:szCs w:val="22"/>
        </w:rPr>
        <w:t>the owner names</w:t>
      </w:r>
      <w:r w:rsidR="00FC3A2C">
        <w:rPr>
          <w:rFonts w:ascii="Verdana" w:hAnsi="Verdana"/>
          <w:sz w:val="22"/>
          <w:szCs w:val="22"/>
        </w:rPr>
        <w:t>, which include the entity designation “GmbH,”</w:t>
      </w:r>
      <w:r>
        <w:rPr>
          <w:rFonts w:ascii="Verdana" w:hAnsi="Verdana"/>
          <w:sz w:val="22"/>
          <w:szCs w:val="22"/>
        </w:rPr>
        <w:t xml:space="preserve"> are identical</w:t>
      </w:r>
      <w:r w:rsidR="001C0347">
        <w:rPr>
          <w:rFonts w:ascii="Verdana" w:hAnsi="Verdana"/>
          <w:sz w:val="22"/>
          <w:szCs w:val="22"/>
        </w:rPr>
        <w:t>, but t</w:t>
      </w:r>
      <w:r w:rsidR="00FC3A2C">
        <w:rPr>
          <w:rFonts w:ascii="Verdana" w:hAnsi="Verdana"/>
          <w:sz w:val="22"/>
          <w:szCs w:val="22"/>
        </w:rPr>
        <w:t xml:space="preserve">he registration </w:t>
      </w:r>
      <w:r w:rsidR="00FC3A2C" w:rsidRPr="00FF4680">
        <w:rPr>
          <w:rFonts w:ascii="Verdana" w:hAnsi="Verdana"/>
          <w:sz w:val="22"/>
          <w:szCs w:val="22"/>
        </w:rPr>
        <w:t>describe</w:t>
      </w:r>
      <w:r w:rsidR="00FC3A2C">
        <w:rPr>
          <w:rFonts w:ascii="Verdana" w:hAnsi="Verdana"/>
          <w:sz w:val="22"/>
          <w:szCs w:val="22"/>
        </w:rPr>
        <w:t>s</w:t>
      </w:r>
      <w:r w:rsidR="00FC3A2C" w:rsidRPr="00FF4680">
        <w:rPr>
          <w:rFonts w:ascii="Verdana" w:hAnsi="Verdana"/>
          <w:sz w:val="22"/>
          <w:szCs w:val="22"/>
        </w:rPr>
        <w:t xml:space="preserve"> the entity</w:t>
      </w:r>
      <w:r w:rsidR="00FC3A2C">
        <w:rPr>
          <w:rFonts w:ascii="Verdana" w:hAnsi="Verdana"/>
          <w:sz w:val="22"/>
          <w:szCs w:val="22"/>
        </w:rPr>
        <w:t xml:space="preserve"> as a “Corporation</w:t>
      </w:r>
      <w:r w:rsidR="00FF4680" w:rsidRPr="00FF4680">
        <w:rPr>
          <w:rFonts w:ascii="Verdana" w:hAnsi="Verdana"/>
          <w:sz w:val="22"/>
          <w:szCs w:val="22"/>
        </w:rPr>
        <w:t>,</w:t>
      </w:r>
      <w:r w:rsidR="00FC3A2C">
        <w:rPr>
          <w:rFonts w:ascii="Verdana" w:hAnsi="Verdana"/>
          <w:sz w:val="22"/>
          <w:szCs w:val="22"/>
        </w:rPr>
        <w:t>”</w:t>
      </w:r>
      <w:r w:rsidR="00FF4680" w:rsidRPr="00FF4680">
        <w:rPr>
          <w:rFonts w:ascii="Verdana" w:hAnsi="Verdana"/>
          <w:sz w:val="22"/>
          <w:szCs w:val="22"/>
        </w:rPr>
        <w:t xml:space="preserve"> and</w:t>
      </w:r>
      <w:r w:rsidR="00FC3A2C">
        <w:rPr>
          <w:rFonts w:ascii="Verdana" w:hAnsi="Verdana"/>
          <w:sz w:val="22"/>
          <w:szCs w:val="22"/>
        </w:rPr>
        <w:t xml:space="preserve"> the applica</w:t>
      </w:r>
      <w:r w:rsidR="00FF4680" w:rsidRPr="00FF4680">
        <w:rPr>
          <w:rFonts w:ascii="Verdana" w:hAnsi="Verdana"/>
          <w:sz w:val="22"/>
          <w:szCs w:val="22"/>
        </w:rPr>
        <w:t>t</w:t>
      </w:r>
      <w:r w:rsidR="00FC3A2C">
        <w:rPr>
          <w:rFonts w:ascii="Verdana" w:hAnsi="Verdana"/>
          <w:sz w:val="22"/>
          <w:szCs w:val="22"/>
        </w:rPr>
        <w:t>ion</w:t>
      </w:r>
      <w:r w:rsidR="00FF4680" w:rsidRPr="00FF4680">
        <w:rPr>
          <w:rFonts w:ascii="Verdana" w:hAnsi="Verdana"/>
          <w:sz w:val="22"/>
          <w:szCs w:val="22"/>
        </w:rPr>
        <w:t xml:space="preserve"> </w:t>
      </w:r>
      <w:r w:rsidR="00FC3A2C">
        <w:rPr>
          <w:rFonts w:ascii="Verdana" w:hAnsi="Verdana"/>
          <w:sz w:val="22"/>
          <w:szCs w:val="22"/>
        </w:rPr>
        <w:t xml:space="preserve">describes the entity as a </w:t>
      </w:r>
      <w:r w:rsidR="001C0347">
        <w:rPr>
          <w:rFonts w:ascii="Verdana" w:hAnsi="Verdana"/>
          <w:sz w:val="22"/>
          <w:szCs w:val="22"/>
        </w:rPr>
        <w:t xml:space="preserve">“Limited Liability Company.” </w:t>
      </w:r>
      <w:hyperlink r:id="rId15" w:tgtFrame="_blank" w:history="1">
        <w:r w:rsidR="005D21F6" w:rsidRPr="00E95BE9">
          <w:rPr>
            <w:rStyle w:val="Hyperlink"/>
            <w:rFonts w:ascii="Verdana" w:hAnsi="Verdana"/>
            <w:bCs/>
            <w:sz w:val="22"/>
            <w:szCs w:val="22"/>
            <w:lang w:val="en"/>
          </w:rPr>
          <w:t>Appendix D</w:t>
        </w:r>
      </w:hyperlink>
      <w:r w:rsidR="001C0347">
        <w:rPr>
          <w:rFonts w:ascii="Verdana" w:hAnsi="Verdana"/>
          <w:sz w:val="22"/>
          <w:szCs w:val="22"/>
        </w:rPr>
        <w:t xml:space="preserve"> describes a GmbH as the equivalent of a limited liability company, which, under U.S. law, is not considered to be </w:t>
      </w:r>
      <w:r w:rsidR="00FC3A2C">
        <w:rPr>
          <w:rFonts w:ascii="Verdana" w:hAnsi="Verdana"/>
          <w:sz w:val="22"/>
          <w:szCs w:val="22"/>
        </w:rPr>
        <w:t>equivalent to</w:t>
      </w:r>
      <w:r w:rsidR="001C0347">
        <w:rPr>
          <w:rFonts w:ascii="Verdana" w:hAnsi="Verdana"/>
          <w:sz w:val="22"/>
          <w:szCs w:val="22"/>
        </w:rPr>
        <w:t xml:space="preserve"> a corporation. However,</w:t>
      </w:r>
      <w:r w:rsidR="00FF4680" w:rsidRPr="00FF4680">
        <w:rPr>
          <w:rFonts w:ascii="Verdana" w:hAnsi="Verdana"/>
          <w:sz w:val="22"/>
          <w:szCs w:val="22"/>
        </w:rPr>
        <w:t xml:space="preserve"> </w:t>
      </w:r>
      <w:r w:rsidR="001C0347" w:rsidRPr="00FF4680">
        <w:rPr>
          <w:rFonts w:ascii="Verdana" w:hAnsi="Verdana"/>
          <w:sz w:val="22"/>
          <w:szCs w:val="22"/>
        </w:rPr>
        <w:t>because both the registrant</w:t>
      </w:r>
      <w:r w:rsidR="00A07892">
        <w:rPr>
          <w:rFonts w:ascii="Verdana" w:hAnsi="Verdana"/>
          <w:sz w:val="22"/>
          <w:szCs w:val="22"/>
        </w:rPr>
        <w:t>’s</w:t>
      </w:r>
      <w:r w:rsidR="001C0347" w:rsidRPr="00FF4680">
        <w:rPr>
          <w:rFonts w:ascii="Verdana" w:hAnsi="Verdana"/>
          <w:sz w:val="22"/>
          <w:szCs w:val="22"/>
        </w:rPr>
        <w:t xml:space="preserve"> and applicant</w:t>
      </w:r>
      <w:r w:rsidR="00A07892">
        <w:rPr>
          <w:rFonts w:ascii="Verdana" w:hAnsi="Verdana"/>
          <w:sz w:val="22"/>
          <w:szCs w:val="22"/>
        </w:rPr>
        <w:t>’s owner name</w:t>
      </w:r>
      <w:r w:rsidR="001C0347" w:rsidRPr="00FF4680">
        <w:rPr>
          <w:rFonts w:ascii="Verdana" w:hAnsi="Verdana"/>
          <w:sz w:val="22"/>
          <w:szCs w:val="22"/>
        </w:rPr>
        <w:t xml:space="preserve"> </w:t>
      </w:r>
      <w:r w:rsidR="00A07892">
        <w:rPr>
          <w:rFonts w:ascii="Verdana" w:hAnsi="Verdana"/>
          <w:sz w:val="22"/>
          <w:szCs w:val="22"/>
        </w:rPr>
        <w:t>contain the same</w:t>
      </w:r>
      <w:r w:rsidR="001C0347" w:rsidRPr="00FF4680">
        <w:rPr>
          <w:rFonts w:ascii="Verdana" w:hAnsi="Verdana"/>
          <w:sz w:val="22"/>
          <w:szCs w:val="22"/>
        </w:rPr>
        <w:t xml:space="preserve"> entity abbreviation, “GmbH,” and both </w:t>
      </w:r>
      <w:r w:rsidR="001C0347">
        <w:rPr>
          <w:rFonts w:ascii="Verdana" w:hAnsi="Verdana"/>
          <w:sz w:val="22"/>
          <w:szCs w:val="22"/>
        </w:rPr>
        <w:t xml:space="preserve">identify Germany as the country of </w:t>
      </w:r>
      <w:r w:rsidR="00F02148">
        <w:rPr>
          <w:rFonts w:ascii="Verdana" w:hAnsi="Verdana"/>
          <w:sz w:val="22"/>
          <w:szCs w:val="22"/>
        </w:rPr>
        <w:t>organization</w:t>
      </w:r>
      <w:r w:rsidR="001C0347">
        <w:rPr>
          <w:rFonts w:ascii="Verdana" w:hAnsi="Verdana"/>
          <w:sz w:val="22"/>
          <w:szCs w:val="22"/>
        </w:rPr>
        <w:t>, it may be presumed that the owner simply used different U.S. terminology</w:t>
      </w:r>
      <w:r w:rsidR="00FC3A2C">
        <w:rPr>
          <w:rFonts w:ascii="Verdana" w:hAnsi="Verdana"/>
          <w:sz w:val="22"/>
          <w:szCs w:val="22"/>
        </w:rPr>
        <w:t xml:space="preserve"> in the respective records</w:t>
      </w:r>
      <w:r w:rsidR="001C0347">
        <w:rPr>
          <w:rFonts w:ascii="Verdana" w:hAnsi="Verdana"/>
          <w:sz w:val="22"/>
          <w:szCs w:val="22"/>
        </w:rPr>
        <w:t xml:space="preserve"> to identify the nature of the GmbH. Thus, </w:t>
      </w:r>
      <w:r w:rsidR="00FF4680" w:rsidRPr="00FF4680">
        <w:rPr>
          <w:rFonts w:ascii="Verdana" w:hAnsi="Verdana"/>
          <w:sz w:val="22"/>
          <w:szCs w:val="22"/>
        </w:rPr>
        <w:t xml:space="preserve">no </w:t>
      </w:r>
      <w:r w:rsidR="00367E23">
        <w:rPr>
          <w:rFonts w:ascii="Verdana" w:hAnsi="Verdana"/>
          <w:sz w:val="22"/>
          <w:szCs w:val="22"/>
        </w:rPr>
        <w:t>§</w:t>
      </w:r>
      <w:r w:rsidR="00FF4680" w:rsidRPr="00FF4680">
        <w:rPr>
          <w:rFonts w:ascii="Verdana" w:hAnsi="Verdana"/>
          <w:sz w:val="22"/>
          <w:szCs w:val="22"/>
        </w:rPr>
        <w:t xml:space="preserve">2(d) refusal should </w:t>
      </w:r>
      <w:r w:rsidR="00FF4680">
        <w:rPr>
          <w:rFonts w:ascii="Verdana" w:hAnsi="Verdana"/>
          <w:sz w:val="22"/>
          <w:szCs w:val="22"/>
        </w:rPr>
        <w:t>issue</w:t>
      </w:r>
      <w:r>
        <w:rPr>
          <w:rFonts w:ascii="Verdana" w:hAnsi="Verdana"/>
          <w:sz w:val="22"/>
          <w:szCs w:val="22"/>
        </w:rPr>
        <w:t>.</w:t>
      </w:r>
    </w:p>
    <w:p w14:paraId="30D44B6F" w14:textId="77777777" w:rsidR="001C3BFC" w:rsidRPr="001C3BFC" w:rsidRDefault="001C3BFC" w:rsidP="001C3BFC">
      <w:pPr>
        <w:jc w:val="center"/>
        <w:rPr>
          <w:rFonts w:ascii="Verdana" w:hAnsi="Verdana"/>
          <w:sz w:val="22"/>
          <w:szCs w:val="22"/>
        </w:rPr>
      </w:pPr>
    </w:p>
    <w:sectPr w:rsidR="001C3BFC" w:rsidRPr="001C3BFC" w:rsidSect="000B5094">
      <w:headerReference w:type="default" r:id="rId16"/>
      <w:footerReference w:type="default" r:id="rId17"/>
      <w:headerReference w:type="first" r:id="rId18"/>
      <w:pgSz w:w="12240" w:h="15840"/>
      <w:pgMar w:top="1440"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4872D" w14:textId="77777777" w:rsidR="00843B2E" w:rsidRDefault="00843B2E" w:rsidP="001F7068">
      <w:r>
        <w:separator/>
      </w:r>
    </w:p>
  </w:endnote>
  <w:endnote w:type="continuationSeparator" w:id="0">
    <w:p w14:paraId="787FD594" w14:textId="77777777" w:rsidR="00843B2E" w:rsidRDefault="00843B2E" w:rsidP="001F7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7122673"/>
      <w:docPartObj>
        <w:docPartGallery w:val="Page Numbers (Bottom of Page)"/>
        <w:docPartUnique/>
      </w:docPartObj>
    </w:sdtPr>
    <w:sdtEndPr>
      <w:rPr>
        <w:rFonts w:ascii="Verdana" w:hAnsi="Verdana"/>
        <w:noProof/>
        <w:sz w:val="18"/>
      </w:rPr>
    </w:sdtEndPr>
    <w:sdtContent>
      <w:p w14:paraId="20036BFD" w14:textId="77777777" w:rsidR="001F7068" w:rsidRPr="001F7068" w:rsidRDefault="001F7068">
        <w:pPr>
          <w:pStyle w:val="Footer"/>
          <w:jc w:val="center"/>
          <w:rPr>
            <w:rFonts w:ascii="Verdana" w:hAnsi="Verdana"/>
            <w:sz w:val="18"/>
          </w:rPr>
        </w:pPr>
        <w:r w:rsidRPr="001F7068">
          <w:rPr>
            <w:rFonts w:ascii="Verdana" w:hAnsi="Verdana"/>
            <w:sz w:val="18"/>
          </w:rPr>
          <w:fldChar w:fldCharType="begin"/>
        </w:r>
        <w:r w:rsidRPr="001F7068">
          <w:rPr>
            <w:rFonts w:ascii="Verdana" w:hAnsi="Verdana"/>
            <w:sz w:val="18"/>
          </w:rPr>
          <w:instrText xml:space="preserve"> PAGE   \* MERGEFORMAT </w:instrText>
        </w:r>
        <w:r w:rsidRPr="001F7068">
          <w:rPr>
            <w:rFonts w:ascii="Verdana" w:hAnsi="Verdana"/>
            <w:sz w:val="18"/>
          </w:rPr>
          <w:fldChar w:fldCharType="separate"/>
        </w:r>
        <w:r w:rsidR="000A4CF9">
          <w:rPr>
            <w:rFonts w:ascii="Verdana" w:hAnsi="Verdana"/>
            <w:noProof/>
            <w:sz w:val="18"/>
          </w:rPr>
          <w:t>4</w:t>
        </w:r>
        <w:r w:rsidRPr="001F7068">
          <w:rPr>
            <w:rFonts w:ascii="Verdana" w:hAnsi="Verdana"/>
            <w:noProof/>
            <w:sz w:val="18"/>
          </w:rPr>
          <w:fldChar w:fldCharType="end"/>
        </w:r>
      </w:p>
    </w:sdtContent>
  </w:sdt>
  <w:p w14:paraId="3E528B72" w14:textId="77777777" w:rsidR="001F7068" w:rsidRDefault="001F70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6D63E" w14:textId="77777777" w:rsidR="00843B2E" w:rsidRDefault="00843B2E" w:rsidP="001F7068">
      <w:r>
        <w:separator/>
      </w:r>
    </w:p>
  </w:footnote>
  <w:footnote w:type="continuationSeparator" w:id="0">
    <w:p w14:paraId="1C414826" w14:textId="77777777" w:rsidR="00843B2E" w:rsidRDefault="00843B2E" w:rsidP="001F70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B85C6" w14:textId="5F1945E8" w:rsidR="0018198F" w:rsidRPr="0018198F" w:rsidRDefault="0018198F" w:rsidP="0018198F">
    <w:pPr>
      <w:pStyle w:val="Header"/>
      <w:jc w:val="center"/>
      <w:rPr>
        <w:rFonts w:ascii="Verdana" w:hAnsi="Verdana"/>
        <w:b/>
        <w:sz w:val="22"/>
      </w:rPr>
    </w:pPr>
    <w:r w:rsidRPr="0018198F">
      <w:rPr>
        <w:rFonts w:ascii="Verdana" w:hAnsi="Verdana"/>
        <w:b/>
        <w:sz w:val="22"/>
      </w:rPr>
      <w:t>DRAFT – October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D1ED4" w14:textId="327F7F14" w:rsidR="0018198F" w:rsidRPr="0018198F" w:rsidRDefault="0018198F" w:rsidP="0018198F">
    <w:pPr>
      <w:pStyle w:val="Header"/>
      <w:jc w:val="center"/>
      <w:rPr>
        <w:rFonts w:ascii="Verdana" w:hAnsi="Verdana"/>
        <w:b/>
        <w:sz w:val="22"/>
      </w:rPr>
    </w:pPr>
    <w:r w:rsidRPr="0018198F">
      <w:rPr>
        <w:rFonts w:ascii="Verdana" w:hAnsi="Verdana"/>
        <w:b/>
        <w:sz w:val="22"/>
      </w:rPr>
      <w:t>DRAFT – October 2017</w:t>
    </w:r>
  </w:p>
  <w:p w14:paraId="552DF944" w14:textId="77777777" w:rsidR="007E3087" w:rsidRDefault="007E30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6052C0"/>
    <w:multiLevelType w:val="hybridMultilevel"/>
    <w:tmpl w:val="3C141BF0"/>
    <w:lvl w:ilvl="0" w:tplc="F9CEDA60">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86472BB"/>
    <w:multiLevelType w:val="hybridMultilevel"/>
    <w:tmpl w:val="D482FE3E"/>
    <w:lvl w:ilvl="0" w:tplc="7A4064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EE4"/>
    <w:rsid w:val="00005D15"/>
    <w:rsid w:val="00023866"/>
    <w:rsid w:val="00060B21"/>
    <w:rsid w:val="0007361F"/>
    <w:rsid w:val="000816A1"/>
    <w:rsid w:val="000833DA"/>
    <w:rsid w:val="0008538E"/>
    <w:rsid w:val="00086DF0"/>
    <w:rsid w:val="00095608"/>
    <w:rsid w:val="000A2CE8"/>
    <w:rsid w:val="000A4CF9"/>
    <w:rsid w:val="000B4FBA"/>
    <w:rsid w:val="000B5094"/>
    <w:rsid w:val="000B771F"/>
    <w:rsid w:val="000C5D61"/>
    <w:rsid w:val="000D7155"/>
    <w:rsid w:val="000F541E"/>
    <w:rsid w:val="00113432"/>
    <w:rsid w:val="0012704B"/>
    <w:rsid w:val="00147016"/>
    <w:rsid w:val="00160028"/>
    <w:rsid w:val="0016168C"/>
    <w:rsid w:val="00167815"/>
    <w:rsid w:val="00173EF3"/>
    <w:rsid w:val="0018198F"/>
    <w:rsid w:val="00186EE4"/>
    <w:rsid w:val="001909C6"/>
    <w:rsid w:val="0019321B"/>
    <w:rsid w:val="001945FA"/>
    <w:rsid w:val="001A2FEA"/>
    <w:rsid w:val="001A4334"/>
    <w:rsid w:val="001B0E70"/>
    <w:rsid w:val="001C0347"/>
    <w:rsid w:val="001C121E"/>
    <w:rsid w:val="001C3BFC"/>
    <w:rsid w:val="001D0C87"/>
    <w:rsid w:val="001D46EF"/>
    <w:rsid w:val="001F7068"/>
    <w:rsid w:val="00201036"/>
    <w:rsid w:val="002109C0"/>
    <w:rsid w:val="0022517E"/>
    <w:rsid w:val="00272214"/>
    <w:rsid w:val="00287439"/>
    <w:rsid w:val="0029410E"/>
    <w:rsid w:val="002B0896"/>
    <w:rsid w:val="002E331C"/>
    <w:rsid w:val="003008F7"/>
    <w:rsid w:val="003033DE"/>
    <w:rsid w:val="00361386"/>
    <w:rsid w:val="003668DE"/>
    <w:rsid w:val="00367E23"/>
    <w:rsid w:val="003A28D1"/>
    <w:rsid w:val="003B4B66"/>
    <w:rsid w:val="003C2DE3"/>
    <w:rsid w:val="003D60E5"/>
    <w:rsid w:val="00420427"/>
    <w:rsid w:val="0043015A"/>
    <w:rsid w:val="00436B57"/>
    <w:rsid w:val="00437F91"/>
    <w:rsid w:val="004469FD"/>
    <w:rsid w:val="00477BED"/>
    <w:rsid w:val="004A2EB8"/>
    <w:rsid w:val="004A520C"/>
    <w:rsid w:val="004B02AB"/>
    <w:rsid w:val="004F5081"/>
    <w:rsid w:val="0050175F"/>
    <w:rsid w:val="005136A9"/>
    <w:rsid w:val="00531F69"/>
    <w:rsid w:val="00540443"/>
    <w:rsid w:val="0054090C"/>
    <w:rsid w:val="00575F0C"/>
    <w:rsid w:val="00582AC8"/>
    <w:rsid w:val="005A5251"/>
    <w:rsid w:val="005A57BC"/>
    <w:rsid w:val="005D21F6"/>
    <w:rsid w:val="006162F0"/>
    <w:rsid w:val="006318F1"/>
    <w:rsid w:val="006B04E8"/>
    <w:rsid w:val="006F2236"/>
    <w:rsid w:val="00705BA9"/>
    <w:rsid w:val="00713D7B"/>
    <w:rsid w:val="00756349"/>
    <w:rsid w:val="0075792E"/>
    <w:rsid w:val="00765978"/>
    <w:rsid w:val="007779C5"/>
    <w:rsid w:val="00781740"/>
    <w:rsid w:val="007B17F9"/>
    <w:rsid w:val="007E3087"/>
    <w:rsid w:val="007E6614"/>
    <w:rsid w:val="007F605B"/>
    <w:rsid w:val="00811125"/>
    <w:rsid w:val="00820854"/>
    <w:rsid w:val="0082304B"/>
    <w:rsid w:val="00840969"/>
    <w:rsid w:val="008412CA"/>
    <w:rsid w:val="00842985"/>
    <w:rsid w:val="00843B2E"/>
    <w:rsid w:val="00852B4E"/>
    <w:rsid w:val="008638D4"/>
    <w:rsid w:val="00865433"/>
    <w:rsid w:val="00875359"/>
    <w:rsid w:val="008979C0"/>
    <w:rsid w:val="008F1E9F"/>
    <w:rsid w:val="00905A07"/>
    <w:rsid w:val="0094739A"/>
    <w:rsid w:val="00950C39"/>
    <w:rsid w:val="00970834"/>
    <w:rsid w:val="00992431"/>
    <w:rsid w:val="009A06DB"/>
    <w:rsid w:val="009A72CF"/>
    <w:rsid w:val="009D11FC"/>
    <w:rsid w:val="009D47CA"/>
    <w:rsid w:val="009E10B0"/>
    <w:rsid w:val="009E3753"/>
    <w:rsid w:val="00A07892"/>
    <w:rsid w:val="00A3126F"/>
    <w:rsid w:val="00A36572"/>
    <w:rsid w:val="00A43DEA"/>
    <w:rsid w:val="00A512AD"/>
    <w:rsid w:val="00A515FA"/>
    <w:rsid w:val="00A53FE6"/>
    <w:rsid w:val="00A70FC8"/>
    <w:rsid w:val="00A7753F"/>
    <w:rsid w:val="00A9541E"/>
    <w:rsid w:val="00AC61EB"/>
    <w:rsid w:val="00AE0448"/>
    <w:rsid w:val="00AE094B"/>
    <w:rsid w:val="00B1024E"/>
    <w:rsid w:val="00B143BC"/>
    <w:rsid w:val="00B14FCD"/>
    <w:rsid w:val="00B26849"/>
    <w:rsid w:val="00B62BDE"/>
    <w:rsid w:val="00B92D8B"/>
    <w:rsid w:val="00BB14C7"/>
    <w:rsid w:val="00BC68C7"/>
    <w:rsid w:val="00BD0588"/>
    <w:rsid w:val="00BE3615"/>
    <w:rsid w:val="00BE6AAA"/>
    <w:rsid w:val="00BF1C3C"/>
    <w:rsid w:val="00C26964"/>
    <w:rsid w:val="00C3118C"/>
    <w:rsid w:val="00C43FAB"/>
    <w:rsid w:val="00C44C04"/>
    <w:rsid w:val="00C4790C"/>
    <w:rsid w:val="00C608B7"/>
    <w:rsid w:val="00C62394"/>
    <w:rsid w:val="00C64B3F"/>
    <w:rsid w:val="00C77C4D"/>
    <w:rsid w:val="00CE467E"/>
    <w:rsid w:val="00CE6ECB"/>
    <w:rsid w:val="00CE7D71"/>
    <w:rsid w:val="00D07E0F"/>
    <w:rsid w:val="00D24C47"/>
    <w:rsid w:val="00D32E3E"/>
    <w:rsid w:val="00D330E5"/>
    <w:rsid w:val="00D34597"/>
    <w:rsid w:val="00D46D61"/>
    <w:rsid w:val="00D723B2"/>
    <w:rsid w:val="00D833A1"/>
    <w:rsid w:val="00D93E69"/>
    <w:rsid w:val="00D94696"/>
    <w:rsid w:val="00DA0F51"/>
    <w:rsid w:val="00DA282C"/>
    <w:rsid w:val="00DA4531"/>
    <w:rsid w:val="00DA6B79"/>
    <w:rsid w:val="00DC6A65"/>
    <w:rsid w:val="00DD0476"/>
    <w:rsid w:val="00DE0B53"/>
    <w:rsid w:val="00DF1053"/>
    <w:rsid w:val="00DF1841"/>
    <w:rsid w:val="00E142AC"/>
    <w:rsid w:val="00E329E8"/>
    <w:rsid w:val="00E35EB7"/>
    <w:rsid w:val="00E46575"/>
    <w:rsid w:val="00E530B8"/>
    <w:rsid w:val="00E60FFF"/>
    <w:rsid w:val="00E95BE9"/>
    <w:rsid w:val="00E97491"/>
    <w:rsid w:val="00EB2953"/>
    <w:rsid w:val="00ED721C"/>
    <w:rsid w:val="00ED7AEE"/>
    <w:rsid w:val="00EE3168"/>
    <w:rsid w:val="00EE5C1C"/>
    <w:rsid w:val="00F02148"/>
    <w:rsid w:val="00F03FF5"/>
    <w:rsid w:val="00F0424A"/>
    <w:rsid w:val="00F14AD2"/>
    <w:rsid w:val="00F1649E"/>
    <w:rsid w:val="00F2188D"/>
    <w:rsid w:val="00F34FCB"/>
    <w:rsid w:val="00F455D4"/>
    <w:rsid w:val="00F46CA6"/>
    <w:rsid w:val="00F6229D"/>
    <w:rsid w:val="00F6484B"/>
    <w:rsid w:val="00F64B73"/>
    <w:rsid w:val="00F7266B"/>
    <w:rsid w:val="00F74BA6"/>
    <w:rsid w:val="00F826DA"/>
    <w:rsid w:val="00FA00B1"/>
    <w:rsid w:val="00FB6249"/>
    <w:rsid w:val="00FC3A2C"/>
    <w:rsid w:val="00FD18E4"/>
    <w:rsid w:val="00FE11A0"/>
    <w:rsid w:val="00FF4680"/>
    <w:rsid w:val="00FF7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BD349"/>
  <w15:chartTrackingRefBased/>
  <w15:docId w15:val="{D865E4D6-2736-43F4-8DC4-5F1C0CCB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318F1"/>
    <w:rPr>
      <w:sz w:val="16"/>
      <w:szCs w:val="16"/>
    </w:rPr>
  </w:style>
  <w:style w:type="paragraph" w:styleId="CommentText">
    <w:name w:val="annotation text"/>
    <w:basedOn w:val="Normal"/>
    <w:link w:val="CommentTextChar"/>
    <w:uiPriority w:val="99"/>
    <w:semiHidden/>
    <w:unhideWhenUsed/>
    <w:rsid w:val="006318F1"/>
    <w:rPr>
      <w:sz w:val="20"/>
      <w:szCs w:val="20"/>
    </w:rPr>
  </w:style>
  <w:style w:type="character" w:customStyle="1" w:styleId="CommentTextChar">
    <w:name w:val="Comment Text Char"/>
    <w:basedOn w:val="DefaultParagraphFont"/>
    <w:link w:val="CommentText"/>
    <w:uiPriority w:val="99"/>
    <w:semiHidden/>
    <w:rsid w:val="006318F1"/>
    <w:rPr>
      <w:sz w:val="20"/>
      <w:szCs w:val="20"/>
    </w:rPr>
  </w:style>
  <w:style w:type="paragraph" w:styleId="CommentSubject">
    <w:name w:val="annotation subject"/>
    <w:basedOn w:val="CommentText"/>
    <w:next w:val="CommentText"/>
    <w:link w:val="CommentSubjectChar"/>
    <w:uiPriority w:val="99"/>
    <w:semiHidden/>
    <w:unhideWhenUsed/>
    <w:rsid w:val="006318F1"/>
    <w:rPr>
      <w:b/>
      <w:bCs/>
    </w:rPr>
  </w:style>
  <w:style w:type="character" w:customStyle="1" w:styleId="CommentSubjectChar">
    <w:name w:val="Comment Subject Char"/>
    <w:basedOn w:val="CommentTextChar"/>
    <w:link w:val="CommentSubject"/>
    <w:uiPriority w:val="99"/>
    <w:semiHidden/>
    <w:rsid w:val="006318F1"/>
    <w:rPr>
      <w:b/>
      <w:bCs/>
      <w:sz w:val="20"/>
      <w:szCs w:val="20"/>
    </w:rPr>
  </w:style>
  <w:style w:type="paragraph" w:styleId="BalloonText">
    <w:name w:val="Balloon Text"/>
    <w:basedOn w:val="Normal"/>
    <w:link w:val="BalloonTextChar"/>
    <w:uiPriority w:val="99"/>
    <w:semiHidden/>
    <w:unhideWhenUsed/>
    <w:rsid w:val="006318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8F1"/>
    <w:rPr>
      <w:rFonts w:ascii="Segoe UI" w:hAnsi="Segoe UI" w:cs="Segoe UI"/>
      <w:sz w:val="18"/>
      <w:szCs w:val="18"/>
    </w:rPr>
  </w:style>
  <w:style w:type="paragraph" w:styleId="ListParagraph">
    <w:name w:val="List Paragraph"/>
    <w:basedOn w:val="Normal"/>
    <w:uiPriority w:val="34"/>
    <w:qFormat/>
    <w:rsid w:val="00437F91"/>
    <w:pPr>
      <w:ind w:left="720"/>
      <w:contextualSpacing/>
    </w:pPr>
  </w:style>
  <w:style w:type="character" w:styleId="Hyperlink">
    <w:name w:val="Hyperlink"/>
    <w:basedOn w:val="DefaultParagraphFont"/>
    <w:uiPriority w:val="99"/>
    <w:unhideWhenUsed/>
    <w:rsid w:val="00A9541E"/>
    <w:rPr>
      <w:color w:val="0000FF" w:themeColor="hyperlink"/>
      <w:u w:val="single"/>
    </w:rPr>
  </w:style>
  <w:style w:type="table" w:styleId="TableGrid">
    <w:name w:val="Table Grid"/>
    <w:basedOn w:val="TableNormal"/>
    <w:uiPriority w:val="59"/>
    <w:rsid w:val="00F46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F46CA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Header">
    <w:name w:val="header"/>
    <w:basedOn w:val="Normal"/>
    <w:link w:val="HeaderChar"/>
    <w:uiPriority w:val="99"/>
    <w:unhideWhenUsed/>
    <w:rsid w:val="001F7068"/>
    <w:pPr>
      <w:tabs>
        <w:tab w:val="center" w:pos="4680"/>
        <w:tab w:val="right" w:pos="9360"/>
      </w:tabs>
    </w:pPr>
  </w:style>
  <w:style w:type="character" w:customStyle="1" w:styleId="HeaderChar">
    <w:name w:val="Header Char"/>
    <w:basedOn w:val="DefaultParagraphFont"/>
    <w:link w:val="Header"/>
    <w:uiPriority w:val="99"/>
    <w:rsid w:val="001F7068"/>
  </w:style>
  <w:style w:type="paragraph" w:styleId="Footer">
    <w:name w:val="footer"/>
    <w:basedOn w:val="Normal"/>
    <w:link w:val="FooterChar"/>
    <w:uiPriority w:val="99"/>
    <w:unhideWhenUsed/>
    <w:rsid w:val="001F7068"/>
    <w:pPr>
      <w:tabs>
        <w:tab w:val="center" w:pos="4680"/>
        <w:tab w:val="right" w:pos="9360"/>
      </w:tabs>
    </w:pPr>
  </w:style>
  <w:style w:type="character" w:customStyle="1" w:styleId="FooterChar">
    <w:name w:val="Footer Char"/>
    <w:basedOn w:val="DefaultParagraphFont"/>
    <w:link w:val="Footer"/>
    <w:uiPriority w:val="99"/>
    <w:rsid w:val="001F7068"/>
  </w:style>
  <w:style w:type="paragraph" w:styleId="Revision">
    <w:name w:val="Revision"/>
    <w:hidden/>
    <w:uiPriority w:val="99"/>
    <w:semiHidden/>
    <w:rsid w:val="00086DF0"/>
  </w:style>
  <w:style w:type="character" w:styleId="FollowedHyperlink">
    <w:name w:val="FollowedHyperlink"/>
    <w:basedOn w:val="DefaultParagraphFont"/>
    <w:uiPriority w:val="99"/>
    <w:semiHidden/>
    <w:unhideWhenUsed/>
    <w:rsid w:val="000816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pto-tmep.ideascale.com/a/ideas/recent/campaign-filter/byids/campaigns/58864" TargetMode="External"/><Relationship Id="rId13" Type="http://schemas.openxmlformats.org/officeDocument/2006/relationships/hyperlink" Target="http://tess2.uspto.gov/tmdb/tmep/appendix_d.htm"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ess2.uspto.gov/tmdb/tmep/appendix_d.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MTMEP@uspto.gov" TargetMode="External"/><Relationship Id="rId5" Type="http://schemas.openxmlformats.org/officeDocument/2006/relationships/webSettings" Target="webSettings.xml"/><Relationship Id="rId15" Type="http://schemas.openxmlformats.org/officeDocument/2006/relationships/hyperlink" Target="http://tess2.uspto.gov/tmdb/tmep/appendix_d.htm" TargetMode="External"/><Relationship Id="rId10" Type="http://schemas.openxmlformats.org/officeDocument/2006/relationships/hyperlink" Target="http://tess2.uspto.gov/tmdb/tmep/appendix_d.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ss2.uspto.gov/tmdb/tmep/appendix_d.htm" TargetMode="External"/><Relationship Id="rId14" Type="http://schemas.openxmlformats.org/officeDocument/2006/relationships/hyperlink" Target="http://tess2.uspto.gov/tmdb/tmep/appendix_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D6D8A-6D91-4212-8D05-7C6A4076D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1526</Words>
  <Characters>8703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10209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Aquila, Stephen</cp:lastModifiedBy>
  <cp:revision>11</cp:revision>
  <cp:lastPrinted>2017-05-18T17:14:00Z</cp:lastPrinted>
  <dcterms:created xsi:type="dcterms:W3CDTF">2017-10-05T14:28:00Z</dcterms:created>
  <dcterms:modified xsi:type="dcterms:W3CDTF">2017-10-18T18:19:00Z</dcterms:modified>
</cp:coreProperties>
</file>