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DF0D9" w14:textId="77777777" w:rsidR="00867A89" w:rsidRPr="00CF6436" w:rsidRDefault="00867A89" w:rsidP="00CF6436">
      <w:pPr>
        <w:spacing w:line="360" w:lineRule="auto"/>
        <w:rPr>
          <w:rFonts w:ascii="Segoe UI" w:eastAsia="Segoe UI" w:hAnsi="Segoe UI" w:cs="Segoe UI"/>
        </w:rPr>
      </w:pPr>
      <w:r w:rsidRPr="00CF6436">
        <w:rPr>
          <w:rFonts w:ascii="Segoe UI" w:hAnsi="Segoe UI" w:cs="Segoe UI"/>
          <w:noProof/>
          <w:color w:val="2B579A"/>
          <w:shd w:val="clear" w:color="auto" w:fill="E6E6E6"/>
        </w:rPr>
        <w:drawing>
          <wp:anchor distT="0" distB="0" distL="114300" distR="114300" simplePos="0" relativeHeight="251658240" behindDoc="0" locked="0" layoutInCell="1" allowOverlap="1" wp14:anchorId="7DDE6677" wp14:editId="40DCAA42">
            <wp:simplePos x="0" y="0"/>
            <wp:positionH relativeFrom="column">
              <wp:posOffset>-325631</wp:posOffset>
            </wp:positionH>
            <wp:positionV relativeFrom="paragraph">
              <wp:posOffset>126</wp:posOffset>
            </wp:positionV>
            <wp:extent cx="1876056" cy="187605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879104" cy="1879098"/>
                    </a:xfrm>
                    <a:prstGeom prst="rect">
                      <a:avLst/>
                    </a:prstGeom>
                  </pic:spPr>
                </pic:pic>
              </a:graphicData>
            </a:graphic>
            <wp14:sizeRelH relativeFrom="margin">
              <wp14:pctWidth>0</wp14:pctWidth>
            </wp14:sizeRelH>
            <wp14:sizeRelV relativeFrom="margin">
              <wp14:pctHeight>0</wp14:pctHeight>
            </wp14:sizeRelV>
          </wp:anchor>
        </w:drawing>
      </w:r>
    </w:p>
    <w:p w14:paraId="396D6037" w14:textId="3BE81D68" w:rsidR="00867A89" w:rsidRPr="00CF6436" w:rsidRDefault="00867A89" w:rsidP="00CF6436">
      <w:pPr>
        <w:spacing w:line="360" w:lineRule="auto"/>
        <w:ind w:left="2700"/>
        <w:rPr>
          <w:rFonts w:ascii="Segoe UI" w:eastAsia="Segoe UI" w:hAnsi="Segoe UI" w:cs="Segoe UI"/>
          <w:b/>
          <w:bCs/>
          <w:color w:val="1F497D" w:themeColor="text2"/>
          <w:sz w:val="52"/>
          <w:szCs w:val="52"/>
        </w:rPr>
      </w:pPr>
      <w:r w:rsidRPr="00CF6436">
        <w:rPr>
          <w:rFonts w:ascii="Segoe UI" w:hAnsi="Segoe UI" w:cs="Segoe UI"/>
          <w:b/>
          <w:bCs/>
          <w:color w:val="1F497D" w:themeColor="text2"/>
          <w:sz w:val="52"/>
          <w:szCs w:val="52"/>
        </w:rPr>
        <w:t>Regulatory Impact</w:t>
      </w:r>
    </w:p>
    <w:p w14:paraId="3410FE57" w14:textId="77777777" w:rsidR="00867A89" w:rsidRPr="00CF6436" w:rsidRDefault="00867A89" w:rsidP="00CF6436">
      <w:pPr>
        <w:spacing w:line="360" w:lineRule="auto"/>
        <w:ind w:left="2700"/>
        <w:rPr>
          <w:rFonts w:ascii="Segoe UI" w:eastAsia="Segoe UI" w:hAnsi="Segoe UI" w:cs="Segoe UI"/>
          <w:color w:val="1F497D" w:themeColor="text2"/>
        </w:rPr>
      </w:pPr>
      <w:r w:rsidRPr="00CF6436">
        <w:rPr>
          <w:rFonts w:ascii="Segoe UI" w:hAnsi="Segoe UI" w:cs="Segoe UI"/>
          <w:b/>
          <w:bCs/>
          <w:color w:val="1F497D" w:themeColor="text2"/>
          <w:sz w:val="52"/>
          <w:szCs w:val="52"/>
        </w:rPr>
        <w:t>Analysis</w:t>
      </w:r>
    </w:p>
    <w:p w14:paraId="0AFA19B7" w14:textId="77777777" w:rsidR="00867A89" w:rsidRPr="00CF6436" w:rsidRDefault="00867A89" w:rsidP="00CF6436">
      <w:pPr>
        <w:spacing w:line="360" w:lineRule="auto"/>
        <w:ind w:left="2700"/>
        <w:rPr>
          <w:rFonts w:ascii="Segoe UI" w:eastAsia="Segoe UI" w:hAnsi="Segoe UI" w:cs="Segoe UI"/>
        </w:rPr>
      </w:pPr>
    </w:p>
    <w:p w14:paraId="37B9273F" w14:textId="71034512" w:rsidR="00867A89" w:rsidRPr="00CF6436" w:rsidRDefault="6B7E1372" w:rsidP="00CF6436">
      <w:pPr>
        <w:spacing w:line="360" w:lineRule="auto"/>
        <w:ind w:left="2700"/>
        <w:rPr>
          <w:rFonts w:ascii="Segoe UI" w:eastAsia="Segoe UI" w:hAnsi="Segoe UI" w:cs="Segoe UI"/>
          <w:b/>
          <w:bCs/>
          <w:sz w:val="28"/>
          <w:szCs w:val="28"/>
        </w:rPr>
      </w:pPr>
      <w:r w:rsidRPr="293D3C50">
        <w:rPr>
          <w:rFonts w:ascii="Segoe UI" w:hAnsi="Segoe UI" w:cs="Segoe UI"/>
          <w:b/>
          <w:bCs/>
          <w:sz w:val="28"/>
          <w:szCs w:val="28"/>
        </w:rPr>
        <w:t xml:space="preserve">Setting and Adjusting Patent Fees </w:t>
      </w:r>
      <w:r w:rsidR="03FF726C" w:rsidRPr="293D3C50">
        <w:rPr>
          <w:rFonts w:ascii="Segoe UI" w:hAnsi="Segoe UI" w:cs="Segoe UI"/>
          <w:b/>
          <w:bCs/>
          <w:sz w:val="28"/>
          <w:szCs w:val="28"/>
        </w:rPr>
        <w:t>D</w:t>
      </w:r>
      <w:r w:rsidRPr="293D3C50">
        <w:rPr>
          <w:rFonts w:ascii="Segoe UI" w:hAnsi="Segoe UI" w:cs="Segoe UI"/>
          <w:b/>
          <w:bCs/>
          <w:sz w:val="28"/>
          <w:szCs w:val="28"/>
        </w:rPr>
        <w:t xml:space="preserve">uring Fiscal Year </w:t>
      </w:r>
      <w:r w:rsidR="7BCA8D0F" w:rsidRPr="293D3C50">
        <w:rPr>
          <w:rFonts w:ascii="Segoe UI" w:hAnsi="Segoe UI" w:cs="Segoe UI"/>
          <w:b/>
          <w:bCs/>
          <w:sz w:val="28"/>
          <w:szCs w:val="28"/>
        </w:rPr>
        <w:t xml:space="preserve">2025 </w:t>
      </w:r>
      <w:r w:rsidRPr="293D3C50">
        <w:rPr>
          <w:rFonts w:ascii="Segoe UI" w:hAnsi="Segoe UI" w:cs="Segoe UI"/>
          <w:b/>
          <w:bCs/>
          <w:sz w:val="28"/>
          <w:szCs w:val="28"/>
        </w:rPr>
        <w:t xml:space="preserve">in </w:t>
      </w:r>
      <w:r w:rsidR="7FC32E61" w:rsidRPr="293D3C50">
        <w:rPr>
          <w:rFonts w:ascii="Segoe UI" w:hAnsi="Segoe UI" w:cs="Segoe UI"/>
          <w:b/>
          <w:bCs/>
          <w:sz w:val="28"/>
          <w:szCs w:val="28"/>
        </w:rPr>
        <w:t>A</w:t>
      </w:r>
      <w:r w:rsidRPr="293D3C50">
        <w:rPr>
          <w:rFonts w:ascii="Segoe UI" w:hAnsi="Segoe UI" w:cs="Segoe UI"/>
          <w:b/>
          <w:bCs/>
          <w:sz w:val="28"/>
          <w:szCs w:val="28"/>
        </w:rPr>
        <w:t xml:space="preserve">ccordance with </w:t>
      </w:r>
    </w:p>
    <w:p w14:paraId="55236457" w14:textId="77777777" w:rsidR="00867A89" w:rsidRPr="00CF6436" w:rsidRDefault="00867A89" w:rsidP="00CF6436">
      <w:pPr>
        <w:spacing w:line="360" w:lineRule="auto"/>
        <w:ind w:left="2700"/>
        <w:rPr>
          <w:rFonts w:ascii="Segoe UI" w:eastAsia="Segoe UI" w:hAnsi="Segoe UI" w:cs="Segoe UI"/>
          <w:b/>
          <w:bCs/>
          <w:sz w:val="28"/>
          <w:szCs w:val="28"/>
        </w:rPr>
      </w:pPr>
      <w:r w:rsidRPr="00CF6436">
        <w:rPr>
          <w:rFonts w:ascii="Segoe UI" w:hAnsi="Segoe UI" w:cs="Segoe UI"/>
          <w:b/>
          <w:bCs/>
          <w:sz w:val="28"/>
          <w:szCs w:val="28"/>
        </w:rPr>
        <w:t>Section 10 of the Leahy-Smith America Invents Act</w:t>
      </w:r>
    </w:p>
    <w:p w14:paraId="49CD503F" w14:textId="4933A099" w:rsidR="00867A89" w:rsidRPr="00CF6436" w:rsidRDefault="00562765" w:rsidP="00CF6436">
      <w:pPr>
        <w:spacing w:before="240" w:line="360" w:lineRule="auto"/>
        <w:ind w:left="2700"/>
        <w:rPr>
          <w:rFonts w:ascii="Segoe UI" w:eastAsia="Segoe UI" w:hAnsi="Segoe UI" w:cs="Segoe UI"/>
          <w:b/>
          <w:bCs/>
          <w:sz w:val="28"/>
          <w:szCs w:val="28"/>
        </w:rPr>
      </w:pPr>
      <w:r>
        <w:rPr>
          <w:rFonts w:ascii="Segoe UI" w:hAnsi="Segoe UI" w:cs="Segoe UI"/>
          <w:b/>
          <w:bCs/>
          <w:sz w:val="28"/>
          <w:szCs w:val="28"/>
        </w:rPr>
        <w:t>Final</w:t>
      </w:r>
      <w:r w:rsidRPr="00CF6436">
        <w:rPr>
          <w:rFonts w:ascii="Segoe UI" w:hAnsi="Segoe UI" w:cs="Segoe UI"/>
          <w:b/>
          <w:bCs/>
          <w:sz w:val="28"/>
          <w:szCs w:val="28"/>
        </w:rPr>
        <w:t xml:space="preserve"> </w:t>
      </w:r>
      <w:r w:rsidR="001637C9" w:rsidRPr="00CF6436">
        <w:rPr>
          <w:rFonts w:ascii="Segoe UI" w:hAnsi="Segoe UI" w:cs="Segoe UI"/>
          <w:b/>
          <w:bCs/>
          <w:sz w:val="28"/>
          <w:szCs w:val="28"/>
        </w:rPr>
        <w:t>Rule</w:t>
      </w:r>
    </w:p>
    <w:p w14:paraId="648C5747" w14:textId="77777777" w:rsidR="00867A89" w:rsidRPr="00CF6436" w:rsidRDefault="00867A89" w:rsidP="00CF6436">
      <w:pPr>
        <w:spacing w:line="360" w:lineRule="auto"/>
        <w:ind w:left="2700"/>
        <w:rPr>
          <w:rFonts w:ascii="Segoe UI" w:eastAsia="Segoe UI" w:hAnsi="Segoe UI" w:cs="Segoe UI"/>
          <w:b/>
          <w:bCs/>
          <w:sz w:val="28"/>
          <w:szCs w:val="28"/>
        </w:rPr>
      </w:pPr>
    </w:p>
    <w:p w14:paraId="76FD2930" w14:textId="77777777" w:rsidR="00867A89" w:rsidRPr="00CF6436" w:rsidRDefault="00867A89" w:rsidP="00CF6436">
      <w:pPr>
        <w:spacing w:line="360" w:lineRule="auto"/>
        <w:ind w:left="2700"/>
        <w:rPr>
          <w:rFonts w:ascii="Segoe UI" w:eastAsia="Segoe UI" w:hAnsi="Segoe UI" w:cs="Segoe UI"/>
          <w:b/>
          <w:bCs/>
          <w:sz w:val="28"/>
          <w:szCs w:val="28"/>
        </w:rPr>
      </w:pPr>
    </w:p>
    <w:p w14:paraId="692213F1" w14:textId="30E16E26" w:rsidR="00867A89" w:rsidRPr="00CF6436" w:rsidRDefault="00867A89" w:rsidP="00CF6436">
      <w:pPr>
        <w:spacing w:line="360" w:lineRule="auto"/>
        <w:ind w:left="2700"/>
        <w:rPr>
          <w:rFonts w:ascii="Segoe UI" w:eastAsia="Segoe UI" w:hAnsi="Segoe UI" w:cs="Segoe UI"/>
          <w:b/>
          <w:bCs/>
          <w:sz w:val="28"/>
          <w:szCs w:val="28"/>
        </w:rPr>
      </w:pPr>
      <w:r w:rsidRPr="00CF6436">
        <w:rPr>
          <w:rFonts w:ascii="Segoe UI" w:hAnsi="Segoe UI" w:cs="Segoe UI"/>
          <w:b/>
          <w:bCs/>
          <w:sz w:val="28"/>
          <w:szCs w:val="28"/>
        </w:rPr>
        <w:t>U</w:t>
      </w:r>
      <w:r w:rsidR="00CC10C3">
        <w:rPr>
          <w:rFonts w:ascii="Segoe UI" w:hAnsi="Segoe UI" w:cs="Segoe UI"/>
          <w:b/>
          <w:bCs/>
          <w:sz w:val="28"/>
          <w:szCs w:val="28"/>
        </w:rPr>
        <w:t>nited States</w:t>
      </w:r>
      <w:r w:rsidRPr="00CF6436">
        <w:rPr>
          <w:rFonts w:ascii="Segoe UI" w:hAnsi="Segoe UI" w:cs="Segoe UI"/>
          <w:b/>
          <w:bCs/>
          <w:sz w:val="28"/>
          <w:szCs w:val="28"/>
        </w:rPr>
        <w:t xml:space="preserve"> Department of Commerce</w:t>
      </w:r>
    </w:p>
    <w:p w14:paraId="5B63E7FB" w14:textId="22B0A55F" w:rsidR="00867A89" w:rsidRPr="00CF6436" w:rsidRDefault="6B91C486" w:rsidP="736A6D4F">
      <w:pPr>
        <w:spacing w:line="360" w:lineRule="auto"/>
        <w:ind w:left="2700"/>
        <w:rPr>
          <w:rFonts w:ascii="Segoe UI" w:hAnsi="Segoe UI" w:cs="Segoe UI"/>
          <w:b/>
          <w:bCs/>
          <w:sz w:val="28"/>
          <w:szCs w:val="28"/>
        </w:rPr>
      </w:pPr>
      <w:r w:rsidRPr="736A6D4F">
        <w:rPr>
          <w:rFonts w:ascii="Segoe UI" w:hAnsi="Segoe UI" w:cs="Segoe UI"/>
          <w:b/>
          <w:bCs/>
          <w:sz w:val="28"/>
          <w:szCs w:val="28"/>
        </w:rPr>
        <w:t xml:space="preserve">United States Patent and Trademark </w:t>
      </w:r>
      <w:r w:rsidR="301DE89C" w:rsidRPr="736A6D4F">
        <w:rPr>
          <w:rFonts w:ascii="Segoe UI" w:hAnsi="Segoe UI" w:cs="Segoe UI"/>
          <w:b/>
          <w:bCs/>
          <w:sz w:val="28"/>
          <w:szCs w:val="28"/>
        </w:rPr>
        <w:t>Office</w:t>
      </w:r>
    </w:p>
    <w:p w14:paraId="24928502" w14:textId="18FF8E5C" w:rsidR="00907645" w:rsidRPr="00CF6436" w:rsidRDefault="00F4704C" w:rsidP="00CF6436">
      <w:pPr>
        <w:spacing w:line="360" w:lineRule="auto"/>
        <w:ind w:left="2700"/>
        <w:rPr>
          <w:rFonts w:ascii="Segoe UI" w:eastAsia="Segoe UI" w:hAnsi="Segoe UI" w:cs="Segoe UI"/>
          <w:b/>
          <w:bCs/>
          <w:sz w:val="28"/>
          <w:szCs w:val="28"/>
        </w:rPr>
      </w:pPr>
      <w:r w:rsidRPr="00F4704C">
        <w:rPr>
          <w:rFonts w:ascii="Segoe UI" w:hAnsi="Segoe UI" w:cs="Segoe UI"/>
          <w:b/>
          <w:bCs/>
          <w:sz w:val="28"/>
          <w:szCs w:val="28"/>
        </w:rPr>
        <w:t xml:space="preserve">November </w:t>
      </w:r>
      <w:r>
        <w:rPr>
          <w:rFonts w:ascii="Segoe UI" w:hAnsi="Segoe UI" w:cs="Segoe UI"/>
          <w:b/>
          <w:bCs/>
          <w:sz w:val="28"/>
          <w:szCs w:val="28"/>
        </w:rPr>
        <w:t>20</w:t>
      </w:r>
      <w:r w:rsidRPr="00F4704C">
        <w:rPr>
          <w:rFonts w:ascii="Segoe UI" w:hAnsi="Segoe UI" w:cs="Segoe UI"/>
          <w:b/>
          <w:bCs/>
          <w:sz w:val="28"/>
          <w:szCs w:val="28"/>
        </w:rPr>
        <w:t>,</w:t>
      </w:r>
      <w:r w:rsidR="00562765" w:rsidRPr="00F4704C">
        <w:rPr>
          <w:rFonts w:ascii="Segoe UI" w:hAnsi="Segoe UI" w:cs="Segoe UI"/>
          <w:b/>
          <w:bCs/>
          <w:sz w:val="28"/>
          <w:szCs w:val="28"/>
        </w:rPr>
        <w:t xml:space="preserve"> </w:t>
      </w:r>
      <w:r w:rsidR="004303E6" w:rsidRPr="00F4704C">
        <w:rPr>
          <w:rFonts w:ascii="Segoe UI" w:hAnsi="Segoe UI" w:cs="Segoe UI"/>
          <w:b/>
          <w:bCs/>
          <w:sz w:val="28"/>
          <w:szCs w:val="28"/>
        </w:rPr>
        <w:t>202</w:t>
      </w:r>
      <w:r w:rsidR="00923FAF" w:rsidRPr="00F4704C">
        <w:rPr>
          <w:rFonts w:ascii="Segoe UI" w:hAnsi="Segoe UI" w:cs="Segoe UI"/>
          <w:b/>
          <w:bCs/>
          <w:sz w:val="28"/>
          <w:szCs w:val="28"/>
        </w:rPr>
        <w:t>4</w:t>
      </w:r>
    </w:p>
    <w:p w14:paraId="563EEF65" w14:textId="7FC8C410" w:rsidR="00867A89" w:rsidRPr="00CF6436" w:rsidRDefault="00867A89" w:rsidP="00CF6436">
      <w:pPr>
        <w:spacing w:line="360" w:lineRule="auto"/>
        <w:rPr>
          <w:rFonts w:ascii="Segoe UI" w:eastAsia="Segoe UI" w:hAnsi="Segoe UI" w:cs="Segoe UI"/>
        </w:rPr>
      </w:pPr>
    </w:p>
    <w:p w14:paraId="4772CD82" w14:textId="77777777" w:rsidR="00867A89" w:rsidRPr="00CF6436" w:rsidRDefault="00867A89" w:rsidP="00CF6436">
      <w:pPr>
        <w:spacing w:line="360" w:lineRule="auto"/>
        <w:rPr>
          <w:rFonts w:ascii="Segoe UI" w:eastAsia="Segoe UI" w:hAnsi="Segoe UI" w:cs="Segoe UI"/>
        </w:rPr>
        <w:sectPr w:rsidR="00867A89" w:rsidRPr="00CF6436" w:rsidSect="00573CF6">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1440" w:left="1890" w:header="720" w:footer="720" w:gutter="0"/>
          <w:pgNumType w:start="1"/>
          <w:cols w:space="720"/>
          <w:docGrid w:linePitch="360"/>
        </w:sectPr>
      </w:pPr>
    </w:p>
    <w:sdt>
      <w:sdtPr>
        <w:rPr>
          <w:rFonts w:ascii="Segoe UI" w:eastAsiaTheme="minorEastAsia" w:hAnsi="Segoe UI" w:cs="Segoe UI"/>
          <w:b w:val="0"/>
          <w:bCs w:val="0"/>
          <w:color w:val="auto"/>
          <w:sz w:val="22"/>
          <w:szCs w:val="22"/>
          <w:shd w:val="clear" w:color="auto" w:fill="E6E6E6"/>
          <w:lang w:eastAsia="en-US"/>
        </w:rPr>
        <w:id w:val="402655833"/>
        <w:docPartObj>
          <w:docPartGallery w:val="Table of Contents"/>
          <w:docPartUnique/>
        </w:docPartObj>
      </w:sdtPr>
      <w:sdtEndPr>
        <w:rPr>
          <w:rFonts w:eastAsiaTheme="majorEastAsia"/>
          <w:b/>
          <w:bCs/>
          <w:color w:val="365F91" w:themeColor="accent1" w:themeShade="BF"/>
          <w:sz w:val="28"/>
          <w:szCs w:val="28"/>
          <w:lang w:eastAsia="ja-JP"/>
        </w:rPr>
      </w:sdtEndPr>
      <w:sdtContent>
        <w:sdt>
          <w:sdtPr>
            <w:rPr>
              <w:rFonts w:ascii="Segoe UI" w:eastAsiaTheme="minorEastAsia" w:hAnsi="Segoe UI" w:cs="Segoe UI"/>
              <w:b w:val="0"/>
              <w:bCs w:val="0"/>
              <w:color w:val="auto"/>
              <w:sz w:val="22"/>
              <w:szCs w:val="22"/>
              <w:shd w:val="clear" w:color="auto" w:fill="E6E6E6"/>
              <w:lang w:eastAsia="en-US"/>
            </w:rPr>
            <w:id w:val="-1641030571"/>
            <w:docPartObj>
              <w:docPartGallery w:val="Table of Contents"/>
              <w:docPartUnique/>
            </w:docPartObj>
          </w:sdtPr>
          <w:sdtEndPr>
            <w:rPr>
              <w:rFonts w:eastAsiaTheme="majorEastAsia"/>
              <w:b/>
              <w:bCs/>
              <w:color w:val="365F91" w:themeColor="accent1" w:themeShade="BF"/>
              <w:sz w:val="28"/>
              <w:szCs w:val="28"/>
              <w:lang w:eastAsia="ja-JP"/>
            </w:rPr>
          </w:sdtEndPr>
          <w:sdtContent>
            <w:sdt>
              <w:sdtPr>
                <w:rPr>
                  <w:rFonts w:ascii="Segoe UI" w:eastAsiaTheme="minorEastAsia" w:hAnsi="Segoe UI" w:cs="Segoe UI"/>
                  <w:b w:val="0"/>
                  <w:bCs w:val="0"/>
                  <w:color w:val="auto"/>
                  <w:sz w:val="22"/>
                  <w:szCs w:val="22"/>
                  <w:shd w:val="clear" w:color="auto" w:fill="E6E6E6"/>
                  <w:lang w:eastAsia="en-US"/>
                </w:rPr>
                <w:id w:val="172611478"/>
                <w:docPartObj>
                  <w:docPartGallery w:val="Table of Contents"/>
                  <w:docPartUnique/>
                </w:docPartObj>
              </w:sdtPr>
              <w:sdtEndPr>
                <w:rPr>
                  <w:rFonts w:eastAsiaTheme="majorEastAsia"/>
                  <w:b/>
                  <w:bCs/>
                  <w:color w:val="365F91" w:themeColor="accent1" w:themeShade="BF"/>
                  <w:sz w:val="28"/>
                  <w:szCs w:val="28"/>
                  <w:lang w:eastAsia="ja-JP"/>
                </w:rPr>
              </w:sdtEndPr>
              <w:sdtContent>
                <w:sdt>
                  <w:sdtPr>
                    <w:rPr>
                      <w:rFonts w:ascii="Segoe UI" w:eastAsiaTheme="minorEastAsia" w:hAnsi="Segoe UI" w:cs="Segoe UI"/>
                      <w:b w:val="0"/>
                      <w:bCs w:val="0"/>
                      <w:color w:val="auto"/>
                      <w:sz w:val="22"/>
                      <w:szCs w:val="22"/>
                      <w:shd w:val="clear" w:color="auto" w:fill="E6E6E6"/>
                      <w:lang w:eastAsia="en-US"/>
                    </w:rPr>
                    <w:id w:val="93064865"/>
                    <w:docPartObj>
                      <w:docPartGallery w:val="Table of Contents"/>
                      <w:docPartUnique/>
                    </w:docPartObj>
                  </w:sdtPr>
                  <w:sdtEndPr>
                    <w:rPr>
                      <w:rFonts w:eastAsiaTheme="majorEastAsia"/>
                      <w:b/>
                      <w:bCs/>
                      <w:color w:val="365F91" w:themeColor="accent1" w:themeShade="BF"/>
                      <w:sz w:val="28"/>
                      <w:szCs w:val="28"/>
                      <w:lang w:eastAsia="ja-JP"/>
                    </w:rPr>
                  </w:sdtEndPr>
                  <w:sdtContent>
                    <w:sdt>
                      <w:sdtPr>
                        <w:rPr>
                          <w:rFonts w:ascii="Segoe UI" w:eastAsiaTheme="minorEastAsia" w:hAnsi="Segoe UI" w:cs="Segoe UI"/>
                          <w:b w:val="0"/>
                          <w:bCs w:val="0"/>
                          <w:color w:val="auto"/>
                          <w:sz w:val="22"/>
                          <w:szCs w:val="22"/>
                          <w:shd w:val="clear" w:color="auto" w:fill="E6E6E6"/>
                          <w:lang w:eastAsia="en-US"/>
                        </w:rPr>
                        <w:id w:val="871347793"/>
                        <w:docPartObj>
                          <w:docPartGallery w:val="Table of Contents"/>
                          <w:docPartUnique/>
                        </w:docPartObj>
                      </w:sdtPr>
                      <w:sdtEndPr>
                        <w:rPr>
                          <w:rFonts w:eastAsiaTheme="majorEastAsia"/>
                          <w:b/>
                          <w:bCs/>
                          <w:color w:val="365F91" w:themeColor="accent1" w:themeShade="BF"/>
                          <w:sz w:val="28"/>
                          <w:szCs w:val="28"/>
                          <w:lang w:eastAsia="ja-JP"/>
                        </w:rPr>
                      </w:sdtEndPr>
                      <w:sdtContent>
                        <w:sdt>
                          <w:sdtPr>
                            <w:rPr>
                              <w:rFonts w:ascii="Segoe UI" w:eastAsiaTheme="minorEastAsia" w:hAnsi="Segoe UI" w:cs="Segoe UI"/>
                              <w:b w:val="0"/>
                              <w:bCs w:val="0"/>
                              <w:color w:val="auto"/>
                              <w:sz w:val="22"/>
                              <w:szCs w:val="22"/>
                              <w:shd w:val="clear" w:color="auto" w:fill="E6E6E6"/>
                              <w:lang w:eastAsia="en-US"/>
                            </w:rPr>
                            <w:id w:val="-105664224"/>
                            <w:docPartObj>
                              <w:docPartGallery w:val="Table of Contents"/>
                              <w:docPartUnique/>
                            </w:docPartObj>
                          </w:sdtPr>
                          <w:sdtEndPr>
                            <w:rPr>
                              <w:rFonts w:eastAsiaTheme="majorEastAsia"/>
                              <w:b/>
                              <w:bCs/>
                              <w:color w:val="365F91" w:themeColor="accent1" w:themeShade="BF"/>
                              <w:sz w:val="28"/>
                              <w:szCs w:val="28"/>
                              <w:lang w:eastAsia="ja-JP"/>
                            </w:rPr>
                          </w:sdtEndPr>
                          <w:sdtContent>
                            <w:sdt>
                              <w:sdtPr>
                                <w:rPr>
                                  <w:rFonts w:ascii="Segoe UI" w:eastAsiaTheme="minorEastAsia" w:hAnsi="Segoe UI" w:cs="Segoe UI"/>
                                  <w:b w:val="0"/>
                                  <w:bCs w:val="0"/>
                                  <w:color w:val="auto"/>
                                  <w:sz w:val="22"/>
                                  <w:szCs w:val="22"/>
                                  <w:shd w:val="clear" w:color="auto" w:fill="E6E6E6"/>
                                  <w:lang w:eastAsia="en-US"/>
                                </w:rPr>
                                <w:id w:val="-1951694844"/>
                                <w:docPartObj>
                                  <w:docPartGallery w:val="Table of Contents"/>
                                  <w:docPartUnique/>
                                </w:docPartObj>
                              </w:sdtPr>
                              <w:sdtEndPr>
                                <w:rPr>
                                  <w:rFonts w:eastAsiaTheme="majorEastAsia"/>
                                  <w:b/>
                                  <w:bCs/>
                                  <w:color w:val="365F91" w:themeColor="accent1" w:themeShade="BF"/>
                                  <w:sz w:val="28"/>
                                  <w:szCs w:val="28"/>
                                  <w:lang w:eastAsia="ja-JP"/>
                                </w:rPr>
                              </w:sdtEndPr>
                              <w:sdtContent>
                                <w:p w14:paraId="1A42C993" w14:textId="6B8C13C9" w:rsidR="00032A9A" w:rsidRPr="00CF6436" w:rsidRDefault="00590496" w:rsidP="00CF6436">
                                  <w:pPr>
                                    <w:pStyle w:val="TOCHeading"/>
                                    <w:numPr>
                                      <w:ilvl w:val="0"/>
                                      <w:numId w:val="0"/>
                                    </w:numPr>
                                    <w:spacing w:line="360" w:lineRule="auto"/>
                                    <w:rPr>
                                      <w:rFonts w:ascii="Segoe UI" w:hAnsi="Segoe UI" w:cs="Segoe UI"/>
                                    </w:rPr>
                                  </w:pPr>
                                  <w:r w:rsidRPr="31665127">
                                    <w:rPr>
                                      <w:rFonts w:ascii="Segoe UI" w:hAnsi="Segoe UI" w:cs="Segoe UI"/>
                                    </w:rPr>
                                    <w:t>Table of C</w:t>
                                  </w:r>
                                  <w:r w:rsidR="00681E1F" w:rsidRPr="31665127">
                                    <w:rPr>
                                      <w:rFonts w:ascii="Segoe UI" w:hAnsi="Segoe UI" w:cs="Segoe UI"/>
                                    </w:rPr>
                                    <w:t>ontents</w:t>
                                  </w:r>
                                </w:p>
                              </w:sdtContent>
                            </w:sdt>
                          </w:sdtContent>
                        </w:sdt>
                      </w:sdtContent>
                    </w:sdt>
                  </w:sdtContent>
                </w:sdt>
              </w:sdtContent>
            </w:sdt>
          </w:sdtContent>
        </w:sdt>
      </w:sdtContent>
    </w:sdt>
    <w:p w14:paraId="7BEFDFFD" w14:textId="7914F7B8" w:rsidR="00B64020" w:rsidRDefault="000F758F">
      <w:pPr>
        <w:pStyle w:val="TOC1"/>
        <w:rPr>
          <w:rFonts w:asciiTheme="minorHAnsi" w:hAnsiTheme="minorHAnsi" w:cstheme="minorBidi"/>
          <w:noProof/>
          <w:sz w:val="22"/>
        </w:rPr>
      </w:pPr>
      <w:r w:rsidRPr="17CECF10">
        <w:rPr>
          <w:color w:val="2B579A"/>
          <w:shd w:val="clear" w:color="auto" w:fill="E6E6E6"/>
        </w:rPr>
        <w:fldChar w:fldCharType="begin"/>
      </w:r>
      <w:r w:rsidR="00202135">
        <w:instrText>TOC \o "1-2" \h \z \u</w:instrText>
      </w:r>
      <w:r w:rsidRPr="17CECF10">
        <w:rPr>
          <w:color w:val="2B579A"/>
          <w:shd w:val="clear" w:color="auto" w:fill="E6E6E6"/>
        </w:rPr>
        <w:fldChar w:fldCharType="separate"/>
      </w:r>
      <w:hyperlink w:anchor="_Toc175640414" w:history="1">
        <w:r w:rsidR="00B64020" w:rsidRPr="0036502D">
          <w:rPr>
            <w:rStyle w:val="Hyperlink"/>
            <w:rFonts w:ascii="Segoe UI" w:eastAsia="Segoe UI" w:hAnsi="Segoe UI" w:cs="Segoe UI"/>
            <w:noProof/>
          </w:rPr>
          <w:t>1</w:t>
        </w:r>
        <w:r w:rsidR="00B64020">
          <w:rPr>
            <w:rFonts w:asciiTheme="minorHAnsi" w:hAnsiTheme="minorHAnsi" w:cstheme="minorBidi"/>
            <w:noProof/>
            <w:sz w:val="22"/>
          </w:rPr>
          <w:tab/>
        </w:r>
        <w:r w:rsidR="00B64020" w:rsidRPr="0036502D">
          <w:rPr>
            <w:rStyle w:val="Hyperlink"/>
            <w:rFonts w:ascii="Segoe UI" w:eastAsia="Segoe UI" w:hAnsi="Segoe UI" w:cs="Segoe UI"/>
            <w:noProof/>
          </w:rPr>
          <w:t>EXECUTIVE SUMMARY</w:t>
        </w:r>
        <w:r w:rsidR="00B64020">
          <w:rPr>
            <w:noProof/>
            <w:webHidden/>
          </w:rPr>
          <w:tab/>
        </w:r>
        <w:r w:rsidR="00B64020">
          <w:rPr>
            <w:noProof/>
            <w:webHidden/>
          </w:rPr>
          <w:fldChar w:fldCharType="begin"/>
        </w:r>
        <w:r w:rsidR="00B64020">
          <w:rPr>
            <w:noProof/>
            <w:webHidden/>
          </w:rPr>
          <w:instrText xml:space="preserve"> PAGEREF _Toc175640414 \h </w:instrText>
        </w:r>
        <w:r w:rsidR="00B64020">
          <w:rPr>
            <w:noProof/>
            <w:webHidden/>
          </w:rPr>
        </w:r>
        <w:r w:rsidR="00B64020">
          <w:rPr>
            <w:noProof/>
            <w:webHidden/>
          </w:rPr>
          <w:fldChar w:fldCharType="separate"/>
        </w:r>
        <w:r w:rsidR="00B64020">
          <w:rPr>
            <w:noProof/>
            <w:webHidden/>
          </w:rPr>
          <w:t>1</w:t>
        </w:r>
        <w:r w:rsidR="00B64020">
          <w:rPr>
            <w:noProof/>
            <w:webHidden/>
          </w:rPr>
          <w:fldChar w:fldCharType="end"/>
        </w:r>
      </w:hyperlink>
    </w:p>
    <w:p w14:paraId="3C70D789" w14:textId="66922689" w:rsidR="00B64020" w:rsidRDefault="00EF7167">
      <w:pPr>
        <w:pStyle w:val="TOC2"/>
        <w:rPr>
          <w:rFonts w:asciiTheme="minorHAnsi" w:hAnsiTheme="minorHAnsi" w:cstheme="minorBidi"/>
          <w:noProof/>
          <w:sz w:val="22"/>
        </w:rPr>
      </w:pPr>
      <w:hyperlink w:anchor="_Toc175640415" w:history="1">
        <w:r w:rsidR="00B64020" w:rsidRPr="0036502D">
          <w:rPr>
            <w:rStyle w:val="Hyperlink"/>
            <w:rFonts w:ascii="Segoe UI" w:eastAsia="Segoe UI" w:hAnsi="Segoe UI" w:cs="Segoe UI"/>
            <w:noProof/>
          </w:rPr>
          <w:t>1.1</w:t>
        </w:r>
        <w:r w:rsidR="00B64020">
          <w:rPr>
            <w:rFonts w:asciiTheme="minorHAnsi" w:hAnsiTheme="minorHAnsi" w:cstheme="minorBidi"/>
            <w:noProof/>
            <w:sz w:val="22"/>
          </w:rPr>
          <w:tab/>
        </w:r>
        <w:r w:rsidR="00B64020" w:rsidRPr="0036502D">
          <w:rPr>
            <w:rStyle w:val="Hyperlink"/>
            <w:rFonts w:ascii="Segoe UI" w:eastAsia="Segoe UI" w:hAnsi="Segoe UI" w:cs="Segoe UI"/>
            <w:noProof/>
          </w:rPr>
          <w:t>Purpose</w:t>
        </w:r>
        <w:r w:rsidR="00B64020">
          <w:rPr>
            <w:noProof/>
            <w:webHidden/>
          </w:rPr>
          <w:tab/>
        </w:r>
        <w:r w:rsidR="00B64020">
          <w:rPr>
            <w:noProof/>
            <w:webHidden/>
          </w:rPr>
          <w:fldChar w:fldCharType="begin"/>
        </w:r>
        <w:r w:rsidR="00B64020">
          <w:rPr>
            <w:noProof/>
            <w:webHidden/>
          </w:rPr>
          <w:instrText xml:space="preserve"> PAGEREF _Toc175640415 \h </w:instrText>
        </w:r>
        <w:r w:rsidR="00B64020">
          <w:rPr>
            <w:noProof/>
            <w:webHidden/>
          </w:rPr>
        </w:r>
        <w:r w:rsidR="00B64020">
          <w:rPr>
            <w:noProof/>
            <w:webHidden/>
          </w:rPr>
          <w:fldChar w:fldCharType="separate"/>
        </w:r>
        <w:r w:rsidR="00B64020">
          <w:rPr>
            <w:noProof/>
            <w:webHidden/>
          </w:rPr>
          <w:t>1</w:t>
        </w:r>
        <w:r w:rsidR="00B64020">
          <w:rPr>
            <w:noProof/>
            <w:webHidden/>
          </w:rPr>
          <w:fldChar w:fldCharType="end"/>
        </w:r>
      </w:hyperlink>
    </w:p>
    <w:p w14:paraId="50096887" w14:textId="3DCB9452" w:rsidR="00B64020" w:rsidRDefault="00EF7167">
      <w:pPr>
        <w:pStyle w:val="TOC2"/>
        <w:rPr>
          <w:rFonts w:asciiTheme="minorHAnsi" w:hAnsiTheme="minorHAnsi" w:cstheme="minorBidi"/>
          <w:noProof/>
          <w:sz w:val="22"/>
        </w:rPr>
      </w:pPr>
      <w:hyperlink w:anchor="_Toc175640416" w:history="1">
        <w:r w:rsidR="00B64020" w:rsidRPr="0036502D">
          <w:rPr>
            <w:rStyle w:val="Hyperlink"/>
            <w:rFonts w:ascii="Segoe UI" w:hAnsi="Segoe UI" w:cs="Segoe UI"/>
            <w:noProof/>
          </w:rPr>
          <w:t>1.2</w:t>
        </w:r>
        <w:r w:rsidR="00B64020">
          <w:rPr>
            <w:rFonts w:asciiTheme="minorHAnsi" w:hAnsiTheme="minorHAnsi" w:cstheme="minorBidi"/>
            <w:noProof/>
            <w:sz w:val="22"/>
          </w:rPr>
          <w:tab/>
        </w:r>
        <w:r w:rsidR="00B64020" w:rsidRPr="0036502D">
          <w:rPr>
            <w:rStyle w:val="Hyperlink"/>
            <w:rFonts w:ascii="Segoe UI" w:hAnsi="Segoe UI" w:cs="Segoe UI"/>
            <w:noProof/>
          </w:rPr>
          <w:t>Summary of Analysis</w:t>
        </w:r>
        <w:r w:rsidR="00B64020">
          <w:rPr>
            <w:noProof/>
            <w:webHidden/>
          </w:rPr>
          <w:tab/>
        </w:r>
        <w:r w:rsidR="00B64020">
          <w:rPr>
            <w:noProof/>
            <w:webHidden/>
          </w:rPr>
          <w:fldChar w:fldCharType="begin"/>
        </w:r>
        <w:r w:rsidR="00B64020">
          <w:rPr>
            <w:noProof/>
            <w:webHidden/>
          </w:rPr>
          <w:instrText xml:space="preserve"> PAGEREF _Toc175640416 \h </w:instrText>
        </w:r>
        <w:r w:rsidR="00B64020">
          <w:rPr>
            <w:noProof/>
            <w:webHidden/>
          </w:rPr>
        </w:r>
        <w:r w:rsidR="00B64020">
          <w:rPr>
            <w:noProof/>
            <w:webHidden/>
          </w:rPr>
          <w:fldChar w:fldCharType="separate"/>
        </w:r>
        <w:r w:rsidR="00B64020">
          <w:rPr>
            <w:noProof/>
            <w:webHidden/>
          </w:rPr>
          <w:t>2</w:t>
        </w:r>
        <w:r w:rsidR="00B64020">
          <w:rPr>
            <w:noProof/>
            <w:webHidden/>
          </w:rPr>
          <w:fldChar w:fldCharType="end"/>
        </w:r>
      </w:hyperlink>
    </w:p>
    <w:p w14:paraId="13FBE102" w14:textId="27F0D7BF" w:rsidR="00B64020" w:rsidRDefault="00EF7167">
      <w:pPr>
        <w:pStyle w:val="TOC2"/>
        <w:rPr>
          <w:rFonts w:asciiTheme="minorHAnsi" w:hAnsiTheme="minorHAnsi" w:cstheme="minorBidi"/>
          <w:noProof/>
          <w:sz w:val="22"/>
        </w:rPr>
      </w:pPr>
      <w:hyperlink w:anchor="_Toc175640417" w:history="1">
        <w:r w:rsidR="00B64020" w:rsidRPr="0036502D">
          <w:rPr>
            <w:rStyle w:val="Hyperlink"/>
            <w:rFonts w:ascii="Segoe UI" w:hAnsi="Segoe UI" w:cs="Segoe UI"/>
            <w:noProof/>
          </w:rPr>
          <w:t>1.3</w:t>
        </w:r>
        <w:r w:rsidR="00B64020">
          <w:rPr>
            <w:rFonts w:asciiTheme="minorHAnsi" w:hAnsiTheme="minorHAnsi" w:cstheme="minorBidi"/>
            <w:noProof/>
            <w:sz w:val="22"/>
          </w:rPr>
          <w:tab/>
        </w:r>
        <w:r w:rsidR="00B64020" w:rsidRPr="0036502D">
          <w:rPr>
            <w:rStyle w:val="Hyperlink"/>
            <w:rFonts w:ascii="Segoe UI" w:hAnsi="Segoe UI" w:cs="Segoe UI"/>
            <w:noProof/>
          </w:rPr>
          <w:t>Conclusion</w:t>
        </w:r>
        <w:r w:rsidR="00B64020">
          <w:rPr>
            <w:noProof/>
            <w:webHidden/>
          </w:rPr>
          <w:tab/>
        </w:r>
        <w:r w:rsidR="00B64020">
          <w:rPr>
            <w:noProof/>
            <w:webHidden/>
          </w:rPr>
          <w:fldChar w:fldCharType="begin"/>
        </w:r>
        <w:r w:rsidR="00B64020">
          <w:rPr>
            <w:noProof/>
            <w:webHidden/>
          </w:rPr>
          <w:instrText xml:space="preserve"> PAGEREF _Toc175640417 \h </w:instrText>
        </w:r>
        <w:r w:rsidR="00B64020">
          <w:rPr>
            <w:noProof/>
            <w:webHidden/>
          </w:rPr>
        </w:r>
        <w:r w:rsidR="00B64020">
          <w:rPr>
            <w:noProof/>
            <w:webHidden/>
          </w:rPr>
          <w:fldChar w:fldCharType="separate"/>
        </w:r>
        <w:r w:rsidR="00B64020">
          <w:rPr>
            <w:noProof/>
            <w:webHidden/>
          </w:rPr>
          <w:t>7</w:t>
        </w:r>
        <w:r w:rsidR="00B64020">
          <w:rPr>
            <w:noProof/>
            <w:webHidden/>
          </w:rPr>
          <w:fldChar w:fldCharType="end"/>
        </w:r>
      </w:hyperlink>
    </w:p>
    <w:p w14:paraId="40F3B4A9" w14:textId="45E1DBE8" w:rsidR="00B64020" w:rsidRDefault="00EF7167">
      <w:pPr>
        <w:pStyle w:val="TOC2"/>
        <w:rPr>
          <w:rFonts w:asciiTheme="minorHAnsi" w:hAnsiTheme="minorHAnsi" w:cstheme="minorBidi"/>
          <w:noProof/>
          <w:sz w:val="22"/>
        </w:rPr>
      </w:pPr>
      <w:hyperlink w:anchor="_Toc175640418" w:history="1">
        <w:r w:rsidR="00B64020" w:rsidRPr="0036502D">
          <w:rPr>
            <w:rStyle w:val="Hyperlink"/>
            <w:rFonts w:ascii="Segoe UI" w:hAnsi="Segoe UI" w:cs="Segoe UI"/>
            <w:noProof/>
          </w:rPr>
          <w:t>1.4</w:t>
        </w:r>
        <w:r w:rsidR="00B64020">
          <w:rPr>
            <w:rFonts w:asciiTheme="minorHAnsi" w:hAnsiTheme="minorHAnsi" w:cstheme="minorBidi"/>
            <w:noProof/>
            <w:sz w:val="22"/>
          </w:rPr>
          <w:tab/>
        </w:r>
        <w:r w:rsidR="00B64020" w:rsidRPr="0036502D">
          <w:rPr>
            <w:rStyle w:val="Hyperlink"/>
            <w:rFonts w:ascii="Segoe UI" w:hAnsi="Segoe UI" w:cs="Segoe UI"/>
            <w:noProof/>
          </w:rPr>
          <w:t>Points of Contact</w:t>
        </w:r>
        <w:r w:rsidR="00B64020">
          <w:rPr>
            <w:noProof/>
            <w:webHidden/>
          </w:rPr>
          <w:tab/>
        </w:r>
        <w:r w:rsidR="00B64020">
          <w:rPr>
            <w:noProof/>
            <w:webHidden/>
          </w:rPr>
          <w:fldChar w:fldCharType="begin"/>
        </w:r>
        <w:r w:rsidR="00B64020">
          <w:rPr>
            <w:noProof/>
            <w:webHidden/>
          </w:rPr>
          <w:instrText xml:space="preserve"> PAGEREF _Toc175640418 \h </w:instrText>
        </w:r>
        <w:r w:rsidR="00B64020">
          <w:rPr>
            <w:noProof/>
            <w:webHidden/>
          </w:rPr>
        </w:r>
        <w:r w:rsidR="00B64020">
          <w:rPr>
            <w:noProof/>
            <w:webHidden/>
          </w:rPr>
          <w:fldChar w:fldCharType="separate"/>
        </w:r>
        <w:r w:rsidR="00B64020">
          <w:rPr>
            <w:noProof/>
            <w:webHidden/>
          </w:rPr>
          <w:t>8</w:t>
        </w:r>
        <w:r w:rsidR="00B64020">
          <w:rPr>
            <w:noProof/>
            <w:webHidden/>
          </w:rPr>
          <w:fldChar w:fldCharType="end"/>
        </w:r>
      </w:hyperlink>
    </w:p>
    <w:p w14:paraId="6066944E" w14:textId="2921DB92" w:rsidR="00B64020" w:rsidRDefault="00EF7167">
      <w:pPr>
        <w:pStyle w:val="TOC1"/>
        <w:rPr>
          <w:rFonts w:asciiTheme="minorHAnsi" w:hAnsiTheme="minorHAnsi" w:cstheme="minorBidi"/>
          <w:noProof/>
          <w:sz w:val="22"/>
        </w:rPr>
      </w:pPr>
      <w:hyperlink w:anchor="_Toc175640419" w:history="1">
        <w:r w:rsidR="00B64020" w:rsidRPr="0036502D">
          <w:rPr>
            <w:rStyle w:val="Hyperlink"/>
            <w:rFonts w:ascii="Segoe UI" w:hAnsi="Segoe UI" w:cs="Segoe UI"/>
            <w:noProof/>
          </w:rPr>
          <w:t>2</w:t>
        </w:r>
        <w:r w:rsidR="00B64020">
          <w:rPr>
            <w:rFonts w:asciiTheme="minorHAnsi" w:hAnsiTheme="minorHAnsi" w:cstheme="minorBidi"/>
            <w:noProof/>
            <w:sz w:val="22"/>
          </w:rPr>
          <w:tab/>
        </w:r>
        <w:r w:rsidR="00B64020" w:rsidRPr="0036502D">
          <w:rPr>
            <w:rStyle w:val="Hyperlink"/>
            <w:rFonts w:ascii="Segoe UI" w:hAnsi="Segoe UI" w:cs="Segoe UI"/>
            <w:noProof/>
          </w:rPr>
          <w:t>GENERAL INFORMATION</w:t>
        </w:r>
        <w:r w:rsidR="00B64020">
          <w:rPr>
            <w:noProof/>
            <w:webHidden/>
          </w:rPr>
          <w:tab/>
        </w:r>
        <w:r w:rsidR="00B64020">
          <w:rPr>
            <w:noProof/>
            <w:webHidden/>
          </w:rPr>
          <w:fldChar w:fldCharType="begin"/>
        </w:r>
        <w:r w:rsidR="00B64020">
          <w:rPr>
            <w:noProof/>
            <w:webHidden/>
          </w:rPr>
          <w:instrText xml:space="preserve"> PAGEREF _Toc175640419 \h </w:instrText>
        </w:r>
        <w:r w:rsidR="00B64020">
          <w:rPr>
            <w:noProof/>
            <w:webHidden/>
          </w:rPr>
        </w:r>
        <w:r w:rsidR="00B64020">
          <w:rPr>
            <w:noProof/>
            <w:webHidden/>
          </w:rPr>
          <w:fldChar w:fldCharType="separate"/>
        </w:r>
        <w:r w:rsidR="00B64020">
          <w:rPr>
            <w:noProof/>
            <w:webHidden/>
          </w:rPr>
          <w:t>9</w:t>
        </w:r>
        <w:r w:rsidR="00B64020">
          <w:rPr>
            <w:noProof/>
            <w:webHidden/>
          </w:rPr>
          <w:fldChar w:fldCharType="end"/>
        </w:r>
      </w:hyperlink>
    </w:p>
    <w:p w14:paraId="5A54572A" w14:textId="724A5EF9" w:rsidR="00B64020" w:rsidRDefault="00EF7167">
      <w:pPr>
        <w:pStyle w:val="TOC2"/>
        <w:rPr>
          <w:rFonts w:asciiTheme="minorHAnsi" w:hAnsiTheme="minorHAnsi" w:cstheme="minorBidi"/>
          <w:noProof/>
          <w:sz w:val="22"/>
        </w:rPr>
      </w:pPr>
      <w:hyperlink w:anchor="_Toc175640420" w:history="1">
        <w:r w:rsidR="00B64020" w:rsidRPr="0036502D">
          <w:rPr>
            <w:rStyle w:val="Hyperlink"/>
            <w:rFonts w:ascii="Segoe UI" w:hAnsi="Segoe UI" w:cs="Segoe UI"/>
            <w:noProof/>
          </w:rPr>
          <w:t>2.0</w:t>
        </w:r>
        <w:r w:rsidR="00B64020">
          <w:rPr>
            <w:rFonts w:asciiTheme="minorHAnsi" w:hAnsiTheme="minorHAnsi" w:cstheme="minorBidi"/>
            <w:noProof/>
            <w:sz w:val="22"/>
          </w:rPr>
          <w:tab/>
        </w:r>
        <w:r w:rsidR="00B64020" w:rsidRPr="0036502D">
          <w:rPr>
            <w:rStyle w:val="Hyperlink"/>
            <w:rFonts w:ascii="Segoe UI" w:hAnsi="Segoe UI" w:cs="Segoe UI"/>
            <w:noProof/>
          </w:rPr>
          <w:t>Statement of Need for Action</w:t>
        </w:r>
        <w:r w:rsidR="00B64020">
          <w:rPr>
            <w:noProof/>
            <w:webHidden/>
          </w:rPr>
          <w:tab/>
        </w:r>
        <w:r w:rsidR="00B64020">
          <w:rPr>
            <w:noProof/>
            <w:webHidden/>
          </w:rPr>
          <w:fldChar w:fldCharType="begin"/>
        </w:r>
        <w:r w:rsidR="00B64020">
          <w:rPr>
            <w:noProof/>
            <w:webHidden/>
          </w:rPr>
          <w:instrText xml:space="preserve"> PAGEREF _Toc175640420 \h </w:instrText>
        </w:r>
        <w:r w:rsidR="00B64020">
          <w:rPr>
            <w:noProof/>
            <w:webHidden/>
          </w:rPr>
        </w:r>
        <w:r w:rsidR="00B64020">
          <w:rPr>
            <w:noProof/>
            <w:webHidden/>
          </w:rPr>
          <w:fldChar w:fldCharType="separate"/>
        </w:r>
        <w:r w:rsidR="00B64020">
          <w:rPr>
            <w:noProof/>
            <w:webHidden/>
          </w:rPr>
          <w:t>9</w:t>
        </w:r>
        <w:r w:rsidR="00B64020">
          <w:rPr>
            <w:noProof/>
            <w:webHidden/>
          </w:rPr>
          <w:fldChar w:fldCharType="end"/>
        </w:r>
      </w:hyperlink>
    </w:p>
    <w:p w14:paraId="70A0D67F" w14:textId="1A67CF23" w:rsidR="00B64020" w:rsidRDefault="00EF7167">
      <w:pPr>
        <w:pStyle w:val="TOC2"/>
        <w:rPr>
          <w:rFonts w:asciiTheme="minorHAnsi" w:hAnsiTheme="minorHAnsi" w:cstheme="minorBidi"/>
          <w:noProof/>
          <w:sz w:val="22"/>
        </w:rPr>
      </w:pPr>
      <w:hyperlink w:anchor="_Toc175640421" w:history="1">
        <w:r w:rsidR="00B64020" w:rsidRPr="0036502D">
          <w:rPr>
            <w:rStyle w:val="Hyperlink"/>
            <w:rFonts w:ascii="Segoe UI" w:hAnsi="Segoe UI" w:cs="Segoe UI"/>
            <w:noProof/>
          </w:rPr>
          <w:t>2.1</w:t>
        </w:r>
        <w:r w:rsidR="00B64020">
          <w:rPr>
            <w:rFonts w:asciiTheme="minorHAnsi" w:hAnsiTheme="minorHAnsi" w:cstheme="minorBidi"/>
            <w:noProof/>
            <w:sz w:val="22"/>
          </w:rPr>
          <w:tab/>
        </w:r>
        <w:r w:rsidR="00B64020" w:rsidRPr="0036502D">
          <w:rPr>
            <w:rStyle w:val="Hyperlink"/>
            <w:rFonts w:ascii="Segoe UI" w:hAnsi="Segoe UI" w:cs="Segoe UI"/>
            <w:noProof/>
          </w:rPr>
          <w:t>Scope</w:t>
        </w:r>
        <w:r w:rsidR="00B64020">
          <w:rPr>
            <w:noProof/>
            <w:webHidden/>
          </w:rPr>
          <w:tab/>
        </w:r>
        <w:r w:rsidR="00B64020">
          <w:rPr>
            <w:noProof/>
            <w:webHidden/>
          </w:rPr>
          <w:fldChar w:fldCharType="begin"/>
        </w:r>
        <w:r w:rsidR="00B64020">
          <w:rPr>
            <w:noProof/>
            <w:webHidden/>
          </w:rPr>
          <w:instrText xml:space="preserve"> PAGEREF _Toc175640421 \h </w:instrText>
        </w:r>
        <w:r w:rsidR="00B64020">
          <w:rPr>
            <w:noProof/>
            <w:webHidden/>
          </w:rPr>
        </w:r>
        <w:r w:rsidR="00B64020">
          <w:rPr>
            <w:noProof/>
            <w:webHidden/>
          </w:rPr>
          <w:fldChar w:fldCharType="separate"/>
        </w:r>
        <w:r w:rsidR="00B64020">
          <w:rPr>
            <w:noProof/>
            <w:webHidden/>
          </w:rPr>
          <w:t>10</w:t>
        </w:r>
        <w:r w:rsidR="00B64020">
          <w:rPr>
            <w:noProof/>
            <w:webHidden/>
          </w:rPr>
          <w:fldChar w:fldCharType="end"/>
        </w:r>
      </w:hyperlink>
    </w:p>
    <w:p w14:paraId="6551CA15" w14:textId="123B78A7" w:rsidR="00B64020" w:rsidRDefault="00EF7167">
      <w:pPr>
        <w:pStyle w:val="TOC2"/>
        <w:rPr>
          <w:rFonts w:asciiTheme="minorHAnsi" w:hAnsiTheme="minorHAnsi" w:cstheme="minorBidi"/>
          <w:noProof/>
          <w:sz w:val="22"/>
        </w:rPr>
      </w:pPr>
      <w:hyperlink w:anchor="_Toc175640422" w:history="1">
        <w:r w:rsidR="00B64020" w:rsidRPr="0036502D">
          <w:rPr>
            <w:rStyle w:val="Hyperlink"/>
            <w:rFonts w:ascii="Segoe UI" w:hAnsi="Segoe UI" w:cs="Segoe UI"/>
            <w:noProof/>
          </w:rPr>
          <w:t>2.2</w:t>
        </w:r>
        <w:r w:rsidR="00B64020">
          <w:rPr>
            <w:rFonts w:asciiTheme="minorHAnsi" w:hAnsiTheme="minorHAnsi" w:cstheme="minorBidi"/>
            <w:noProof/>
            <w:sz w:val="22"/>
          </w:rPr>
          <w:tab/>
        </w:r>
        <w:r w:rsidR="00B64020" w:rsidRPr="0036502D">
          <w:rPr>
            <w:rStyle w:val="Hyperlink"/>
            <w:rFonts w:ascii="Segoe UI" w:hAnsi="Segoe UI" w:cs="Segoe UI"/>
            <w:noProof/>
          </w:rPr>
          <w:t>Assumptions and Constraints</w:t>
        </w:r>
        <w:r w:rsidR="00B64020">
          <w:rPr>
            <w:noProof/>
            <w:webHidden/>
          </w:rPr>
          <w:tab/>
        </w:r>
        <w:r w:rsidR="00B64020">
          <w:rPr>
            <w:noProof/>
            <w:webHidden/>
          </w:rPr>
          <w:fldChar w:fldCharType="begin"/>
        </w:r>
        <w:r w:rsidR="00B64020">
          <w:rPr>
            <w:noProof/>
            <w:webHidden/>
          </w:rPr>
          <w:instrText xml:space="preserve"> PAGEREF _Toc175640422 \h </w:instrText>
        </w:r>
        <w:r w:rsidR="00B64020">
          <w:rPr>
            <w:noProof/>
            <w:webHidden/>
          </w:rPr>
        </w:r>
        <w:r w:rsidR="00B64020">
          <w:rPr>
            <w:noProof/>
            <w:webHidden/>
          </w:rPr>
          <w:fldChar w:fldCharType="separate"/>
        </w:r>
        <w:r w:rsidR="00B64020">
          <w:rPr>
            <w:noProof/>
            <w:webHidden/>
          </w:rPr>
          <w:t>10</w:t>
        </w:r>
        <w:r w:rsidR="00B64020">
          <w:rPr>
            <w:noProof/>
            <w:webHidden/>
          </w:rPr>
          <w:fldChar w:fldCharType="end"/>
        </w:r>
      </w:hyperlink>
    </w:p>
    <w:p w14:paraId="0DC282E4" w14:textId="176EEDE4" w:rsidR="00B64020" w:rsidRDefault="00EF7167">
      <w:pPr>
        <w:pStyle w:val="TOC2"/>
        <w:rPr>
          <w:rFonts w:asciiTheme="minorHAnsi" w:hAnsiTheme="minorHAnsi" w:cstheme="minorBidi"/>
          <w:noProof/>
          <w:sz w:val="22"/>
        </w:rPr>
      </w:pPr>
      <w:hyperlink w:anchor="_Toc175640423" w:history="1">
        <w:r w:rsidR="00B64020" w:rsidRPr="0036502D">
          <w:rPr>
            <w:rStyle w:val="Hyperlink"/>
            <w:rFonts w:ascii="Segoe UI" w:hAnsi="Segoe UI" w:cs="Segoe UI"/>
            <w:noProof/>
          </w:rPr>
          <w:t>2.3</w:t>
        </w:r>
        <w:r w:rsidR="00B64020">
          <w:rPr>
            <w:rFonts w:asciiTheme="minorHAnsi" w:hAnsiTheme="minorHAnsi" w:cstheme="minorBidi"/>
            <w:noProof/>
            <w:sz w:val="22"/>
          </w:rPr>
          <w:tab/>
        </w:r>
        <w:r w:rsidR="00B64020" w:rsidRPr="0036502D">
          <w:rPr>
            <w:rStyle w:val="Hyperlink"/>
            <w:rFonts w:ascii="Segoe UI" w:hAnsi="Segoe UI" w:cs="Segoe UI"/>
            <w:noProof/>
          </w:rPr>
          <w:t>Patent System Overview</w:t>
        </w:r>
        <w:r w:rsidR="00B64020">
          <w:rPr>
            <w:noProof/>
            <w:webHidden/>
          </w:rPr>
          <w:tab/>
        </w:r>
        <w:r w:rsidR="00B64020">
          <w:rPr>
            <w:noProof/>
            <w:webHidden/>
          </w:rPr>
          <w:fldChar w:fldCharType="begin"/>
        </w:r>
        <w:r w:rsidR="00B64020">
          <w:rPr>
            <w:noProof/>
            <w:webHidden/>
          </w:rPr>
          <w:instrText xml:space="preserve"> PAGEREF _Toc175640423 \h </w:instrText>
        </w:r>
        <w:r w:rsidR="00B64020">
          <w:rPr>
            <w:noProof/>
            <w:webHidden/>
          </w:rPr>
        </w:r>
        <w:r w:rsidR="00B64020">
          <w:rPr>
            <w:noProof/>
            <w:webHidden/>
          </w:rPr>
          <w:fldChar w:fldCharType="separate"/>
        </w:r>
        <w:r w:rsidR="00B64020">
          <w:rPr>
            <w:noProof/>
            <w:webHidden/>
          </w:rPr>
          <w:t>14</w:t>
        </w:r>
        <w:r w:rsidR="00B64020">
          <w:rPr>
            <w:noProof/>
            <w:webHidden/>
          </w:rPr>
          <w:fldChar w:fldCharType="end"/>
        </w:r>
      </w:hyperlink>
    </w:p>
    <w:p w14:paraId="7A241095" w14:textId="6C2FC87A" w:rsidR="00B64020" w:rsidRDefault="00EF7167">
      <w:pPr>
        <w:pStyle w:val="TOC1"/>
        <w:rPr>
          <w:rFonts w:asciiTheme="minorHAnsi" w:hAnsiTheme="minorHAnsi" w:cstheme="minorBidi"/>
          <w:noProof/>
          <w:sz w:val="22"/>
        </w:rPr>
      </w:pPr>
      <w:hyperlink w:anchor="_Toc175640424" w:history="1">
        <w:r w:rsidR="00B64020" w:rsidRPr="0036502D">
          <w:rPr>
            <w:rStyle w:val="Hyperlink"/>
            <w:rFonts w:ascii="Segoe UI" w:hAnsi="Segoe UI" w:cs="Segoe UI"/>
            <w:noProof/>
          </w:rPr>
          <w:t>3</w:t>
        </w:r>
        <w:r w:rsidR="00B64020">
          <w:rPr>
            <w:rFonts w:asciiTheme="minorHAnsi" w:hAnsiTheme="minorHAnsi" w:cstheme="minorBidi"/>
            <w:noProof/>
            <w:sz w:val="22"/>
          </w:rPr>
          <w:tab/>
        </w:r>
        <w:r w:rsidR="00B64020" w:rsidRPr="0036502D">
          <w:rPr>
            <w:rStyle w:val="Hyperlink"/>
            <w:rFonts w:ascii="Segoe UI" w:hAnsi="Segoe UI" w:cs="Segoe UI"/>
            <w:noProof/>
          </w:rPr>
          <w:t>OVERVIEW OF ANALYSIS</w:t>
        </w:r>
        <w:r w:rsidR="00B64020">
          <w:rPr>
            <w:noProof/>
            <w:webHidden/>
          </w:rPr>
          <w:tab/>
        </w:r>
        <w:r w:rsidR="00B64020">
          <w:rPr>
            <w:noProof/>
            <w:webHidden/>
          </w:rPr>
          <w:fldChar w:fldCharType="begin"/>
        </w:r>
        <w:r w:rsidR="00B64020">
          <w:rPr>
            <w:noProof/>
            <w:webHidden/>
          </w:rPr>
          <w:instrText xml:space="preserve"> PAGEREF _Toc175640424 \h </w:instrText>
        </w:r>
        <w:r w:rsidR="00B64020">
          <w:rPr>
            <w:noProof/>
            <w:webHidden/>
          </w:rPr>
        </w:r>
        <w:r w:rsidR="00B64020">
          <w:rPr>
            <w:noProof/>
            <w:webHidden/>
          </w:rPr>
          <w:fldChar w:fldCharType="separate"/>
        </w:r>
        <w:r w:rsidR="00B64020">
          <w:rPr>
            <w:noProof/>
            <w:webHidden/>
          </w:rPr>
          <w:t>17</w:t>
        </w:r>
        <w:r w:rsidR="00B64020">
          <w:rPr>
            <w:noProof/>
            <w:webHidden/>
          </w:rPr>
          <w:fldChar w:fldCharType="end"/>
        </w:r>
      </w:hyperlink>
    </w:p>
    <w:p w14:paraId="549D2754" w14:textId="4275BE8F" w:rsidR="00B64020" w:rsidRDefault="00EF7167">
      <w:pPr>
        <w:pStyle w:val="TOC2"/>
        <w:rPr>
          <w:rFonts w:asciiTheme="minorHAnsi" w:hAnsiTheme="minorHAnsi" w:cstheme="minorBidi"/>
          <w:noProof/>
          <w:sz w:val="22"/>
        </w:rPr>
      </w:pPr>
      <w:hyperlink w:anchor="_Toc175640425" w:history="1">
        <w:r w:rsidR="00B64020" w:rsidRPr="0036502D">
          <w:rPr>
            <w:rStyle w:val="Hyperlink"/>
            <w:rFonts w:ascii="Segoe UI" w:hAnsi="Segoe UI" w:cs="Segoe UI"/>
            <w:noProof/>
          </w:rPr>
          <w:t>3.1</w:t>
        </w:r>
        <w:r w:rsidR="00B64020">
          <w:rPr>
            <w:rFonts w:asciiTheme="minorHAnsi" w:hAnsiTheme="minorHAnsi" w:cstheme="minorBidi"/>
            <w:noProof/>
            <w:sz w:val="22"/>
          </w:rPr>
          <w:tab/>
        </w:r>
        <w:r w:rsidR="00B64020" w:rsidRPr="0036502D">
          <w:rPr>
            <w:rStyle w:val="Hyperlink"/>
            <w:rFonts w:ascii="Segoe UI" w:hAnsi="Segoe UI" w:cs="Segoe UI"/>
            <w:noProof/>
          </w:rPr>
          <w:t>Overview of Alternatives</w:t>
        </w:r>
        <w:r w:rsidR="00B64020">
          <w:rPr>
            <w:noProof/>
            <w:webHidden/>
          </w:rPr>
          <w:tab/>
        </w:r>
        <w:r w:rsidR="00B64020">
          <w:rPr>
            <w:noProof/>
            <w:webHidden/>
          </w:rPr>
          <w:fldChar w:fldCharType="begin"/>
        </w:r>
        <w:r w:rsidR="00B64020">
          <w:rPr>
            <w:noProof/>
            <w:webHidden/>
          </w:rPr>
          <w:instrText xml:space="preserve"> PAGEREF _Toc175640425 \h </w:instrText>
        </w:r>
        <w:r w:rsidR="00B64020">
          <w:rPr>
            <w:noProof/>
            <w:webHidden/>
          </w:rPr>
        </w:r>
        <w:r w:rsidR="00B64020">
          <w:rPr>
            <w:noProof/>
            <w:webHidden/>
          </w:rPr>
          <w:fldChar w:fldCharType="separate"/>
        </w:r>
        <w:r w:rsidR="00B64020">
          <w:rPr>
            <w:noProof/>
            <w:webHidden/>
          </w:rPr>
          <w:t>17</w:t>
        </w:r>
        <w:r w:rsidR="00B64020">
          <w:rPr>
            <w:noProof/>
            <w:webHidden/>
          </w:rPr>
          <w:fldChar w:fldCharType="end"/>
        </w:r>
      </w:hyperlink>
    </w:p>
    <w:p w14:paraId="2BFA9D74" w14:textId="4672ED90" w:rsidR="00B64020" w:rsidRDefault="00EF7167">
      <w:pPr>
        <w:pStyle w:val="TOC2"/>
        <w:rPr>
          <w:rFonts w:asciiTheme="minorHAnsi" w:hAnsiTheme="minorHAnsi" w:cstheme="minorBidi"/>
          <w:noProof/>
          <w:sz w:val="22"/>
        </w:rPr>
      </w:pPr>
      <w:hyperlink w:anchor="_Toc175640426" w:history="1">
        <w:r w:rsidR="00B64020" w:rsidRPr="0036502D">
          <w:rPr>
            <w:rStyle w:val="Hyperlink"/>
            <w:rFonts w:ascii="Segoe UI" w:hAnsi="Segoe UI" w:cs="Segoe UI"/>
            <w:noProof/>
          </w:rPr>
          <w:t>3.2</w:t>
        </w:r>
        <w:r w:rsidR="00B64020">
          <w:rPr>
            <w:rFonts w:asciiTheme="minorHAnsi" w:hAnsiTheme="minorHAnsi" w:cstheme="minorBidi"/>
            <w:noProof/>
            <w:sz w:val="22"/>
          </w:rPr>
          <w:tab/>
        </w:r>
        <w:r w:rsidR="00B64020" w:rsidRPr="0036502D">
          <w:rPr>
            <w:rStyle w:val="Hyperlink"/>
            <w:rFonts w:ascii="Segoe UI" w:hAnsi="Segoe UI" w:cs="Segoe UI"/>
            <w:noProof/>
          </w:rPr>
          <w:t>Methodology</w:t>
        </w:r>
        <w:r w:rsidR="00B64020">
          <w:rPr>
            <w:noProof/>
            <w:webHidden/>
          </w:rPr>
          <w:tab/>
        </w:r>
        <w:r w:rsidR="00B64020">
          <w:rPr>
            <w:noProof/>
            <w:webHidden/>
          </w:rPr>
          <w:fldChar w:fldCharType="begin"/>
        </w:r>
        <w:r w:rsidR="00B64020">
          <w:rPr>
            <w:noProof/>
            <w:webHidden/>
          </w:rPr>
          <w:instrText xml:space="preserve"> PAGEREF _Toc175640426 \h </w:instrText>
        </w:r>
        <w:r w:rsidR="00B64020">
          <w:rPr>
            <w:noProof/>
            <w:webHidden/>
          </w:rPr>
        </w:r>
        <w:r w:rsidR="00B64020">
          <w:rPr>
            <w:noProof/>
            <w:webHidden/>
          </w:rPr>
          <w:fldChar w:fldCharType="separate"/>
        </w:r>
        <w:r w:rsidR="00B64020">
          <w:rPr>
            <w:noProof/>
            <w:webHidden/>
          </w:rPr>
          <w:t>17</w:t>
        </w:r>
        <w:r w:rsidR="00B64020">
          <w:rPr>
            <w:noProof/>
            <w:webHidden/>
          </w:rPr>
          <w:fldChar w:fldCharType="end"/>
        </w:r>
      </w:hyperlink>
    </w:p>
    <w:p w14:paraId="4877401C" w14:textId="4B61ABDD" w:rsidR="00B64020" w:rsidRDefault="00EF7167">
      <w:pPr>
        <w:pStyle w:val="TOC2"/>
        <w:rPr>
          <w:rFonts w:asciiTheme="minorHAnsi" w:hAnsiTheme="minorHAnsi" w:cstheme="minorBidi"/>
          <w:noProof/>
          <w:sz w:val="22"/>
        </w:rPr>
      </w:pPr>
      <w:hyperlink w:anchor="_Toc175640427" w:history="1">
        <w:r w:rsidR="00B64020" w:rsidRPr="0036502D">
          <w:rPr>
            <w:rStyle w:val="Hyperlink"/>
            <w:rFonts w:ascii="Segoe UI" w:hAnsi="Segoe UI" w:cs="Segoe UI"/>
            <w:noProof/>
          </w:rPr>
          <w:t>3.3</w:t>
        </w:r>
        <w:r w:rsidR="00B64020">
          <w:rPr>
            <w:rFonts w:asciiTheme="minorHAnsi" w:hAnsiTheme="minorHAnsi" w:cstheme="minorBidi"/>
            <w:noProof/>
            <w:sz w:val="22"/>
          </w:rPr>
          <w:tab/>
        </w:r>
        <w:r w:rsidR="00B64020" w:rsidRPr="0036502D">
          <w:rPr>
            <w:rStyle w:val="Hyperlink"/>
            <w:rFonts w:ascii="Segoe UI" w:hAnsi="Segoe UI" w:cs="Segoe UI"/>
            <w:noProof/>
          </w:rPr>
          <w:t>Overview of the Qualitative Costs and Benefits Across Alternatives</w:t>
        </w:r>
        <w:r w:rsidR="00B64020">
          <w:rPr>
            <w:noProof/>
            <w:webHidden/>
          </w:rPr>
          <w:tab/>
        </w:r>
        <w:r w:rsidR="00B64020">
          <w:rPr>
            <w:noProof/>
            <w:webHidden/>
          </w:rPr>
          <w:fldChar w:fldCharType="begin"/>
        </w:r>
        <w:r w:rsidR="00B64020">
          <w:rPr>
            <w:noProof/>
            <w:webHidden/>
          </w:rPr>
          <w:instrText xml:space="preserve"> PAGEREF _Toc175640427 \h </w:instrText>
        </w:r>
        <w:r w:rsidR="00B64020">
          <w:rPr>
            <w:noProof/>
            <w:webHidden/>
          </w:rPr>
        </w:r>
        <w:r w:rsidR="00B64020">
          <w:rPr>
            <w:noProof/>
            <w:webHidden/>
          </w:rPr>
          <w:fldChar w:fldCharType="separate"/>
        </w:r>
        <w:r w:rsidR="00B64020">
          <w:rPr>
            <w:noProof/>
            <w:webHidden/>
          </w:rPr>
          <w:t>22</w:t>
        </w:r>
        <w:r w:rsidR="00B64020">
          <w:rPr>
            <w:noProof/>
            <w:webHidden/>
          </w:rPr>
          <w:fldChar w:fldCharType="end"/>
        </w:r>
      </w:hyperlink>
    </w:p>
    <w:p w14:paraId="21E34B44" w14:textId="55E8A2F1" w:rsidR="00B64020" w:rsidRDefault="00EF7167">
      <w:pPr>
        <w:pStyle w:val="TOC2"/>
        <w:rPr>
          <w:rFonts w:asciiTheme="minorHAnsi" w:hAnsiTheme="minorHAnsi" w:cstheme="minorBidi"/>
          <w:noProof/>
          <w:sz w:val="22"/>
        </w:rPr>
      </w:pPr>
      <w:hyperlink w:anchor="_Toc175640428" w:history="1">
        <w:r w:rsidR="00B64020" w:rsidRPr="0036502D">
          <w:rPr>
            <w:rStyle w:val="Hyperlink"/>
            <w:rFonts w:ascii="Segoe UI" w:hAnsi="Segoe UI" w:cs="Segoe UI"/>
            <w:noProof/>
          </w:rPr>
          <w:t>3.4</w:t>
        </w:r>
        <w:r w:rsidR="00B64020">
          <w:rPr>
            <w:rFonts w:asciiTheme="minorHAnsi" w:hAnsiTheme="minorHAnsi" w:cstheme="minorBidi"/>
            <w:noProof/>
            <w:sz w:val="22"/>
          </w:rPr>
          <w:tab/>
        </w:r>
        <w:r w:rsidR="00B64020" w:rsidRPr="0036502D">
          <w:rPr>
            <w:rStyle w:val="Hyperlink"/>
            <w:rFonts w:ascii="Segoe UI" w:hAnsi="Segoe UI" w:cs="Segoe UI"/>
            <w:noProof/>
          </w:rPr>
          <w:t>Summary of the Final Patent Fee Schedule (Alternative 1)</w:t>
        </w:r>
        <w:r w:rsidR="00B64020">
          <w:rPr>
            <w:noProof/>
            <w:webHidden/>
          </w:rPr>
          <w:tab/>
        </w:r>
        <w:r w:rsidR="00B64020">
          <w:rPr>
            <w:noProof/>
            <w:webHidden/>
          </w:rPr>
          <w:fldChar w:fldCharType="begin"/>
        </w:r>
        <w:r w:rsidR="00B64020">
          <w:rPr>
            <w:noProof/>
            <w:webHidden/>
          </w:rPr>
          <w:instrText xml:space="preserve"> PAGEREF _Toc175640428 \h </w:instrText>
        </w:r>
        <w:r w:rsidR="00B64020">
          <w:rPr>
            <w:noProof/>
            <w:webHidden/>
          </w:rPr>
        </w:r>
        <w:r w:rsidR="00B64020">
          <w:rPr>
            <w:noProof/>
            <w:webHidden/>
          </w:rPr>
          <w:fldChar w:fldCharType="separate"/>
        </w:r>
        <w:r w:rsidR="00B64020">
          <w:rPr>
            <w:noProof/>
            <w:webHidden/>
          </w:rPr>
          <w:t>29</w:t>
        </w:r>
        <w:r w:rsidR="00B64020">
          <w:rPr>
            <w:noProof/>
            <w:webHidden/>
          </w:rPr>
          <w:fldChar w:fldCharType="end"/>
        </w:r>
      </w:hyperlink>
    </w:p>
    <w:p w14:paraId="27CB220F" w14:textId="383507AF" w:rsidR="00B64020" w:rsidRDefault="00EF7167">
      <w:pPr>
        <w:pStyle w:val="TOC1"/>
        <w:rPr>
          <w:rFonts w:asciiTheme="minorHAnsi" w:hAnsiTheme="minorHAnsi" w:cstheme="minorBidi"/>
          <w:noProof/>
          <w:sz w:val="22"/>
        </w:rPr>
      </w:pPr>
      <w:hyperlink w:anchor="_Toc175640429" w:history="1">
        <w:r w:rsidR="00B64020" w:rsidRPr="0036502D">
          <w:rPr>
            <w:rStyle w:val="Hyperlink"/>
            <w:rFonts w:ascii="Segoe UI" w:hAnsi="Segoe UI" w:cs="Segoe UI"/>
            <w:noProof/>
          </w:rPr>
          <w:t>4</w:t>
        </w:r>
        <w:r w:rsidR="00B64020">
          <w:rPr>
            <w:rFonts w:asciiTheme="minorHAnsi" w:hAnsiTheme="minorHAnsi" w:cstheme="minorBidi"/>
            <w:noProof/>
            <w:sz w:val="22"/>
          </w:rPr>
          <w:tab/>
        </w:r>
        <w:r w:rsidR="00B64020" w:rsidRPr="0036502D">
          <w:rPr>
            <w:rStyle w:val="Hyperlink"/>
            <w:rFonts w:ascii="Segoe UI" w:hAnsi="Segoe UI" w:cs="Segoe UI"/>
            <w:noProof/>
          </w:rPr>
          <w:t>ANALYSIS OF BASELINE AND ALTERNATIVES</w:t>
        </w:r>
        <w:r w:rsidR="00B64020">
          <w:rPr>
            <w:noProof/>
            <w:webHidden/>
          </w:rPr>
          <w:tab/>
        </w:r>
        <w:r w:rsidR="00B64020">
          <w:rPr>
            <w:noProof/>
            <w:webHidden/>
          </w:rPr>
          <w:fldChar w:fldCharType="begin"/>
        </w:r>
        <w:r w:rsidR="00B64020">
          <w:rPr>
            <w:noProof/>
            <w:webHidden/>
          </w:rPr>
          <w:instrText xml:space="preserve"> PAGEREF _Toc175640429 \h </w:instrText>
        </w:r>
        <w:r w:rsidR="00B64020">
          <w:rPr>
            <w:noProof/>
            <w:webHidden/>
          </w:rPr>
        </w:r>
        <w:r w:rsidR="00B64020">
          <w:rPr>
            <w:noProof/>
            <w:webHidden/>
          </w:rPr>
          <w:fldChar w:fldCharType="separate"/>
        </w:r>
        <w:r w:rsidR="00B64020">
          <w:rPr>
            <w:noProof/>
            <w:webHidden/>
          </w:rPr>
          <w:t>33</w:t>
        </w:r>
        <w:r w:rsidR="00B64020">
          <w:rPr>
            <w:noProof/>
            <w:webHidden/>
          </w:rPr>
          <w:fldChar w:fldCharType="end"/>
        </w:r>
      </w:hyperlink>
    </w:p>
    <w:p w14:paraId="36E64F53" w14:textId="4BC17CD9" w:rsidR="00B64020" w:rsidRDefault="00EF7167">
      <w:pPr>
        <w:pStyle w:val="TOC2"/>
        <w:rPr>
          <w:rFonts w:asciiTheme="minorHAnsi" w:hAnsiTheme="minorHAnsi" w:cstheme="minorBidi"/>
          <w:noProof/>
          <w:sz w:val="22"/>
        </w:rPr>
      </w:pPr>
      <w:hyperlink w:anchor="_Toc175640430" w:history="1">
        <w:r w:rsidR="00B64020" w:rsidRPr="0036502D">
          <w:rPr>
            <w:rStyle w:val="Hyperlink"/>
            <w:rFonts w:ascii="Segoe UI" w:hAnsi="Segoe UI" w:cs="Segoe UI"/>
            <w:noProof/>
          </w:rPr>
          <w:t>4.0</w:t>
        </w:r>
        <w:r w:rsidR="00B64020">
          <w:rPr>
            <w:rFonts w:asciiTheme="minorHAnsi" w:hAnsiTheme="minorHAnsi" w:cstheme="minorBidi"/>
            <w:noProof/>
            <w:sz w:val="22"/>
          </w:rPr>
          <w:tab/>
        </w:r>
        <w:r w:rsidR="00B64020" w:rsidRPr="0036502D">
          <w:rPr>
            <w:rStyle w:val="Hyperlink"/>
            <w:rFonts w:ascii="Segoe UI" w:hAnsi="Segoe UI" w:cs="Segoe UI"/>
            <w:noProof/>
          </w:rPr>
          <w:t>Baseline (Alternative 4, Current Fee Schedule)</w:t>
        </w:r>
        <w:r w:rsidR="00B64020">
          <w:rPr>
            <w:noProof/>
            <w:webHidden/>
          </w:rPr>
          <w:tab/>
        </w:r>
        <w:r w:rsidR="00B64020">
          <w:rPr>
            <w:noProof/>
            <w:webHidden/>
          </w:rPr>
          <w:fldChar w:fldCharType="begin"/>
        </w:r>
        <w:r w:rsidR="00B64020">
          <w:rPr>
            <w:noProof/>
            <w:webHidden/>
          </w:rPr>
          <w:instrText xml:space="preserve"> PAGEREF _Toc175640430 \h </w:instrText>
        </w:r>
        <w:r w:rsidR="00B64020">
          <w:rPr>
            <w:noProof/>
            <w:webHidden/>
          </w:rPr>
        </w:r>
        <w:r w:rsidR="00B64020">
          <w:rPr>
            <w:noProof/>
            <w:webHidden/>
          </w:rPr>
          <w:fldChar w:fldCharType="separate"/>
        </w:r>
        <w:r w:rsidR="00B64020">
          <w:rPr>
            <w:noProof/>
            <w:webHidden/>
          </w:rPr>
          <w:t>33</w:t>
        </w:r>
        <w:r w:rsidR="00B64020">
          <w:rPr>
            <w:noProof/>
            <w:webHidden/>
          </w:rPr>
          <w:fldChar w:fldCharType="end"/>
        </w:r>
      </w:hyperlink>
    </w:p>
    <w:p w14:paraId="3C7DEDA2" w14:textId="48A3DA6D" w:rsidR="00B64020" w:rsidRDefault="00EF7167">
      <w:pPr>
        <w:pStyle w:val="TOC2"/>
        <w:rPr>
          <w:rFonts w:asciiTheme="minorHAnsi" w:hAnsiTheme="minorHAnsi" w:cstheme="minorBidi"/>
          <w:noProof/>
          <w:sz w:val="22"/>
        </w:rPr>
      </w:pPr>
      <w:hyperlink w:anchor="_Toc175640431" w:history="1">
        <w:r w:rsidR="00B64020" w:rsidRPr="0036502D">
          <w:rPr>
            <w:rStyle w:val="Hyperlink"/>
            <w:rFonts w:ascii="Segoe UI" w:hAnsi="Segoe UI" w:cs="Segoe UI"/>
            <w:noProof/>
          </w:rPr>
          <w:t>4.1</w:t>
        </w:r>
        <w:r w:rsidR="00B64020">
          <w:rPr>
            <w:rFonts w:asciiTheme="minorHAnsi" w:hAnsiTheme="minorHAnsi" w:cstheme="minorBidi"/>
            <w:noProof/>
            <w:sz w:val="22"/>
          </w:rPr>
          <w:tab/>
        </w:r>
        <w:r w:rsidR="00B64020" w:rsidRPr="0036502D">
          <w:rPr>
            <w:rStyle w:val="Hyperlink"/>
            <w:rFonts w:ascii="Segoe UI" w:hAnsi="Segoe UI" w:cs="Segoe UI"/>
            <w:noProof/>
          </w:rPr>
          <w:t>Final Patent Fee Schedule (Alternative 1)</w:t>
        </w:r>
        <w:r w:rsidR="00B64020">
          <w:rPr>
            <w:noProof/>
            <w:webHidden/>
          </w:rPr>
          <w:tab/>
        </w:r>
        <w:r w:rsidR="00B64020">
          <w:rPr>
            <w:noProof/>
            <w:webHidden/>
          </w:rPr>
          <w:fldChar w:fldCharType="begin"/>
        </w:r>
        <w:r w:rsidR="00B64020">
          <w:rPr>
            <w:noProof/>
            <w:webHidden/>
          </w:rPr>
          <w:instrText xml:space="preserve"> PAGEREF _Toc175640431 \h </w:instrText>
        </w:r>
        <w:r w:rsidR="00B64020">
          <w:rPr>
            <w:noProof/>
            <w:webHidden/>
          </w:rPr>
        </w:r>
        <w:r w:rsidR="00B64020">
          <w:rPr>
            <w:noProof/>
            <w:webHidden/>
          </w:rPr>
          <w:fldChar w:fldCharType="separate"/>
        </w:r>
        <w:r w:rsidR="00B64020">
          <w:rPr>
            <w:noProof/>
            <w:webHidden/>
          </w:rPr>
          <w:t>35</w:t>
        </w:r>
        <w:r w:rsidR="00B64020">
          <w:rPr>
            <w:noProof/>
            <w:webHidden/>
          </w:rPr>
          <w:fldChar w:fldCharType="end"/>
        </w:r>
      </w:hyperlink>
    </w:p>
    <w:p w14:paraId="46122875" w14:textId="7A7E6594" w:rsidR="00B64020" w:rsidRDefault="00EF7167">
      <w:pPr>
        <w:pStyle w:val="TOC2"/>
        <w:rPr>
          <w:rFonts w:asciiTheme="minorHAnsi" w:hAnsiTheme="minorHAnsi" w:cstheme="minorBidi"/>
          <w:noProof/>
          <w:sz w:val="22"/>
        </w:rPr>
      </w:pPr>
      <w:hyperlink w:anchor="_Toc175640432" w:history="1">
        <w:r w:rsidR="00B64020" w:rsidRPr="0036502D">
          <w:rPr>
            <w:rStyle w:val="Hyperlink"/>
            <w:rFonts w:ascii="Segoe UI" w:hAnsi="Segoe UI" w:cs="Segoe UI"/>
            <w:noProof/>
          </w:rPr>
          <w:t>4.2</w:t>
        </w:r>
        <w:r w:rsidR="00B64020">
          <w:rPr>
            <w:rFonts w:asciiTheme="minorHAnsi" w:hAnsiTheme="minorHAnsi" w:cstheme="minorBidi"/>
            <w:noProof/>
            <w:sz w:val="22"/>
          </w:rPr>
          <w:tab/>
        </w:r>
        <w:r w:rsidR="00B64020" w:rsidRPr="0036502D">
          <w:rPr>
            <w:rStyle w:val="Hyperlink"/>
            <w:rFonts w:ascii="Segoe UI" w:hAnsi="Segoe UI" w:cs="Segoe UI"/>
            <w:noProof/>
          </w:rPr>
          <w:t>Unit Cost Recovery (Alternative 2)</w:t>
        </w:r>
        <w:r w:rsidR="00B64020">
          <w:rPr>
            <w:noProof/>
            <w:webHidden/>
          </w:rPr>
          <w:tab/>
        </w:r>
        <w:r w:rsidR="00B64020">
          <w:rPr>
            <w:noProof/>
            <w:webHidden/>
          </w:rPr>
          <w:fldChar w:fldCharType="begin"/>
        </w:r>
        <w:r w:rsidR="00B64020">
          <w:rPr>
            <w:noProof/>
            <w:webHidden/>
          </w:rPr>
          <w:instrText xml:space="preserve"> PAGEREF _Toc175640432 \h </w:instrText>
        </w:r>
        <w:r w:rsidR="00B64020">
          <w:rPr>
            <w:noProof/>
            <w:webHidden/>
          </w:rPr>
        </w:r>
        <w:r w:rsidR="00B64020">
          <w:rPr>
            <w:noProof/>
            <w:webHidden/>
          </w:rPr>
          <w:fldChar w:fldCharType="separate"/>
        </w:r>
        <w:r w:rsidR="00B64020">
          <w:rPr>
            <w:noProof/>
            <w:webHidden/>
          </w:rPr>
          <w:t>46</w:t>
        </w:r>
        <w:r w:rsidR="00B64020">
          <w:rPr>
            <w:noProof/>
            <w:webHidden/>
          </w:rPr>
          <w:fldChar w:fldCharType="end"/>
        </w:r>
      </w:hyperlink>
    </w:p>
    <w:p w14:paraId="41A6EAB8" w14:textId="55B84ABA" w:rsidR="00B64020" w:rsidRDefault="00EF7167">
      <w:pPr>
        <w:pStyle w:val="TOC2"/>
        <w:rPr>
          <w:rFonts w:asciiTheme="minorHAnsi" w:hAnsiTheme="minorHAnsi" w:cstheme="minorBidi"/>
          <w:noProof/>
          <w:sz w:val="22"/>
        </w:rPr>
      </w:pPr>
      <w:hyperlink w:anchor="_Toc175640433" w:history="1">
        <w:r w:rsidR="00B64020" w:rsidRPr="0036502D">
          <w:rPr>
            <w:rStyle w:val="Hyperlink"/>
            <w:rFonts w:ascii="Segoe UI" w:hAnsi="Segoe UI" w:cs="Segoe UI"/>
            <w:noProof/>
          </w:rPr>
          <w:t>4.3</w:t>
        </w:r>
        <w:r w:rsidR="00B64020">
          <w:rPr>
            <w:rFonts w:asciiTheme="minorHAnsi" w:hAnsiTheme="minorHAnsi" w:cstheme="minorBidi"/>
            <w:noProof/>
            <w:sz w:val="22"/>
          </w:rPr>
          <w:tab/>
        </w:r>
        <w:r w:rsidR="00B64020" w:rsidRPr="0036502D">
          <w:rPr>
            <w:rStyle w:val="Hyperlink"/>
            <w:rFonts w:ascii="Segoe UI" w:hAnsi="Segoe UI" w:cs="Segoe UI"/>
            <w:noProof/>
          </w:rPr>
          <w:t>Across-the-Board Adjustment (Alternative 3)</w:t>
        </w:r>
        <w:r w:rsidR="00B64020">
          <w:rPr>
            <w:noProof/>
            <w:webHidden/>
          </w:rPr>
          <w:tab/>
        </w:r>
        <w:r w:rsidR="00B64020">
          <w:rPr>
            <w:noProof/>
            <w:webHidden/>
          </w:rPr>
          <w:fldChar w:fldCharType="begin"/>
        </w:r>
        <w:r w:rsidR="00B64020">
          <w:rPr>
            <w:noProof/>
            <w:webHidden/>
          </w:rPr>
          <w:instrText xml:space="preserve"> PAGEREF _Toc175640433 \h </w:instrText>
        </w:r>
        <w:r w:rsidR="00B64020">
          <w:rPr>
            <w:noProof/>
            <w:webHidden/>
          </w:rPr>
        </w:r>
        <w:r w:rsidR="00B64020">
          <w:rPr>
            <w:noProof/>
            <w:webHidden/>
          </w:rPr>
          <w:fldChar w:fldCharType="separate"/>
        </w:r>
        <w:r w:rsidR="00B64020">
          <w:rPr>
            <w:noProof/>
            <w:webHidden/>
          </w:rPr>
          <w:t>59</w:t>
        </w:r>
        <w:r w:rsidR="00B64020">
          <w:rPr>
            <w:noProof/>
            <w:webHidden/>
          </w:rPr>
          <w:fldChar w:fldCharType="end"/>
        </w:r>
      </w:hyperlink>
    </w:p>
    <w:p w14:paraId="3B8762FF" w14:textId="3FDDF903" w:rsidR="00B64020" w:rsidRDefault="00EF7167">
      <w:pPr>
        <w:pStyle w:val="TOC1"/>
        <w:rPr>
          <w:rFonts w:asciiTheme="minorHAnsi" w:hAnsiTheme="minorHAnsi" w:cstheme="minorBidi"/>
          <w:noProof/>
          <w:sz w:val="22"/>
        </w:rPr>
      </w:pPr>
      <w:hyperlink w:anchor="_Toc175640434" w:history="1">
        <w:r w:rsidR="00B64020" w:rsidRPr="0036502D">
          <w:rPr>
            <w:rStyle w:val="Hyperlink"/>
            <w:rFonts w:ascii="Segoe UI" w:hAnsi="Segoe UI" w:cs="Segoe UI"/>
            <w:noProof/>
          </w:rPr>
          <w:t>5</w:t>
        </w:r>
        <w:r w:rsidR="00B64020">
          <w:rPr>
            <w:rFonts w:asciiTheme="minorHAnsi" w:hAnsiTheme="minorHAnsi" w:cstheme="minorBidi"/>
            <w:noProof/>
            <w:sz w:val="22"/>
          </w:rPr>
          <w:tab/>
        </w:r>
        <w:r w:rsidR="00B64020" w:rsidRPr="0036502D">
          <w:rPr>
            <w:rStyle w:val="Hyperlink"/>
            <w:rFonts w:ascii="Segoe UI" w:hAnsi="Segoe UI" w:cs="Segoe UI"/>
            <w:noProof/>
          </w:rPr>
          <w:t>ACHIEVEMENT OF FINAL RULE STRATEGIES AND GOALS</w:t>
        </w:r>
        <w:r w:rsidR="00B64020">
          <w:rPr>
            <w:noProof/>
            <w:webHidden/>
          </w:rPr>
          <w:tab/>
        </w:r>
        <w:r w:rsidR="00B64020">
          <w:rPr>
            <w:noProof/>
            <w:webHidden/>
          </w:rPr>
          <w:fldChar w:fldCharType="begin"/>
        </w:r>
        <w:r w:rsidR="00B64020">
          <w:rPr>
            <w:noProof/>
            <w:webHidden/>
          </w:rPr>
          <w:instrText xml:space="preserve"> PAGEREF _Toc175640434 \h </w:instrText>
        </w:r>
        <w:r w:rsidR="00B64020">
          <w:rPr>
            <w:noProof/>
            <w:webHidden/>
          </w:rPr>
        </w:r>
        <w:r w:rsidR="00B64020">
          <w:rPr>
            <w:noProof/>
            <w:webHidden/>
          </w:rPr>
          <w:fldChar w:fldCharType="separate"/>
        </w:r>
        <w:r w:rsidR="00B64020">
          <w:rPr>
            <w:noProof/>
            <w:webHidden/>
          </w:rPr>
          <w:t>66</w:t>
        </w:r>
        <w:r w:rsidR="00B64020">
          <w:rPr>
            <w:noProof/>
            <w:webHidden/>
          </w:rPr>
          <w:fldChar w:fldCharType="end"/>
        </w:r>
      </w:hyperlink>
    </w:p>
    <w:p w14:paraId="53ED956C" w14:textId="75A06B3D" w:rsidR="00B64020" w:rsidRDefault="00EF7167">
      <w:pPr>
        <w:pStyle w:val="TOC2"/>
        <w:rPr>
          <w:rFonts w:asciiTheme="minorHAnsi" w:hAnsiTheme="minorHAnsi" w:cstheme="minorBidi"/>
          <w:noProof/>
          <w:sz w:val="22"/>
        </w:rPr>
      </w:pPr>
      <w:hyperlink w:anchor="_Toc175640435" w:history="1">
        <w:r w:rsidR="00B64020" w:rsidRPr="0036502D">
          <w:rPr>
            <w:rStyle w:val="Hyperlink"/>
            <w:rFonts w:ascii="Segoe UI" w:hAnsi="Segoe UI" w:cs="Segoe UI"/>
            <w:noProof/>
          </w:rPr>
          <w:t>5.1</w:t>
        </w:r>
        <w:r w:rsidR="00B64020">
          <w:rPr>
            <w:rFonts w:asciiTheme="minorHAnsi" w:hAnsiTheme="minorHAnsi" w:cstheme="minorBidi"/>
            <w:noProof/>
            <w:sz w:val="22"/>
          </w:rPr>
          <w:tab/>
        </w:r>
        <w:r w:rsidR="00B64020" w:rsidRPr="0036502D">
          <w:rPr>
            <w:rStyle w:val="Hyperlink"/>
            <w:rFonts w:ascii="Segoe UI" w:hAnsi="Segoe UI" w:cs="Segoe UI"/>
            <w:noProof/>
          </w:rPr>
          <w:t>Achievement of Final Rule Strategies and Goals</w:t>
        </w:r>
        <w:r w:rsidR="00B64020">
          <w:rPr>
            <w:noProof/>
            <w:webHidden/>
          </w:rPr>
          <w:tab/>
        </w:r>
        <w:r w:rsidR="00B64020">
          <w:rPr>
            <w:noProof/>
            <w:webHidden/>
          </w:rPr>
          <w:fldChar w:fldCharType="begin"/>
        </w:r>
        <w:r w:rsidR="00B64020">
          <w:rPr>
            <w:noProof/>
            <w:webHidden/>
          </w:rPr>
          <w:instrText xml:space="preserve"> PAGEREF _Toc175640435 \h </w:instrText>
        </w:r>
        <w:r w:rsidR="00B64020">
          <w:rPr>
            <w:noProof/>
            <w:webHidden/>
          </w:rPr>
        </w:r>
        <w:r w:rsidR="00B64020">
          <w:rPr>
            <w:noProof/>
            <w:webHidden/>
          </w:rPr>
          <w:fldChar w:fldCharType="separate"/>
        </w:r>
        <w:r w:rsidR="00B64020">
          <w:rPr>
            <w:noProof/>
            <w:webHidden/>
          </w:rPr>
          <w:t>66</w:t>
        </w:r>
        <w:r w:rsidR="00B64020">
          <w:rPr>
            <w:noProof/>
            <w:webHidden/>
          </w:rPr>
          <w:fldChar w:fldCharType="end"/>
        </w:r>
      </w:hyperlink>
    </w:p>
    <w:p w14:paraId="5C8A2055" w14:textId="3CD0562C" w:rsidR="00B64020" w:rsidRDefault="00EF7167">
      <w:pPr>
        <w:pStyle w:val="TOC2"/>
        <w:rPr>
          <w:rFonts w:asciiTheme="minorHAnsi" w:hAnsiTheme="minorHAnsi" w:cstheme="minorBidi"/>
          <w:noProof/>
          <w:sz w:val="22"/>
        </w:rPr>
      </w:pPr>
      <w:hyperlink w:anchor="_Toc175640436" w:history="1">
        <w:r w:rsidR="00B64020" w:rsidRPr="0036502D">
          <w:rPr>
            <w:rStyle w:val="Hyperlink"/>
            <w:rFonts w:ascii="Segoe UI" w:hAnsi="Segoe UI" w:cs="Segoe UI"/>
            <w:noProof/>
          </w:rPr>
          <w:t>5.2</w:t>
        </w:r>
        <w:r w:rsidR="00B64020">
          <w:rPr>
            <w:rFonts w:asciiTheme="minorHAnsi" w:hAnsiTheme="minorHAnsi" w:cstheme="minorBidi"/>
            <w:noProof/>
            <w:sz w:val="22"/>
          </w:rPr>
          <w:tab/>
        </w:r>
        <w:r w:rsidR="00B64020" w:rsidRPr="0036502D">
          <w:rPr>
            <w:rStyle w:val="Hyperlink"/>
            <w:rFonts w:ascii="Segoe UI" w:hAnsi="Segoe UI" w:cs="Segoe UI"/>
            <w:noProof/>
          </w:rPr>
          <w:t>Closing</w:t>
        </w:r>
        <w:r w:rsidR="00B64020">
          <w:rPr>
            <w:noProof/>
            <w:webHidden/>
          </w:rPr>
          <w:tab/>
        </w:r>
        <w:r w:rsidR="00B64020">
          <w:rPr>
            <w:noProof/>
            <w:webHidden/>
          </w:rPr>
          <w:fldChar w:fldCharType="begin"/>
        </w:r>
        <w:r w:rsidR="00B64020">
          <w:rPr>
            <w:noProof/>
            <w:webHidden/>
          </w:rPr>
          <w:instrText xml:space="preserve"> PAGEREF _Toc175640436 \h </w:instrText>
        </w:r>
        <w:r w:rsidR="00B64020">
          <w:rPr>
            <w:noProof/>
            <w:webHidden/>
          </w:rPr>
        </w:r>
        <w:r w:rsidR="00B64020">
          <w:rPr>
            <w:noProof/>
            <w:webHidden/>
          </w:rPr>
          <w:fldChar w:fldCharType="separate"/>
        </w:r>
        <w:r w:rsidR="00B64020">
          <w:rPr>
            <w:noProof/>
            <w:webHidden/>
          </w:rPr>
          <w:t>67</w:t>
        </w:r>
        <w:r w:rsidR="00B64020">
          <w:rPr>
            <w:noProof/>
            <w:webHidden/>
          </w:rPr>
          <w:fldChar w:fldCharType="end"/>
        </w:r>
      </w:hyperlink>
    </w:p>
    <w:p w14:paraId="3A073D63" w14:textId="5CAB2C64" w:rsidR="00B64020" w:rsidRDefault="00EF7167">
      <w:pPr>
        <w:pStyle w:val="TOC1"/>
        <w:rPr>
          <w:rFonts w:asciiTheme="minorHAnsi" w:hAnsiTheme="minorHAnsi" w:cstheme="minorBidi"/>
          <w:noProof/>
          <w:sz w:val="22"/>
        </w:rPr>
      </w:pPr>
      <w:hyperlink w:anchor="_Toc175640437" w:history="1">
        <w:r w:rsidR="00B64020" w:rsidRPr="0036502D">
          <w:rPr>
            <w:rStyle w:val="Hyperlink"/>
            <w:rFonts w:ascii="Segoe UI" w:hAnsi="Segoe UI" w:cs="Segoe UI"/>
            <w:noProof/>
          </w:rPr>
          <w:t>APPENDIX: Acronyms</w:t>
        </w:r>
        <w:r w:rsidR="00B64020">
          <w:rPr>
            <w:noProof/>
            <w:webHidden/>
          </w:rPr>
          <w:tab/>
        </w:r>
        <w:r w:rsidR="00B64020">
          <w:rPr>
            <w:noProof/>
            <w:webHidden/>
          </w:rPr>
          <w:fldChar w:fldCharType="begin"/>
        </w:r>
        <w:r w:rsidR="00B64020">
          <w:rPr>
            <w:noProof/>
            <w:webHidden/>
          </w:rPr>
          <w:instrText xml:space="preserve"> PAGEREF _Toc175640437 \h </w:instrText>
        </w:r>
        <w:r w:rsidR="00B64020">
          <w:rPr>
            <w:noProof/>
            <w:webHidden/>
          </w:rPr>
        </w:r>
        <w:r w:rsidR="00B64020">
          <w:rPr>
            <w:noProof/>
            <w:webHidden/>
          </w:rPr>
          <w:fldChar w:fldCharType="separate"/>
        </w:r>
        <w:r w:rsidR="00B64020">
          <w:rPr>
            <w:noProof/>
            <w:webHidden/>
          </w:rPr>
          <w:t>68</w:t>
        </w:r>
        <w:r w:rsidR="00B64020">
          <w:rPr>
            <w:noProof/>
            <w:webHidden/>
          </w:rPr>
          <w:fldChar w:fldCharType="end"/>
        </w:r>
      </w:hyperlink>
    </w:p>
    <w:p w14:paraId="07BF8466" w14:textId="42CAD701" w:rsidR="000F758F" w:rsidRPr="00CF6436" w:rsidRDefault="000F758F" w:rsidP="17CECF10">
      <w:pPr>
        <w:pStyle w:val="TOC1"/>
        <w:tabs>
          <w:tab w:val="clear" w:pos="8900"/>
          <w:tab w:val="right" w:leader="dot" w:pos="8910"/>
        </w:tabs>
        <w:spacing w:line="360" w:lineRule="auto"/>
        <w:rPr>
          <w:rStyle w:val="Hyperlink"/>
          <w:noProof/>
        </w:rPr>
        <w:sectPr w:rsidR="000F758F" w:rsidRPr="00CF6436" w:rsidSect="00573CF6">
          <w:footerReference w:type="default" r:id="rId15"/>
          <w:pgSz w:w="12240" w:h="15840"/>
          <w:pgMar w:top="1170" w:right="1440" w:bottom="1440" w:left="1890" w:header="720" w:footer="720" w:gutter="0"/>
          <w:pgNumType w:fmt="lowerRoman" w:start="1"/>
          <w:cols w:space="720"/>
          <w:docGrid w:linePitch="360"/>
        </w:sectPr>
      </w:pPr>
      <w:r w:rsidRPr="17CECF10">
        <w:rPr>
          <w:color w:val="2B579A"/>
        </w:rPr>
        <w:fldChar w:fldCharType="end"/>
      </w:r>
    </w:p>
    <w:p w14:paraId="5946F506" w14:textId="77777777" w:rsidR="00BD47F1" w:rsidRPr="00CF6436" w:rsidRDefault="007A4585" w:rsidP="00EA247B">
      <w:pPr>
        <w:pStyle w:val="Heading1"/>
        <w:numPr>
          <w:ilvl w:val="0"/>
          <w:numId w:val="7"/>
        </w:numPr>
        <w:spacing w:before="0" w:line="360" w:lineRule="auto"/>
        <w:rPr>
          <w:rFonts w:ascii="Segoe UI" w:eastAsia="Segoe UI" w:hAnsi="Segoe UI" w:cs="Segoe UI"/>
        </w:rPr>
      </w:pPr>
      <w:bookmarkStart w:id="0" w:name="_Toc442357713"/>
      <w:bookmarkStart w:id="1" w:name="_Toc451951702"/>
      <w:bookmarkStart w:id="2" w:name="_Toc175640414"/>
      <w:r w:rsidRPr="31665127">
        <w:rPr>
          <w:rFonts w:ascii="Segoe UI" w:eastAsia="Segoe UI" w:hAnsi="Segoe UI" w:cs="Segoe UI"/>
        </w:rPr>
        <w:lastRenderedPageBreak/>
        <w:t>EXECUTIVE SUMMARY</w:t>
      </w:r>
      <w:bookmarkEnd w:id="0"/>
      <w:bookmarkEnd w:id="1"/>
      <w:bookmarkEnd w:id="2"/>
    </w:p>
    <w:p w14:paraId="1232DB52" w14:textId="77777777" w:rsidR="00010AF5" w:rsidRPr="00CF6436" w:rsidRDefault="00010AF5" w:rsidP="6324CA36">
      <w:pPr>
        <w:pStyle w:val="Heading2Number"/>
        <w:spacing w:line="360" w:lineRule="auto"/>
        <w:rPr>
          <w:rFonts w:ascii="Segoe UI" w:eastAsia="Segoe UI" w:hAnsi="Segoe UI" w:cs="Segoe UI"/>
        </w:rPr>
      </w:pPr>
      <w:bookmarkStart w:id="3" w:name="_Toc320784957"/>
      <w:bookmarkStart w:id="4" w:name="_Toc321263712"/>
      <w:bookmarkStart w:id="5" w:name="_Toc324165125"/>
      <w:bookmarkStart w:id="6" w:name="_Toc324525683"/>
      <w:bookmarkStart w:id="7" w:name="_Toc324932296"/>
      <w:bookmarkStart w:id="8" w:name="_Toc325554065"/>
      <w:bookmarkStart w:id="9" w:name="_Toc442357714"/>
      <w:bookmarkStart w:id="10" w:name="_Toc451951703"/>
      <w:bookmarkStart w:id="11" w:name="_Toc175640415"/>
      <w:r w:rsidRPr="6324CA36">
        <w:rPr>
          <w:rFonts w:ascii="Segoe UI" w:eastAsia="Segoe UI" w:hAnsi="Segoe UI" w:cs="Segoe UI"/>
        </w:rPr>
        <w:t>Purpose</w:t>
      </w:r>
      <w:bookmarkEnd w:id="3"/>
      <w:bookmarkEnd w:id="4"/>
      <w:bookmarkEnd w:id="5"/>
      <w:bookmarkEnd w:id="6"/>
      <w:bookmarkEnd w:id="7"/>
      <w:bookmarkEnd w:id="8"/>
      <w:bookmarkEnd w:id="9"/>
      <w:bookmarkEnd w:id="10"/>
      <w:bookmarkEnd w:id="11"/>
    </w:p>
    <w:p w14:paraId="4F7B958D" w14:textId="4776C4AA" w:rsidR="00434618" w:rsidRDefault="171EC11C" w:rsidP="735B2AB6">
      <w:pPr>
        <w:spacing w:line="360" w:lineRule="auto"/>
        <w:ind w:firstLine="450"/>
        <w:rPr>
          <w:rFonts w:ascii="Segoe UI" w:eastAsia="Segoe UI" w:hAnsi="Segoe UI" w:cs="Segoe UI"/>
        </w:rPr>
      </w:pPr>
      <w:r w:rsidRPr="293D3C50">
        <w:rPr>
          <w:rFonts w:ascii="Segoe UI" w:eastAsia="Segoe UI" w:hAnsi="Segoe UI" w:cs="Segoe UI"/>
        </w:rPr>
        <w:t xml:space="preserve">The </w:t>
      </w:r>
      <w:r w:rsidR="00A86B17">
        <w:rPr>
          <w:rFonts w:ascii="Segoe UI" w:eastAsia="Segoe UI" w:hAnsi="Segoe UI" w:cs="Segoe UI"/>
        </w:rPr>
        <w:t>final rule</w:t>
      </w:r>
      <w:r w:rsidR="076FEC96" w:rsidRPr="293D3C50">
        <w:rPr>
          <w:rFonts w:ascii="Segoe UI" w:eastAsia="Segoe UI" w:hAnsi="Segoe UI" w:cs="Segoe UI"/>
        </w:rPr>
        <w:t xml:space="preserve">, </w:t>
      </w:r>
      <w:r w:rsidR="1822F3EB" w:rsidRPr="293D3C50">
        <w:rPr>
          <w:rFonts w:ascii="Segoe UI" w:eastAsia="Segoe UI" w:hAnsi="Segoe UI" w:cs="Segoe UI"/>
        </w:rPr>
        <w:t>“</w:t>
      </w:r>
      <w:r w:rsidR="076FEC96" w:rsidRPr="293D3C50">
        <w:rPr>
          <w:rFonts w:ascii="Segoe UI" w:eastAsia="Segoe UI" w:hAnsi="Segoe UI" w:cs="Segoe UI"/>
        </w:rPr>
        <w:t xml:space="preserve">Setting and Adjusting Patent Fees </w:t>
      </w:r>
      <w:r w:rsidR="03FF726C" w:rsidRPr="293D3C50">
        <w:rPr>
          <w:rFonts w:ascii="Segoe UI" w:eastAsia="Segoe UI" w:hAnsi="Segoe UI" w:cs="Segoe UI"/>
        </w:rPr>
        <w:t>D</w:t>
      </w:r>
      <w:r w:rsidR="076FEC96" w:rsidRPr="293D3C50">
        <w:rPr>
          <w:rFonts w:ascii="Segoe UI" w:eastAsia="Segoe UI" w:hAnsi="Segoe UI" w:cs="Segoe UI"/>
        </w:rPr>
        <w:t>uring Fiscal Year 2025</w:t>
      </w:r>
      <w:r w:rsidR="27BFB8FF" w:rsidRPr="293D3C50">
        <w:rPr>
          <w:rFonts w:ascii="Segoe UI" w:eastAsia="Segoe UI" w:hAnsi="Segoe UI" w:cs="Segoe UI"/>
        </w:rPr>
        <w:t>,</w:t>
      </w:r>
      <w:r w:rsidR="23D7E474" w:rsidRPr="293D3C50">
        <w:rPr>
          <w:rFonts w:ascii="Segoe UI" w:eastAsia="Segoe UI" w:hAnsi="Segoe UI" w:cs="Segoe UI"/>
        </w:rPr>
        <w:t>”</w:t>
      </w:r>
      <w:r w:rsidR="000E20E9">
        <w:rPr>
          <w:rFonts w:ascii="Segoe UI" w:eastAsia="Segoe UI" w:hAnsi="Segoe UI" w:cs="Segoe UI"/>
        </w:rPr>
        <w:t xml:space="preserve"> (final rule)</w:t>
      </w:r>
      <w:r w:rsidR="00C5760B">
        <w:rPr>
          <w:rFonts w:ascii="Segoe UI" w:eastAsia="Segoe UI" w:hAnsi="Segoe UI" w:cs="Segoe UI"/>
        </w:rPr>
        <w:t xml:space="preserve"> </w:t>
      </w:r>
      <w:r w:rsidRPr="293D3C50">
        <w:rPr>
          <w:rFonts w:ascii="Segoe UI" w:eastAsia="Segoe UI" w:hAnsi="Segoe UI" w:cs="Segoe UI"/>
        </w:rPr>
        <w:t>set</w:t>
      </w:r>
      <w:r w:rsidR="00562765">
        <w:rPr>
          <w:rFonts w:ascii="Segoe UI" w:eastAsia="Segoe UI" w:hAnsi="Segoe UI" w:cs="Segoe UI"/>
        </w:rPr>
        <w:t>s</w:t>
      </w:r>
      <w:r w:rsidRPr="293D3C50">
        <w:rPr>
          <w:rFonts w:ascii="Segoe UI" w:eastAsia="Segoe UI" w:hAnsi="Segoe UI" w:cs="Segoe UI"/>
        </w:rPr>
        <w:t xml:space="preserve"> </w:t>
      </w:r>
      <w:r w:rsidR="6E7338B4" w:rsidRPr="293D3C50">
        <w:rPr>
          <w:rFonts w:ascii="Segoe UI" w:eastAsia="Segoe UI" w:hAnsi="Segoe UI" w:cs="Segoe UI"/>
        </w:rPr>
        <w:t xml:space="preserve">or </w:t>
      </w:r>
      <w:r w:rsidRPr="293D3C50">
        <w:rPr>
          <w:rFonts w:ascii="Segoe UI" w:eastAsia="Segoe UI" w:hAnsi="Segoe UI" w:cs="Segoe UI"/>
        </w:rPr>
        <w:t>adjust</w:t>
      </w:r>
      <w:r w:rsidR="00562765">
        <w:rPr>
          <w:rFonts w:ascii="Segoe UI" w:eastAsia="Segoe UI" w:hAnsi="Segoe UI" w:cs="Segoe UI"/>
        </w:rPr>
        <w:t>s</w:t>
      </w:r>
      <w:r w:rsidRPr="293D3C50">
        <w:rPr>
          <w:rFonts w:ascii="Segoe UI" w:eastAsia="Segoe UI" w:hAnsi="Segoe UI" w:cs="Segoe UI"/>
        </w:rPr>
        <w:t xml:space="preserve"> patent fees </w:t>
      </w:r>
      <w:r w:rsidR="6E7338B4" w:rsidRPr="293D3C50">
        <w:rPr>
          <w:rFonts w:ascii="Segoe UI" w:eastAsia="Segoe UI" w:hAnsi="Segoe UI" w:cs="Segoe UI"/>
        </w:rPr>
        <w:t>as authorized by</w:t>
      </w:r>
      <w:r w:rsidRPr="293D3C50">
        <w:rPr>
          <w:rFonts w:ascii="Segoe UI" w:eastAsia="Segoe UI" w:hAnsi="Segoe UI" w:cs="Segoe UI"/>
        </w:rPr>
        <w:t xml:space="preserve"> </w:t>
      </w:r>
      <w:r w:rsidR="16220E6D" w:rsidRPr="293D3C50">
        <w:rPr>
          <w:rFonts w:ascii="Segoe UI" w:eastAsia="Segoe UI" w:hAnsi="Segoe UI" w:cs="Segoe UI"/>
        </w:rPr>
        <w:t>s</w:t>
      </w:r>
      <w:r w:rsidRPr="293D3C50">
        <w:rPr>
          <w:rFonts w:ascii="Segoe UI" w:eastAsia="Segoe UI" w:hAnsi="Segoe UI" w:cs="Segoe UI"/>
        </w:rPr>
        <w:t xml:space="preserve">ection </w:t>
      </w:r>
      <w:r w:rsidR="27897B4E" w:rsidRPr="293D3C50">
        <w:rPr>
          <w:rFonts w:ascii="Segoe UI" w:eastAsia="Segoe UI" w:hAnsi="Segoe UI" w:cs="Segoe UI"/>
        </w:rPr>
        <w:t>10 of the</w:t>
      </w:r>
      <w:r w:rsidR="5674BF8E" w:rsidRPr="293D3C50">
        <w:rPr>
          <w:rFonts w:ascii="Segoe UI" w:eastAsia="Segoe UI" w:hAnsi="Segoe UI" w:cs="Segoe UI"/>
        </w:rPr>
        <w:t xml:space="preserve"> Leahy-Smith</w:t>
      </w:r>
      <w:r w:rsidR="27897B4E" w:rsidRPr="293D3C50">
        <w:rPr>
          <w:rFonts w:ascii="Segoe UI" w:eastAsia="Segoe UI" w:hAnsi="Segoe UI" w:cs="Segoe UI"/>
        </w:rPr>
        <w:t xml:space="preserve"> </w:t>
      </w:r>
      <w:r w:rsidR="5674BF8E" w:rsidRPr="293D3C50">
        <w:rPr>
          <w:rFonts w:ascii="Segoe UI" w:eastAsia="Segoe UI" w:hAnsi="Segoe UI" w:cs="Segoe UI"/>
        </w:rPr>
        <w:t>America Invents Act (</w:t>
      </w:r>
      <w:r w:rsidR="27897B4E" w:rsidRPr="293D3C50">
        <w:rPr>
          <w:rFonts w:ascii="Segoe UI" w:eastAsia="Segoe UI" w:hAnsi="Segoe UI" w:cs="Segoe UI"/>
        </w:rPr>
        <w:t>AIA</w:t>
      </w:r>
      <w:r w:rsidR="5674BF8E" w:rsidRPr="293D3C50">
        <w:rPr>
          <w:rFonts w:ascii="Segoe UI" w:eastAsia="Segoe UI" w:hAnsi="Segoe UI" w:cs="Segoe UI"/>
        </w:rPr>
        <w:t>)</w:t>
      </w:r>
      <w:r w:rsidR="27897B4E" w:rsidRPr="293D3C50">
        <w:rPr>
          <w:rFonts w:ascii="Segoe UI" w:eastAsia="Segoe UI" w:hAnsi="Segoe UI" w:cs="Segoe UI"/>
        </w:rPr>
        <w:t xml:space="preserve"> Pub. L. 112-29, 125 Stat. 284, as </w:t>
      </w:r>
      <w:r w:rsidR="51E063C1" w:rsidRPr="293D3C50">
        <w:rPr>
          <w:rFonts w:ascii="Segoe UI" w:eastAsia="Segoe UI" w:hAnsi="Segoe UI" w:cs="Segoe UI"/>
        </w:rPr>
        <w:t xml:space="preserve">amended by </w:t>
      </w:r>
      <w:r w:rsidR="69E5FD6E" w:rsidRPr="293D3C50">
        <w:rPr>
          <w:rFonts w:ascii="Segoe UI" w:eastAsia="Segoe UI" w:hAnsi="Segoe UI" w:cs="Segoe UI"/>
        </w:rPr>
        <w:t>the Study of Underrepresented Classes Chasing Engineering and Science Success Act of 2018 (SUCCESS Act)</w:t>
      </w:r>
      <w:r w:rsidR="1560F383" w:rsidRPr="293D3C50">
        <w:rPr>
          <w:rFonts w:ascii="Segoe UI" w:eastAsia="Segoe UI" w:hAnsi="Segoe UI" w:cs="Segoe UI"/>
        </w:rPr>
        <w:t xml:space="preserve"> Pub. L. 115-273, 132 Stat. 4158</w:t>
      </w:r>
      <w:r w:rsidR="6E7338B4" w:rsidRPr="293D3C50">
        <w:rPr>
          <w:rFonts w:ascii="Segoe UI" w:eastAsia="Segoe UI" w:hAnsi="Segoe UI" w:cs="Segoe UI"/>
        </w:rPr>
        <w:t>.</w:t>
      </w:r>
      <w:r w:rsidR="018CB3EA" w:rsidRPr="293D3C50">
        <w:rPr>
          <w:rFonts w:ascii="Segoe UI" w:eastAsia="Segoe UI" w:hAnsi="Segoe UI" w:cs="Segoe UI"/>
        </w:rPr>
        <w:t xml:space="preserve"> The AIA</w:t>
      </w:r>
      <w:r w:rsidRPr="293D3C50">
        <w:rPr>
          <w:rFonts w:ascii="Segoe UI" w:eastAsia="Segoe UI" w:hAnsi="Segoe UI" w:cs="Segoe UI"/>
        </w:rPr>
        <w:t xml:space="preserve"> authorizes the </w:t>
      </w:r>
      <w:r w:rsidR="4DC705FA" w:rsidRPr="293D3C50">
        <w:rPr>
          <w:rFonts w:ascii="Segoe UI" w:eastAsia="Segoe UI" w:hAnsi="Segoe UI" w:cs="Segoe UI"/>
        </w:rPr>
        <w:t>D</w:t>
      </w:r>
      <w:r w:rsidR="27897B4E" w:rsidRPr="293D3C50">
        <w:rPr>
          <w:rFonts w:ascii="Segoe UI" w:eastAsia="Segoe UI" w:hAnsi="Segoe UI" w:cs="Segoe UI"/>
        </w:rPr>
        <w:t xml:space="preserve">irector </w:t>
      </w:r>
      <w:r w:rsidRPr="293D3C50">
        <w:rPr>
          <w:rFonts w:ascii="Segoe UI" w:eastAsia="Segoe UI" w:hAnsi="Segoe UI" w:cs="Segoe UI"/>
        </w:rPr>
        <w:t xml:space="preserve">of the </w:t>
      </w:r>
      <w:r w:rsidR="3AC536D6" w:rsidRPr="293D3C50">
        <w:rPr>
          <w:rFonts w:ascii="Segoe UI" w:eastAsia="Segoe UI" w:hAnsi="Segoe UI" w:cs="Segoe UI"/>
        </w:rPr>
        <w:t xml:space="preserve">United States Patent and Trademark </w:t>
      </w:r>
      <w:r w:rsidR="70FA659C" w:rsidRPr="293D3C50">
        <w:rPr>
          <w:rFonts w:ascii="Segoe UI" w:eastAsia="Segoe UI" w:hAnsi="Segoe UI" w:cs="Segoe UI"/>
        </w:rPr>
        <w:t>Office</w:t>
      </w:r>
      <w:r w:rsidR="3AC536D6" w:rsidRPr="293D3C50">
        <w:rPr>
          <w:rFonts w:ascii="Segoe UI" w:eastAsia="Segoe UI" w:hAnsi="Segoe UI" w:cs="Segoe UI"/>
        </w:rPr>
        <w:t xml:space="preserve"> (</w:t>
      </w:r>
      <w:r w:rsidRPr="293D3C50">
        <w:rPr>
          <w:rFonts w:ascii="Segoe UI" w:eastAsia="Segoe UI" w:hAnsi="Segoe UI" w:cs="Segoe UI"/>
        </w:rPr>
        <w:t>USPTO</w:t>
      </w:r>
      <w:r w:rsidR="3AC536D6" w:rsidRPr="293D3C50">
        <w:rPr>
          <w:rFonts w:ascii="Segoe UI" w:eastAsia="Segoe UI" w:hAnsi="Segoe UI" w:cs="Segoe UI"/>
        </w:rPr>
        <w:t>)</w:t>
      </w:r>
      <w:r w:rsidRPr="293D3C50">
        <w:rPr>
          <w:rFonts w:ascii="Segoe UI" w:eastAsia="Segoe UI" w:hAnsi="Segoe UI" w:cs="Segoe UI"/>
        </w:rPr>
        <w:t xml:space="preserve"> to set or adjust by rule any patent fee established, authorized, or charged under title 35 of the United States Code (U.S.C.) for any services performed, or mate</w:t>
      </w:r>
      <w:r w:rsidR="1F38B354" w:rsidRPr="293D3C50">
        <w:rPr>
          <w:rFonts w:ascii="Segoe UI" w:eastAsia="Segoe UI" w:hAnsi="Segoe UI" w:cs="Segoe UI"/>
        </w:rPr>
        <w:t xml:space="preserve">rials furnished, by the </w:t>
      </w:r>
      <w:r w:rsidR="40DB1450" w:rsidRPr="293D3C50">
        <w:rPr>
          <w:rFonts w:ascii="Segoe UI" w:eastAsia="Segoe UI" w:hAnsi="Segoe UI" w:cs="Segoe UI"/>
        </w:rPr>
        <w:t>USPTO</w:t>
      </w:r>
      <w:r w:rsidR="1F38B354" w:rsidRPr="293D3C50">
        <w:rPr>
          <w:rFonts w:ascii="Segoe UI" w:eastAsia="Segoe UI" w:hAnsi="Segoe UI" w:cs="Segoe UI"/>
        </w:rPr>
        <w:t>.</w:t>
      </w:r>
      <w:r w:rsidR="416CD2B5" w:rsidRPr="293D3C50">
        <w:rPr>
          <w:rStyle w:val="normaltextrun"/>
          <w:rFonts w:ascii="Segoe UI" w:eastAsia="Segoe UI" w:hAnsi="Segoe UI" w:cs="Segoe UI"/>
          <w:color w:val="000000" w:themeColor="text1"/>
        </w:rPr>
        <w:t xml:space="preserve"> </w:t>
      </w:r>
      <w:r w:rsidRPr="293D3C50">
        <w:rPr>
          <w:rFonts w:ascii="Segoe UI" w:eastAsia="Segoe UI" w:hAnsi="Segoe UI" w:cs="Segoe UI"/>
        </w:rPr>
        <w:t xml:space="preserve">The </w:t>
      </w:r>
      <w:r w:rsidR="007D1279">
        <w:rPr>
          <w:rFonts w:ascii="Segoe UI" w:eastAsia="Segoe UI" w:hAnsi="Segoe UI" w:cs="Segoe UI"/>
        </w:rPr>
        <w:t>final rule</w:t>
      </w:r>
      <w:r w:rsidR="00A86B17" w:rsidRPr="293D3C50">
        <w:rPr>
          <w:rFonts w:ascii="Segoe UI" w:eastAsia="Segoe UI" w:hAnsi="Segoe UI" w:cs="Segoe UI"/>
        </w:rPr>
        <w:t xml:space="preserve"> </w:t>
      </w:r>
      <w:r w:rsidR="6E005A39" w:rsidRPr="293D3C50">
        <w:rPr>
          <w:rFonts w:ascii="Segoe UI" w:eastAsia="Segoe UI" w:hAnsi="Segoe UI" w:cs="Segoe UI"/>
        </w:rPr>
        <w:t xml:space="preserve">is </w:t>
      </w:r>
      <w:r w:rsidR="00971937">
        <w:rPr>
          <w:rFonts w:ascii="Segoe UI" w:eastAsia="Segoe UI" w:hAnsi="Segoe UI" w:cs="Segoe UI"/>
        </w:rPr>
        <w:t>3(f)(1)</w:t>
      </w:r>
      <w:r w:rsidR="6E005A39" w:rsidRPr="293D3C50">
        <w:rPr>
          <w:rFonts w:ascii="Segoe UI" w:eastAsia="Segoe UI" w:hAnsi="Segoe UI" w:cs="Segoe UI"/>
        </w:rPr>
        <w:t xml:space="preserve"> significant and </w:t>
      </w:r>
      <w:r w:rsidR="305B3B20" w:rsidRPr="293D3C50">
        <w:rPr>
          <w:rFonts w:ascii="Segoe UI" w:eastAsia="Segoe UI" w:hAnsi="Segoe UI" w:cs="Segoe UI"/>
        </w:rPr>
        <w:t>requires</w:t>
      </w:r>
      <w:r w:rsidR="08AABEC7" w:rsidRPr="293D3C50">
        <w:rPr>
          <w:rFonts w:ascii="Segoe UI" w:eastAsia="Segoe UI" w:hAnsi="Segoe UI" w:cs="Segoe UI"/>
        </w:rPr>
        <w:t xml:space="preserve"> </w:t>
      </w:r>
      <w:r w:rsidR="6E005A39" w:rsidRPr="293D3C50">
        <w:rPr>
          <w:rFonts w:ascii="Segoe UI" w:eastAsia="Segoe UI" w:hAnsi="Segoe UI" w:cs="Segoe UI"/>
        </w:rPr>
        <w:t xml:space="preserve">a </w:t>
      </w:r>
      <w:r w:rsidR="5D3A85A8" w:rsidRPr="293D3C50">
        <w:rPr>
          <w:rFonts w:ascii="Segoe UI" w:eastAsia="Segoe UI" w:hAnsi="Segoe UI" w:cs="Segoe UI"/>
        </w:rPr>
        <w:t>R</w:t>
      </w:r>
      <w:r w:rsidR="6E005A39" w:rsidRPr="293D3C50">
        <w:rPr>
          <w:rFonts w:ascii="Segoe UI" w:eastAsia="Segoe UI" w:hAnsi="Segoe UI" w:cs="Segoe UI"/>
        </w:rPr>
        <w:t xml:space="preserve">egulatory </w:t>
      </w:r>
      <w:r w:rsidR="3B7416DD" w:rsidRPr="293D3C50">
        <w:rPr>
          <w:rFonts w:ascii="Segoe UI" w:eastAsia="Segoe UI" w:hAnsi="Segoe UI" w:cs="Segoe UI"/>
        </w:rPr>
        <w:t>I</w:t>
      </w:r>
      <w:r w:rsidR="6E005A39" w:rsidRPr="293D3C50">
        <w:rPr>
          <w:rFonts w:ascii="Segoe UI" w:eastAsia="Segoe UI" w:hAnsi="Segoe UI" w:cs="Segoe UI"/>
        </w:rPr>
        <w:t xml:space="preserve">mpact </w:t>
      </w:r>
      <w:r w:rsidR="2D4F0AC3" w:rsidRPr="293D3C50">
        <w:rPr>
          <w:rFonts w:ascii="Segoe UI" w:eastAsia="Segoe UI" w:hAnsi="Segoe UI" w:cs="Segoe UI"/>
        </w:rPr>
        <w:t>A</w:t>
      </w:r>
      <w:r w:rsidR="6E005A39" w:rsidRPr="293D3C50">
        <w:rPr>
          <w:rFonts w:ascii="Segoe UI" w:eastAsia="Segoe UI" w:hAnsi="Segoe UI" w:cs="Segoe UI"/>
        </w:rPr>
        <w:t xml:space="preserve">nalysis (RIA) under </w:t>
      </w:r>
      <w:r w:rsidRPr="293D3C50">
        <w:rPr>
          <w:rFonts w:ascii="Segoe UI" w:eastAsia="Segoe UI" w:hAnsi="Segoe UI" w:cs="Segoe UI"/>
        </w:rPr>
        <w:t xml:space="preserve">Executive Order 12866 </w:t>
      </w:r>
      <w:r w:rsidR="501D1D48" w:rsidRPr="293D3C50">
        <w:rPr>
          <w:rFonts w:ascii="Segoe UI" w:eastAsia="Segoe UI" w:hAnsi="Segoe UI" w:cs="Segoe UI"/>
        </w:rPr>
        <w:t>(</w:t>
      </w:r>
      <w:r w:rsidRPr="293D3C50">
        <w:rPr>
          <w:rFonts w:ascii="Segoe UI" w:eastAsia="Segoe UI" w:hAnsi="Segoe UI" w:cs="Segoe UI"/>
        </w:rPr>
        <w:t>Regulatory Planning and Review</w:t>
      </w:r>
      <w:r w:rsidR="501D1D48" w:rsidRPr="293D3C50">
        <w:rPr>
          <w:rFonts w:ascii="Segoe UI" w:eastAsia="Segoe UI" w:hAnsi="Segoe UI" w:cs="Segoe UI"/>
        </w:rPr>
        <w:t>)</w:t>
      </w:r>
      <w:r w:rsidR="6E005A39" w:rsidRPr="293D3C50">
        <w:rPr>
          <w:rFonts w:ascii="Segoe UI" w:eastAsia="Segoe UI" w:hAnsi="Segoe UI" w:cs="Segoe UI"/>
        </w:rPr>
        <w:t>.</w:t>
      </w:r>
      <w:r w:rsidR="1B256616" w:rsidRPr="293D3C50">
        <w:rPr>
          <w:rFonts w:ascii="Segoe UI" w:eastAsia="Segoe UI" w:hAnsi="Segoe UI" w:cs="Segoe UI"/>
        </w:rPr>
        <w:t xml:space="preserve"> </w:t>
      </w:r>
      <w:r w:rsidR="26A407DD" w:rsidRPr="293D3C50">
        <w:rPr>
          <w:rFonts w:ascii="Segoe UI" w:eastAsia="Segoe UI" w:hAnsi="Segoe UI" w:cs="Segoe UI"/>
        </w:rPr>
        <w:t xml:space="preserve">See the </w:t>
      </w:r>
      <w:bookmarkStart w:id="12" w:name="_Hlk147495513"/>
      <w:r w:rsidR="0242D5A6" w:rsidRPr="293D3C50">
        <w:rPr>
          <w:rFonts w:ascii="Segoe UI" w:eastAsia="Segoe UI" w:hAnsi="Segoe UI" w:cs="Segoe UI"/>
          <w:color w:val="2B579A"/>
        </w:rPr>
        <w:fldChar w:fldCharType="begin"/>
      </w:r>
      <w:r w:rsidR="0242D5A6" w:rsidRPr="293D3C50">
        <w:rPr>
          <w:rFonts w:ascii="Segoe UI" w:eastAsia="Segoe UI" w:hAnsi="Segoe UI" w:cs="Segoe UI"/>
        </w:rPr>
        <w:instrText xml:space="preserve"> HYPERLINK "https://www.uspto.gov/about-us/performance-and-planning/fee-setting-and-adjusting" </w:instrText>
      </w:r>
      <w:r w:rsidR="0242D5A6" w:rsidRPr="293D3C50">
        <w:rPr>
          <w:rFonts w:ascii="Segoe UI" w:eastAsia="Segoe UI" w:hAnsi="Segoe UI" w:cs="Segoe UI"/>
          <w:color w:val="2B579A"/>
        </w:rPr>
        <w:fldChar w:fldCharType="separate"/>
      </w:r>
      <w:r w:rsidR="3BA6B12C" w:rsidRPr="293D3C50">
        <w:rPr>
          <w:rStyle w:val="Hyperlink"/>
          <w:rFonts w:ascii="Segoe UI" w:eastAsia="Segoe UI" w:hAnsi="Segoe UI" w:cs="Segoe UI"/>
        </w:rPr>
        <w:t>fee setting section of the USPTO website</w:t>
      </w:r>
      <w:r w:rsidR="0242D5A6" w:rsidRPr="293D3C50">
        <w:rPr>
          <w:rFonts w:ascii="Segoe UI" w:eastAsia="Segoe UI" w:hAnsi="Segoe UI" w:cs="Segoe UI"/>
          <w:color w:val="2B579A"/>
        </w:rPr>
        <w:fldChar w:fldCharType="end"/>
      </w:r>
      <w:bookmarkEnd w:id="12"/>
      <w:r w:rsidR="3BA6B12C" w:rsidRPr="293D3C50">
        <w:rPr>
          <w:rFonts w:ascii="Segoe UI" w:eastAsia="Segoe UI" w:hAnsi="Segoe UI" w:cs="Segoe UI"/>
        </w:rPr>
        <w:t xml:space="preserve"> f</w:t>
      </w:r>
      <w:r w:rsidR="26A407DD" w:rsidRPr="293D3C50">
        <w:rPr>
          <w:rFonts w:ascii="Segoe UI" w:eastAsia="Segoe UI" w:hAnsi="Segoe UI" w:cs="Segoe UI"/>
        </w:rPr>
        <w:t>or additional information on the</w:t>
      </w:r>
      <w:r w:rsidR="007D1279">
        <w:rPr>
          <w:rFonts w:ascii="Segoe UI" w:eastAsia="Segoe UI" w:hAnsi="Segoe UI" w:cs="Segoe UI"/>
        </w:rPr>
        <w:t xml:space="preserve"> final rule</w:t>
      </w:r>
      <w:r w:rsidR="51448C52" w:rsidRPr="293D3C50">
        <w:rPr>
          <w:rFonts w:ascii="Segoe UI" w:eastAsia="Segoe UI" w:hAnsi="Segoe UI" w:cs="Segoe UI"/>
        </w:rPr>
        <w:t>,</w:t>
      </w:r>
      <w:r w:rsidR="26A407DD" w:rsidRPr="293D3C50">
        <w:rPr>
          <w:rFonts w:ascii="Segoe UI" w:eastAsia="Segoe UI" w:hAnsi="Segoe UI" w:cs="Segoe UI"/>
        </w:rPr>
        <w:t xml:space="preserve"> including supporting materials and </w:t>
      </w:r>
      <w:r w:rsidR="51448C52" w:rsidRPr="293D3C50">
        <w:rPr>
          <w:rFonts w:ascii="Segoe UI" w:eastAsia="Segoe UI" w:hAnsi="Segoe UI" w:cs="Segoe UI"/>
        </w:rPr>
        <w:t xml:space="preserve">a </w:t>
      </w:r>
      <w:r w:rsidR="26A407DD" w:rsidRPr="293D3C50">
        <w:rPr>
          <w:rFonts w:ascii="Segoe UI" w:eastAsia="Segoe UI" w:hAnsi="Segoe UI" w:cs="Segoe UI"/>
        </w:rPr>
        <w:t xml:space="preserve">link to </w:t>
      </w:r>
      <w:r w:rsidR="3344D523" w:rsidRPr="293D3C50">
        <w:rPr>
          <w:rFonts w:ascii="Segoe UI" w:eastAsia="Segoe UI" w:hAnsi="Segoe UI" w:cs="Segoe UI"/>
        </w:rPr>
        <w:t xml:space="preserve">its </w:t>
      </w:r>
      <w:r w:rsidR="26A407DD" w:rsidRPr="293D3C50">
        <w:rPr>
          <w:rFonts w:ascii="Segoe UI" w:eastAsia="Segoe UI" w:hAnsi="Segoe UI" w:cs="Segoe UI"/>
        </w:rPr>
        <w:t xml:space="preserve">full text </w:t>
      </w:r>
      <w:r w:rsidR="29919FD2" w:rsidRPr="293D3C50">
        <w:rPr>
          <w:rFonts w:ascii="Segoe UI" w:eastAsia="Segoe UI" w:hAnsi="Segoe UI" w:cs="Segoe UI"/>
        </w:rPr>
        <w:t xml:space="preserve">in </w:t>
      </w:r>
      <w:r w:rsidR="120D5DE7" w:rsidRPr="293D3C50">
        <w:rPr>
          <w:rFonts w:ascii="Segoe UI" w:eastAsia="Segoe UI" w:hAnsi="Segoe UI" w:cs="Segoe UI"/>
        </w:rPr>
        <w:t>the Federal Register.</w:t>
      </w:r>
    </w:p>
    <w:p w14:paraId="4414A118" w14:textId="0382E5CD" w:rsidR="001C5C20" w:rsidRPr="00275BFB" w:rsidRDefault="358D222E" w:rsidP="735B2AB6">
      <w:pPr>
        <w:spacing w:line="360" w:lineRule="auto"/>
        <w:ind w:firstLine="450"/>
        <w:rPr>
          <w:rFonts w:ascii="Segoe UI" w:eastAsia="Segoe UI" w:hAnsi="Segoe UI" w:cs="Segoe UI"/>
        </w:rPr>
      </w:pPr>
      <w:r w:rsidRPr="26A8B252">
        <w:rPr>
          <w:rFonts w:ascii="Segoe UI" w:eastAsia="Segoe UI" w:hAnsi="Segoe UI" w:cs="Segoe UI"/>
        </w:rPr>
        <w:t xml:space="preserve">This RIA </w:t>
      </w:r>
      <w:r w:rsidR="42265422" w:rsidRPr="26A8B252">
        <w:rPr>
          <w:rFonts w:ascii="Segoe UI" w:eastAsia="Segoe UI" w:hAnsi="Segoe UI" w:cs="Segoe UI"/>
        </w:rPr>
        <w:t xml:space="preserve">reviews </w:t>
      </w:r>
      <w:r w:rsidRPr="26A8B252" w:rsidDel="003F3644">
        <w:rPr>
          <w:rFonts w:ascii="Segoe UI" w:eastAsia="Segoe UI" w:hAnsi="Segoe UI" w:cs="Segoe UI"/>
        </w:rPr>
        <w:t xml:space="preserve">the </w:t>
      </w:r>
      <w:r w:rsidRPr="26A8B252">
        <w:rPr>
          <w:rFonts w:ascii="Segoe UI" w:eastAsia="Segoe UI" w:hAnsi="Segoe UI" w:cs="Segoe UI"/>
        </w:rPr>
        <w:t>alternatives considered</w:t>
      </w:r>
      <w:r w:rsidR="2329834C">
        <w:rPr>
          <w:rFonts w:ascii="Segoe UI" w:eastAsia="Segoe UI" w:hAnsi="Segoe UI" w:cs="Segoe UI"/>
        </w:rPr>
        <w:t xml:space="preserve"> </w:t>
      </w:r>
      <w:r w:rsidRPr="26A8B252">
        <w:rPr>
          <w:rFonts w:ascii="Segoe UI" w:eastAsia="Segoe UI" w:hAnsi="Segoe UI" w:cs="Segoe UI"/>
        </w:rPr>
        <w:t xml:space="preserve">for the patent fee schedule and </w:t>
      </w:r>
      <w:r w:rsidR="558606A9" w:rsidRPr="26A8B252">
        <w:rPr>
          <w:rFonts w:ascii="Segoe UI" w:eastAsia="Segoe UI" w:hAnsi="Segoe UI" w:cs="Segoe UI"/>
        </w:rPr>
        <w:t>analyzes</w:t>
      </w:r>
      <w:r w:rsidR="5BF595A7" w:rsidRPr="26A8B252">
        <w:rPr>
          <w:rFonts w:ascii="Segoe UI" w:eastAsia="Segoe UI" w:hAnsi="Segoe UI" w:cs="Segoe UI"/>
        </w:rPr>
        <w:t xml:space="preserve"> their </w:t>
      </w:r>
      <w:r w:rsidR="42265422" w:rsidRPr="26A8B252">
        <w:rPr>
          <w:rFonts w:ascii="Segoe UI" w:eastAsia="Segoe UI" w:hAnsi="Segoe UI" w:cs="Segoe UI"/>
        </w:rPr>
        <w:t xml:space="preserve">qualitative </w:t>
      </w:r>
      <w:r w:rsidRPr="26A8B252">
        <w:rPr>
          <w:rFonts w:ascii="Segoe UI" w:eastAsia="Segoe UI" w:hAnsi="Segoe UI" w:cs="Segoe UI"/>
        </w:rPr>
        <w:t xml:space="preserve">costs and benefits </w:t>
      </w:r>
      <w:r w:rsidR="5BF595A7" w:rsidRPr="26A8B252">
        <w:rPr>
          <w:rFonts w:ascii="Segoe UI" w:eastAsia="Segoe UI" w:hAnsi="Segoe UI" w:cs="Segoe UI"/>
        </w:rPr>
        <w:t xml:space="preserve">relative to </w:t>
      </w:r>
      <w:r w:rsidR="4F847794" w:rsidRPr="736A6D4F">
        <w:rPr>
          <w:rFonts w:ascii="Segoe UI" w:eastAsia="Segoe UI" w:hAnsi="Segoe UI" w:cs="Segoe UI"/>
        </w:rPr>
        <w:t xml:space="preserve">the </w:t>
      </w:r>
      <w:r w:rsidR="4F98B81F" w:rsidRPr="736A6D4F">
        <w:rPr>
          <w:rFonts w:ascii="Segoe UI" w:eastAsia="Segoe UI" w:hAnsi="Segoe UI" w:cs="Segoe UI"/>
        </w:rPr>
        <w:t>c</w:t>
      </w:r>
      <w:r w:rsidR="4F847794" w:rsidRPr="736A6D4F">
        <w:rPr>
          <w:rFonts w:ascii="Segoe UI" w:hAnsi="Segoe UI" w:cs="Segoe UI"/>
        </w:rPr>
        <w:t>urrent fee schedule that became effective on December 29, 2022</w:t>
      </w:r>
      <w:r w:rsidR="5BF595A7" w:rsidRPr="26A8B252">
        <w:rPr>
          <w:rFonts w:ascii="Segoe UI" w:eastAsia="Segoe UI" w:hAnsi="Segoe UI" w:cs="Segoe UI"/>
        </w:rPr>
        <w:t>.</w:t>
      </w:r>
      <w:r w:rsidR="4A906036" w:rsidRPr="26A8B252">
        <w:rPr>
          <w:rFonts w:ascii="Segoe UI" w:eastAsia="Segoe UI" w:hAnsi="Segoe UI" w:cs="Segoe UI"/>
        </w:rPr>
        <w:t xml:space="preserve"> </w:t>
      </w:r>
      <w:r w:rsidR="7762EE22" w:rsidRPr="26A8B252">
        <w:rPr>
          <w:rFonts w:ascii="Segoe UI" w:eastAsia="Segoe UI" w:hAnsi="Segoe UI" w:cs="Segoe UI"/>
        </w:rPr>
        <w:t xml:space="preserve">The </w:t>
      </w:r>
      <w:r w:rsidR="1DEA44CF" w:rsidRPr="26A8B252">
        <w:rPr>
          <w:rFonts w:ascii="Segoe UI" w:eastAsia="Segoe UI" w:hAnsi="Segoe UI" w:cs="Segoe UI"/>
        </w:rPr>
        <w:t>USPTO</w:t>
      </w:r>
      <w:r w:rsidR="7762EE22" w:rsidRPr="26A8B252">
        <w:rPr>
          <w:rFonts w:ascii="Segoe UI" w:eastAsia="Segoe UI" w:hAnsi="Segoe UI" w:cs="Segoe UI"/>
        </w:rPr>
        <w:t xml:space="preserve"> follow</w:t>
      </w:r>
      <w:r w:rsidR="5E7CA32D">
        <w:rPr>
          <w:rFonts w:ascii="Segoe UI" w:eastAsia="Segoe UI" w:hAnsi="Segoe UI" w:cs="Segoe UI"/>
        </w:rPr>
        <w:t>ed</w:t>
      </w:r>
      <w:r w:rsidR="7762EE22" w:rsidRPr="26A8B252">
        <w:rPr>
          <w:rFonts w:ascii="Segoe UI" w:eastAsia="Segoe UI" w:hAnsi="Segoe UI" w:cs="Segoe UI"/>
        </w:rPr>
        <w:t xml:space="preserve"> the guidance set forth in </w:t>
      </w:r>
      <w:r w:rsidR="3F462CE1" w:rsidRPr="26A8B252">
        <w:rPr>
          <w:rFonts w:ascii="Segoe UI" w:eastAsia="Segoe UI" w:hAnsi="Segoe UI" w:cs="Segoe UI"/>
        </w:rPr>
        <w:t>Office</w:t>
      </w:r>
      <w:r w:rsidR="7762EE22" w:rsidRPr="26A8B252">
        <w:rPr>
          <w:rFonts w:ascii="Segoe UI" w:eastAsia="Segoe UI" w:hAnsi="Segoe UI" w:cs="Segoe UI"/>
        </w:rPr>
        <w:t xml:space="preserve"> of Management and Budget (OMB) </w:t>
      </w:r>
      <w:hyperlink r:id="rId16" w:history="1">
        <w:r w:rsidR="002D6AC8" w:rsidRPr="002D6AC8">
          <w:rPr>
            <w:rStyle w:val="Hyperlink"/>
            <w:rFonts w:ascii="Segoe UI" w:eastAsia="Segoe UI" w:hAnsi="Segoe UI" w:cs="Segoe UI"/>
          </w:rPr>
          <w:t>Circular A-4, Regulatory Analysis</w:t>
        </w:r>
      </w:hyperlink>
      <w:r w:rsidR="7762EE22" w:rsidRPr="736A6D4F">
        <w:rPr>
          <w:rFonts w:ascii="Segoe UI" w:eastAsia="Segoe UI" w:hAnsi="Segoe UI" w:cs="Segoe UI"/>
        </w:rPr>
        <w:t>,</w:t>
      </w:r>
      <w:r w:rsidR="32484A97" w:rsidRPr="00F8399D">
        <w:rPr>
          <w:rFonts w:ascii="Segoe UI" w:eastAsia="Segoe UI" w:hAnsi="Segoe UI" w:cs="Segoe UI"/>
        </w:rPr>
        <w:t xml:space="preserve"> </w:t>
      </w:r>
      <w:r w:rsidR="7762EE22" w:rsidRPr="26A8B252">
        <w:rPr>
          <w:rFonts w:ascii="Segoe UI" w:eastAsia="Segoe UI" w:hAnsi="Segoe UI" w:cs="Segoe UI"/>
        </w:rPr>
        <w:t xml:space="preserve">in determining which data to provide in this </w:t>
      </w:r>
      <w:r w:rsidR="545E4407" w:rsidRPr="26A8B252">
        <w:rPr>
          <w:rFonts w:ascii="Segoe UI" w:eastAsia="Segoe UI" w:hAnsi="Segoe UI" w:cs="Segoe UI"/>
        </w:rPr>
        <w:t>analysis</w:t>
      </w:r>
      <w:r w:rsidR="7762EE22" w:rsidRPr="26A8B252">
        <w:rPr>
          <w:rFonts w:ascii="Segoe UI" w:eastAsia="Segoe UI" w:hAnsi="Segoe UI" w:cs="Segoe UI"/>
        </w:rPr>
        <w:t>.</w:t>
      </w:r>
      <w:r w:rsidR="4A906036" w:rsidRPr="26A8B252">
        <w:rPr>
          <w:rFonts w:ascii="Segoe UI" w:eastAsia="Segoe UI" w:hAnsi="Segoe UI" w:cs="Segoe UI"/>
        </w:rPr>
        <w:t xml:space="preserve"> </w:t>
      </w:r>
      <w:r w:rsidR="7762EE22" w:rsidRPr="26A8B252">
        <w:rPr>
          <w:rFonts w:ascii="Segoe UI" w:eastAsia="Segoe UI" w:hAnsi="Segoe UI" w:cs="Segoe UI"/>
        </w:rPr>
        <w:t xml:space="preserve">Consistent with </w:t>
      </w:r>
      <w:r w:rsidR="32484A97" w:rsidRPr="26A8B252">
        <w:rPr>
          <w:rFonts w:ascii="Segoe UI" w:eastAsia="Segoe UI" w:hAnsi="Segoe UI" w:cs="Segoe UI"/>
        </w:rPr>
        <w:t xml:space="preserve">OMB </w:t>
      </w:r>
      <w:r w:rsidR="7762EE22" w:rsidRPr="26A8B252">
        <w:rPr>
          <w:rFonts w:ascii="Segoe UI" w:eastAsia="Segoe UI" w:hAnsi="Segoe UI" w:cs="Segoe UI"/>
        </w:rPr>
        <w:t xml:space="preserve">Circular A-4 and guidance from OMB on regulatory impact analysis, the user fees charged by the USPTO for its services are considered transfer payments that do not affect the total resources available to society, and therefore changes to patent fees implemented by this rulemaking are </w:t>
      </w:r>
      <w:r w:rsidR="483A3F00" w:rsidRPr="26A8B252">
        <w:rPr>
          <w:rFonts w:ascii="Segoe UI" w:eastAsia="Segoe UI" w:hAnsi="Segoe UI" w:cs="Segoe UI"/>
        </w:rPr>
        <w:t>transfers and</w:t>
      </w:r>
      <w:r w:rsidRPr="26A8B252">
        <w:rPr>
          <w:rFonts w:ascii="Segoe UI" w:eastAsia="Segoe UI" w:hAnsi="Segoe UI" w:cs="Segoe UI"/>
        </w:rPr>
        <w:t xml:space="preserve"> are </w:t>
      </w:r>
      <w:r w:rsidR="7762EE22" w:rsidRPr="26A8B252">
        <w:rPr>
          <w:rFonts w:ascii="Segoe UI" w:eastAsia="Segoe UI" w:hAnsi="Segoe UI" w:cs="Segoe UI"/>
        </w:rPr>
        <w:t>not costs of this rulemaking.</w:t>
      </w:r>
      <w:r w:rsidR="4A906036" w:rsidRPr="26A8B252">
        <w:rPr>
          <w:rFonts w:ascii="Segoe UI" w:eastAsia="Segoe UI" w:hAnsi="Segoe UI" w:cs="Segoe UI"/>
        </w:rPr>
        <w:t xml:space="preserve"> </w:t>
      </w:r>
      <w:r w:rsidR="7762EE22" w:rsidRPr="26A8B252">
        <w:rPr>
          <w:rFonts w:ascii="Segoe UI" w:eastAsia="Segoe UI" w:hAnsi="Segoe UI" w:cs="Segoe UI"/>
        </w:rPr>
        <w:t xml:space="preserve">See </w:t>
      </w:r>
      <w:r w:rsidR="7762EE22" w:rsidRPr="007309FB">
        <w:rPr>
          <w:rFonts w:ascii="Segoe UI" w:eastAsia="Segoe UI" w:hAnsi="Segoe UI" w:cs="Segoe UI"/>
        </w:rPr>
        <w:t xml:space="preserve">OMB Circular </w:t>
      </w:r>
      <w:r w:rsidR="7762EE22" w:rsidRPr="26A8B252">
        <w:rPr>
          <w:rFonts w:ascii="Segoe UI" w:eastAsia="Segoe UI" w:hAnsi="Segoe UI" w:cs="Segoe UI"/>
        </w:rPr>
        <w:t xml:space="preserve">A-4 and OMB’s </w:t>
      </w:r>
      <w:hyperlink r:id="rId17" w:history="1">
        <w:r w:rsidR="7762EE22" w:rsidRPr="736A6D4F">
          <w:rPr>
            <w:rStyle w:val="Hyperlink"/>
            <w:rFonts w:ascii="Segoe UI" w:eastAsia="Segoe UI" w:hAnsi="Segoe UI" w:cs="Segoe UI"/>
          </w:rPr>
          <w:t>Regulatory Impact Analysis: A Primer</w:t>
        </w:r>
      </w:hyperlink>
      <w:r w:rsidR="7762EE22" w:rsidRPr="736A6D4F">
        <w:rPr>
          <w:rFonts w:ascii="Segoe UI" w:eastAsia="Segoe UI" w:hAnsi="Segoe UI" w:cs="Segoe UI"/>
        </w:rPr>
        <w:t xml:space="preserve"> (“Examples of transfer payments include </w:t>
      </w:r>
      <w:r w:rsidR="19E45BFF" w:rsidRPr="00A02F6A">
        <w:rPr>
          <w:rFonts w:ascii="Segoe UI" w:hAnsi="Segoe UI" w:cs="Segoe UI"/>
        </w:rPr>
        <w:t>…</w:t>
      </w:r>
      <w:r w:rsidR="7762EE22" w:rsidRPr="26A8B252">
        <w:rPr>
          <w:rFonts w:ascii="Segoe UI" w:eastAsia="Segoe UI" w:hAnsi="Segoe UI" w:cs="Segoe UI"/>
        </w:rPr>
        <w:t xml:space="preserve"> Fees to government agencies for goods or services provided by the agency”).</w:t>
      </w:r>
      <w:r w:rsidR="4A906036" w:rsidRPr="26A8B252">
        <w:rPr>
          <w:rFonts w:ascii="Segoe UI" w:eastAsia="Segoe UI" w:hAnsi="Segoe UI" w:cs="Segoe UI"/>
        </w:rPr>
        <w:t xml:space="preserve"> </w:t>
      </w:r>
      <w:r w:rsidR="7762EE22" w:rsidRPr="26A8B252">
        <w:rPr>
          <w:rFonts w:ascii="Segoe UI" w:eastAsia="Segoe UI" w:hAnsi="Segoe UI" w:cs="Segoe UI"/>
        </w:rPr>
        <w:t>These transfers are identified below and</w:t>
      </w:r>
      <w:r w:rsidR="5DDCF37F" w:rsidRPr="26A8B252">
        <w:rPr>
          <w:rFonts w:ascii="Segoe UI" w:eastAsia="Segoe UI" w:hAnsi="Segoe UI" w:cs="Segoe UI"/>
        </w:rPr>
        <w:t>,</w:t>
      </w:r>
      <w:r w:rsidR="7762EE22" w:rsidRPr="26A8B252">
        <w:rPr>
          <w:rFonts w:ascii="Segoe UI" w:eastAsia="Segoe UI" w:hAnsi="Segoe UI" w:cs="Segoe UI"/>
        </w:rPr>
        <w:t xml:space="preserve"> consistent with </w:t>
      </w:r>
      <w:r w:rsidR="7762EE22" w:rsidRPr="26A8B252">
        <w:rPr>
          <w:rFonts w:ascii="Segoe UI" w:eastAsia="Segoe UI" w:hAnsi="Segoe UI" w:cs="Segoe UI"/>
        </w:rPr>
        <w:lastRenderedPageBreak/>
        <w:t xml:space="preserve">OMB guidance, </w:t>
      </w:r>
      <w:r w:rsidR="19E45BFF" w:rsidRPr="26A8B252">
        <w:rPr>
          <w:rFonts w:ascii="Segoe UI" w:eastAsia="Segoe UI" w:hAnsi="Segoe UI" w:cs="Segoe UI"/>
        </w:rPr>
        <w:t>they</w:t>
      </w:r>
      <w:r w:rsidR="7762EE22" w:rsidRPr="26A8B252">
        <w:rPr>
          <w:rFonts w:ascii="Segoe UI" w:eastAsia="Segoe UI" w:hAnsi="Segoe UI" w:cs="Segoe UI"/>
        </w:rPr>
        <w:t xml:space="preserve"> are not included in the estimates of the benefits and costs of this rulemaking.</w:t>
      </w:r>
    </w:p>
    <w:p w14:paraId="6674FA6C" w14:textId="77777777" w:rsidR="00A6782A" w:rsidRPr="00CF6436" w:rsidRDefault="00A6782A" w:rsidP="00CF6436">
      <w:pPr>
        <w:spacing w:line="360" w:lineRule="auto"/>
        <w:rPr>
          <w:rFonts w:ascii="Segoe UI" w:eastAsia="Segoe UI" w:hAnsi="Segoe UI" w:cs="Segoe UI"/>
        </w:rPr>
      </w:pPr>
    </w:p>
    <w:p w14:paraId="30B7DFDF" w14:textId="77777777" w:rsidR="001152B6" w:rsidRPr="00CF6436" w:rsidRDefault="001152B6" w:rsidP="00CF6436">
      <w:pPr>
        <w:pStyle w:val="Heading2Number"/>
        <w:spacing w:line="360" w:lineRule="auto"/>
        <w:rPr>
          <w:rFonts w:ascii="Segoe UI" w:hAnsi="Segoe UI" w:cs="Segoe UI"/>
        </w:rPr>
      </w:pPr>
      <w:bookmarkStart w:id="13" w:name="_Toc451951704"/>
      <w:bookmarkStart w:id="14" w:name="_Toc175640416"/>
      <w:bookmarkStart w:id="15" w:name="_Toc442357715"/>
      <w:r w:rsidRPr="31665127">
        <w:rPr>
          <w:rFonts w:ascii="Segoe UI" w:hAnsi="Segoe UI" w:cs="Segoe UI"/>
        </w:rPr>
        <w:t>Summary of Analysis</w:t>
      </w:r>
      <w:bookmarkEnd w:id="13"/>
      <w:bookmarkEnd w:id="14"/>
    </w:p>
    <w:p w14:paraId="0726A0B6" w14:textId="0080EFDD" w:rsidR="00B02864" w:rsidRPr="00B02864" w:rsidRDefault="00CC47B8" w:rsidP="735B2AB6">
      <w:pPr>
        <w:spacing w:line="360" w:lineRule="auto"/>
        <w:ind w:firstLine="450"/>
        <w:rPr>
          <w:rFonts w:ascii="Segoe UI" w:hAnsi="Segoe UI" w:cs="Segoe UI"/>
        </w:rPr>
      </w:pPr>
      <w:r w:rsidRPr="17CECF10">
        <w:rPr>
          <w:rFonts w:ascii="Segoe UI" w:hAnsi="Segoe UI" w:cs="Segoe UI"/>
        </w:rPr>
        <w:t>A U.S. patent is</w:t>
      </w:r>
      <w:r w:rsidR="78B18179" w:rsidRPr="17CECF10">
        <w:rPr>
          <w:rFonts w:ascii="Segoe UI" w:hAnsi="Segoe UI" w:cs="Segoe UI"/>
        </w:rPr>
        <w:t xml:space="preserve"> </w:t>
      </w:r>
      <w:r w:rsidR="6D92F7FC" w:rsidRPr="17CECF10">
        <w:rPr>
          <w:rFonts w:ascii="Segoe UI" w:hAnsi="Segoe UI" w:cs="Segoe UI"/>
        </w:rPr>
        <w:t xml:space="preserve">a </w:t>
      </w:r>
      <w:r w:rsidR="78B18179" w:rsidRPr="17CECF10">
        <w:rPr>
          <w:rFonts w:ascii="Segoe UI" w:hAnsi="Segoe UI" w:cs="Segoe UI"/>
        </w:rPr>
        <w:t>legal instrument issued by</w:t>
      </w:r>
      <w:r w:rsidRPr="17CECF10">
        <w:rPr>
          <w:rFonts w:ascii="Segoe UI" w:hAnsi="Segoe UI" w:cs="Segoe UI"/>
        </w:rPr>
        <w:t xml:space="preserve"> the </w:t>
      </w:r>
      <w:r w:rsidR="78B18179" w:rsidRPr="17CECF10">
        <w:rPr>
          <w:rFonts w:ascii="Segoe UI" w:hAnsi="Segoe UI" w:cs="Segoe UI"/>
        </w:rPr>
        <w:t>federal</w:t>
      </w:r>
      <w:r w:rsidR="1F9DC3CB" w:rsidRPr="17CECF10">
        <w:rPr>
          <w:rFonts w:ascii="Segoe UI" w:hAnsi="Segoe UI" w:cs="Segoe UI"/>
        </w:rPr>
        <w:t xml:space="preserve"> </w:t>
      </w:r>
      <w:r w:rsidRPr="17CECF10">
        <w:rPr>
          <w:rFonts w:ascii="Segoe UI" w:hAnsi="Segoe UI" w:cs="Segoe UI"/>
        </w:rPr>
        <w:t xml:space="preserve">government </w:t>
      </w:r>
      <w:r w:rsidR="78B18179" w:rsidRPr="17CECF10">
        <w:rPr>
          <w:rFonts w:ascii="Segoe UI" w:hAnsi="Segoe UI" w:cs="Segoe UI"/>
        </w:rPr>
        <w:t xml:space="preserve">that provides its owner with exclusive </w:t>
      </w:r>
      <w:r w:rsidR="2B887791" w:rsidRPr="17CECF10">
        <w:rPr>
          <w:rFonts w:ascii="Segoe UI" w:hAnsi="Segoe UI" w:cs="Segoe UI"/>
        </w:rPr>
        <w:t>intellectual property (</w:t>
      </w:r>
      <w:r w:rsidR="78B18179" w:rsidRPr="17CECF10">
        <w:rPr>
          <w:rFonts w:ascii="Segoe UI" w:hAnsi="Segoe UI" w:cs="Segoe UI"/>
        </w:rPr>
        <w:t>IP</w:t>
      </w:r>
      <w:r w:rsidR="41C831AC" w:rsidRPr="17CECF10">
        <w:rPr>
          <w:rFonts w:ascii="Segoe UI" w:hAnsi="Segoe UI" w:cs="Segoe UI"/>
        </w:rPr>
        <w:t>)</w:t>
      </w:r>
      <w:r w:rsidR="78B18179" w:rsidRPr="17CECF10">
        <w:rPr>
          <w:rFonts w:ascii="Segoe UI" w:hAnsi="Segoe UI" w:cs="Segoe UI"/>
        </w:rPr>
        <w:t xml:space="preserve"> rights, including the right</w:t>
      </w:r>
      <w:r w:rsidRPr="17CECF10">
        <w:rPr>
          <w:rFonts w:ascii="Segoe UI" w:hAnsi="Segoe UI" w:cs="Segoe UI"/>
        </w:rPr>
        <w:t xml:space="preserve"> to exclude others from making, using, offering for sale, or selling an invention throughout the country or importing the invention into the United States. This limited exclusive right is intended to promote innovation and stimulate inventive activity through facilitating capital financing and incentivizing research</w:t>
      </w:r>
      <w:r w:rsidR="1D3A214F" w:rsidRPr="17CECF10">
        <w:rPr>
          <w:rFonts w:ascii="Segoe UI" w:hAnsi="Segoe UI" w:cs="Segoe UI"/>
        </w:rPr>
        <w:t xml:space="preserve"> and </w:t>
      </w:r>
      <w:r w:rsidRPr="17CECF10">
        <w:rPr>
          <w:rFonts w:ascii="Segoe UI" w:hAnsi="Segoe UI" w:cs="Segoe UI"/>
        </w:rPr>
        <w:t>development</w:t>
      </w:r>
      <w:r w:rsidR="1D3A214F" w:rsidRPr="17CECF10">
        <w:rPr>
          <w:rFonts w:ascii="Segoe UI" w:hAnsi="Segoe UI" w:cs="Segoe UI"/>
        </w:rPr>
        <w:t xml:space="preserve"> (R&amp;D)</w:t>
      </w:r>
      <w:r w:rsidRPr="17CECF10">
        <w:rPr>
          <w:rFonts w:ascii="Segoe UI" w:hAnsi="Segoe UI" w:cs="Segoe UI"/>
        </w:rPr>
        <w:t>, a</w:t>
      </w:r>
      <w:r w:rsidR="1D3A214F" w:rsidRPr="17CECF10">
        <w:rPr>
          <w:rFonts w:ascii="Segoe UI" w:hAnsi="Segoe UI" w:cs="Segoe UI"/>
        </w:rPr>
        <w:t xml:space="preserve">s well as </w:t>
      </w:r>
      <w:r w:rsidRPr="17CECF10">
        <w:rPr>
          <w:rFonts w:ascii="Segoe UI" w:hAnsi="Segoe UI" w:cs="Segoe UI"/>
        </w:rPr>
        <w:t>commercialization.</w:t>
      </w:r>
    </w:p>
    <w:p w14:paraId="6FF01A90" w14:textId="7834B878" w:rsidR="00B02864" w:rsidRPr="00B02864" w:rsidRDefault="2644D270" w:rsidP="735B2AB6">
      <w:pPr>
        <w:spacing w:line="360" w:lineRule="auto"/>
        <w:ind w:firstLine="450"/>
        <w:rPr>
          <w:rFonts w:ascii="Segoe UI" w:hAnsi="Segoe UI" w:cs="Segoe UI"/>
        </w:rPr>
      </w:pPr>
      <w:r w:rsidRPr="736A6D4F">
        <w:rPr>
          <w:rFonts w:ascii="Segoe UI" w:hAnsi="Segoe UI" w:cs="Segoe UI"/>
        </w:rPr>
        <w:t>An efficient and effective patent system provides tools to protect new ideas and investments in innovation and creativity, benefitting both inventors and the economy. The public disclosure of information required to obtain a patent helps avoid redundant R&amp;D by others and promotes development of innovations that build on current technology.</w:t>
      </w:r>
    </w:p>
    <w:p w14:paraId="2ADA484B" w14:textId="01ADE263" w:rsidR="00B02864" w:rsidRDefault="2644D270" w:rsidP="735B2AB6">
      <w:pPr>
        <w:spacing w:line="360" w:lineRule="auto"/>
        <w:ind w:firstLine="450"/>
        <w:rPr>
          <w:rFonts w:ascii="Segoe UI" w:hAnsi="Segoe UI" w:cs="Segoe UI"/>
        </w:rPr>
      </w:pPr>
      <w:r w:rsidRPr="736A6D4F">
        <w:rPr>
          <w:rFonts w:ascii="Segoe UI" w:hAnsi="Segoe UI" w:cs="Segoe UI"/>
        </w:rPr>
        <w:t>Securing a patent is an early step in the sometimes long and often expensive process of transforming an innovation into a consumer product. Patent fees are a proportionately small expense</w:t>
      </w:r>
      <w:r w:rsidR="5289D02E" w:rsidRPr="736A6D4F">
        <w:rPr>
          <w:rFonts w:ascii="Segoe UI" w:hAnsi="Segoe UI" w:cs="Segoe UI"/>
        </w:rPr>
        <w:t>,</w:t>
      </w:r>
      <w:r w:rsidRPr="736A6D4F">
        <w:rPr>
          <w:rFonts w:ascii="Segoe UI" w:hAnsi="Segoe UI" w:cs="Segoe UI"/>
        </w:rPr>
        <w:t xml:space="preserve"> and the impact of</w:t>
      </w:r>
      <w:r w:rsidR="154CD568" w:rsidRPr="736A6D4F">
        <w:rPr>
          <w:rFonts w:ascii="Segoe UI" w:hAnsi="Segoe UI" w:cs="Segoe UI"/>
        </w:rPr>
        <w:t xml:space="preserve"> </w:t>
      </w:r>
      <w:r w:rsidRPr="736A6D4F">
        <w:rPr>
          <w:rFonts w:ascii="Segoe UI" w:hAnsi="Segoe UI" w:cs="Segoe UI"/>
        </w:rPr>
        <w:t>the fee rate changes on consumers of patented products—in the form of higher prices or fewer market choices—is projected to be negligible.</w:t>
      </w:r>
    </w:p>
    <w:p w14:paraId="1914314D" w14:textId="09550E78" w:rsidR="0086407D" w:rsidRPr="00CF6436" w:rsidRDefault="5263435C" w:rsidP="6324CA36">
      <w:pPr>
        <w:spacing w:line="360" w:lineRule="auto"/>
        <w:ind w:firstLine="450"/>
        <w:rPr>
          <w:rFonts w:ascii="Segoe UI" w:hAnsi="Segoe UI" w:cs="Segoe UI"/>
        </w:rPr>
      </w:pPr>
      <w:r w:rsidRPr="6324CA36">
        <w:rPr>
          <w:rFonts w:ascii="Segoe UI" w:hAnsi="Segoe UI" w:cs="Segoe UI"/>
        </w:rPr>
        <w:t>Four</w:t>
      </w:r>
      <w:r w:rsidR="6592AC25" w:rsidRPr="6324CA36">
        <w:rPr>
          <w:rFonts w:ascii="Segoe UI" w:hAnsi="Segoe UI" w:cs="Segoe UI"/>
        </w:rPr>
        <w:t xml:space="preserve"> </w:t>
      </w:r>
      <w:r w:rsidR="04122223" w:rsidRPr="6324CA36">
        <w:rPr>
          <w:rFonts w:ascii="Segoe UI" w:hAnsi="Segoe UI" w:cs="Segoe UI"/>
        </w:rPr>
        <w:t>alternatives</w:t>
      </w:r>
      <w:r w:rsidRPr="6324CA36">
        <w:rPr>
          <w:rFonts w:ascii="Segoe UI" w:hAnsi="Segoe UI" w:cs="Segoe UI"/>
        </w:rPr>
        <w:t xml:space="preserve"> were analyzed</w:t>
      </w:r>
      <w:r w:rsidR="04122223" w:rsidRPr="6324CA36">
        <w:rPr>
          <w:rFonts w:ascii="Segoe UI" w:hAnsi="Segoe UI" w:cs="Segoe UI"/>
        </w:rPr>
        <w:t xml:space="preserve"> for </w:t>
      </w:r>
      <w:r w:rsidR="3DD0B360" w:rsidRPr="6324CA36">
        <w:rPr>
          <w:rFonts w:ascii="Segoe UI" w:hAnsi="Segoe UI" w:cs="Segoe UI"/>
        </w:rPr>
        <w:t xml:space="preserve">alignment with </w:t>
      </w:r>
      <w:r w:rsidRPr="6324CA36">
        <w:rPr>
          <w:rFonts w:ascii="Segoe UI" w:hAnsi="Segoe UI" w:cs="Segoe UI"/>
        </w:rPr>
        <w:t>the USPTO’s</w:t>
      </w:r>
      <w:r w:rsidR="6A94D153" w:rsidRPr="6324CA36">
        <w:rPr>
          <w:rFonts w:ascii="Segoe UI" w:hAnsi="Segoe UI" w:cs="Segoe UI"/>
        </w:rPr>
        <w:t xml:space="preserve"> </w:t>
      </w:r>
      <w:r w:rsidR="04122223" w:rsidRPr="6324CA36">
        <w:rPr>
          <w:rFonts w:ascii="Segoe UI" w:hAnsi="Segoe UI" w:cs="Segoe UI"/>
        </w:rPr>
        <w:t xml:space="preserve">rulemaking </w:t>
      </w:r>
      <w:r w:rsidR="3065794C" w:rsidRPr="6324CA36">
        <w:rPr>
          <w:rFonts w:ascii="Segoe UI" w:hAnsi="Segoe UI" w:cs="Segoe UI"/>
        </w:rPr>
        <w:t xml:space="preserve">goals and </w:t>
      </w:r>
      <w:r w:rsidR="64C5E143" w:rsidRPr="6324CA36">
        <w:rPr>
          <w:rFonts w:ascii="Segoe UI" w:hAnsi="Segoe UI" w:cs="Segoe UI"/>
        </w:rPr>
        <w:t xml:space="preserve">strategies, </w:t>
      </w:r>
      <w:r w:rsidR="21F86BE1" w:rsidRPr="6324CA36">
        <w:rPr>
          <w:rFonts w:ascii="Segoe UI" w:hAnsi="Segoe UI" w:cs="Segoe UI"/>
        </w:rPr>
        <w:t xml:space="preserve">which </w:t>
      </w:r>
      <w:r w:rsidR="0E16F349" w:rsidRPr="6324CA36">
        <w:rPr>
          <w:rFonts w:ascii="Segoe UI" w:hAnsi="Segoe UI" w:cs="Segoe UI"/>
        </w:rPr>
        <w:t xml:space="preserve">comprise </w:t>
      </w:r>
      <w:r w:rsidR="564CA0EF" w:rsidRPr="6324CA36">
        <w:rPr>
          <w:rFonts w:ascii="Segoe UI" w:hAnsi="Segoe UI" w:cs="Segoe UI"/>
        </w:rPr>
        <w:t xml:space="preserve">the agency’s fee setting policy factors and </w:t>
      </w:r>
      <w:r w:rsidR="64C5E143" w:rsidRPr="6324CA36">
        <w:rPr>
          <w:rFonts w:ascii="Segoe UI" w:hAnsi="Segoe UI" w:cs="Segoe UI"/>
        </w:rPr>
        <w:t>strategic priorities</w:t>
      </w:r>
      <w:r w:rsidR="265CF4AD" w:rsidRPr="6324CA36">
        <w:rPr>
          <w:rFonts w:ascii="Segoe UI" w:hAnsi="Segoe UI" w:cs="Segoe UI"/>
        </w:rPr>
        <w:t xml:space="preserve"> (goals, objectives</w:t>
      </w:r>
      <w:r w:rsidR="1F9E5888" w:rsidRPr="6324CA36">
        <w:rPr>
          <w:rFonts w:ascii="Segoe UI" w:hAnsi="Segoe UI" w:cs="Segoe UI"/>
        </w:rPr>
        <w:t>,</w:t>
      </w:r>
      <w:r w:rsidR="265CF4AD" w:rsidRPr="6324CA36">
        <w:rPr>
          <w:rFonts w:ascii="Segoe UI" w:hAnsi="Segoe UI" w:cs="Segoe UI"/>
        </w:rPr>
        <w:t xml:space="preserve"> and </w:t>
      </w:r>
      <w:r w:rsidR="00C576DF" w:rsidRPr="6324CA36">
        <w:rPr>
          <w:rFonts w:ascii="Segoe UI" w:hAnsi="Segoe UI" w:cs="Segoe UI"/>
        </w:rPr>
        <w:t xml:space="preserve">key performance </w:t>
      </w:r>
      <w:r w:rsidR="32475BD2" w:rsidRPr="6324CA36">
        <w:rPr>
          <w:rFonts w:ascii="Segoe UI" w:hAnsi="Segoe UI" w:cs="Segoe UI"/>
        </w:rPr>
        <w:t>indicators</w:t>
      </w:r>
      <w:r w:rsidR="265CF4AD" w:rsidRPr="6324CA36">
        <w:rPr>
          <w:rFonts w:ascii="Segoe UI" w:hAnsi="Segoe UI" w:cs="Segoe UI"/>
        </w:rPr>
        <w:t>)</w:t>
      </w:r>
      <w:r w:rsidR="64C5E143" w:rsidRPr="6324CA36">
        <w:rPr>
          <w:rFonts w:ascii="Segoe UI" w:hAnsi="Segoe UI" w:cs="Segoe UI"/>
        </w:rPr>
        <w:t xml:space="preserve"> from the </w:t>
      </w:r>
      <w:hyperlink r:id="rId18">
        <w:r w:rsidR="1BAE9177" w:rsidRPr="6324CA36">
          <w:rPr>
            <w:rStyle w:val="Hyperlink"/>
            <w:rFonts w:ascii="Segoe UI" w:eastAsia="Segoe UI" w:hAnsi="Segoe UI" w:cs="Segoe UI"/>
            <w:szCs w:val="24"/>
          </w:rPr>
          <w:t>USPTO 2022–2026 Strategic Plan (Strategic Plan)</w:t>
        </w:r>
      </w:hyperlink>
      <w:r w:rsidR="1486951A" w:rsidRPr="6324CA36">
        <w:rPr>
          <w:rFonts w:ascii="Segoe UI" w:hAnsi="Segoe UI" w:cs="Segoe UI"/>
        </w:rPr>
        <w:t>.</w:t>
      </w:r>
      <w:r w:rsidR="32EC5D23" w:rsidRPr="6324CA36">
        <w:rPr>
          <w:rFonts w:ascii="Segoe UI" w:hAnsi="Segoe UI" w:cs="Segoe UI"/>
        </w:rPr>
        <w:t xml:space="preserve"> </w:t>
      </w:r>
      <w:r w:rsidR="3DBB4B6E" w:rsidRPr="6324CA36">
        <w:rPr>
          <w:rFonts w:ascii="Segoe UI" w:hAnsi="Segoe UI" w:cs="Segoe UI"/>
        </w:rPr>
        <w:t>More information can be found in the</w:t>
      </w:r>
      <w:r w:rsidR="007D1279" w:rsidRPr="6324CA36">
        <w:rPr>
          <w:rFonts w:ascii="Segoe UI" w:hAnsi="Segoe UI" w:cs="Segoe UI"/>
        </w:rPr>
        <w:t xml:space="preserve"> final rule</w:t>
      </w:r>
      <w:r w:rsidR="0DFB604E" w:rsidRPr="6324CA36">
        <w:rPr>
          <w:rFonts w:ascii="Segoe UI" w:hAnsi="Segoe UI" w:cs="Segoe UI"/>
        </w:rPr>
        <w:t xml:space="preserve">, </w:t>
      </w:r>
      <w:r w:rsidR="3DBB4B6E" w:rsidRPr="6324CA36">
        <w:rPr>
          <w:rFonts w:ascii="Segoe UI" w:hAnsi="Segoe UI" w:cs="Segoe UI"/>
        </w:rPr>
        <w:t xml:space="preserve">Part IV: Rulemaking Goals and Strategies. </w:t>
      </w:r>
      <w:r w:rsidR="654F3212" w:rsidRPr="6324CA36">
        <w:rPr>
          <w:rFonts w:ascii="Segoe UI" w:hAnsi="Segoe UI" w:cs="Segoe UI"/>
        </w:rPr>
        <w:t xml:space="preserve">From this conceptual </w:t>
      </w:r>
      <w:r w:rsidR="654F3212" w:rsidRPr="6324CA36">
        <w:rPr>
          <w:rFonts w:ascii="Segoe UI" w:hAnsi="Segoe UI" w:cs="Segoe UI"/>
        </w:rPr>
        <w:lastRenderedPageBreak/>
        <w:t>framework,</w:t>
      </w:r>
      <w:r w:rsidR="350C321B" w:rsidRPr="6324CA36">
        <w:rPr>
          <w:rFonts w:ascii="Segoe UI" w:hAnsi="Segoe UI" w:cs="Segoe UI"/>
        </w:rPr>
        <w:t xml:space="preserve"> the USPTO assessed</w:t>
      </w:r>
      <w:r w:rsidR="654F3212" w:rsidRPr="6324CA36">
        <w:rPr>
          <w:rFonts w:ascii="Segoe UI" w:hAnsi="Segoe UI" w:cs="Segoe UI"/>
        </w:rPr>
        <w:t xml:space="preserve"> </w:t>
      </w:r>
      <w:r w:rsidRPr="6324CA36">
        <w:rPr>
          <w:rFonts w:ascii="Segoe UI" w:hAnsi="Segoe UI" w:cs="Segoe UI"/>
        </w:rPr>
        <w:t xml:space="preserve">each alternative </w:t>
      </w:r>
      <w:r w:rsidR="1C1C54EB" w:rsidRPr="6324CA36">
        <w:rPr>
          <w:rFonts w:ascii="Segoe UI" w:hAnsi="Segoe UI" w:cs="Segoe UI"/>
        </w:rPr>
        <w:t>for</w:t>
      </w:r>
      <w:r w:rsidR="654F3212" w:rsidRPr="6324CA36">
        <w:rPr>
          <w:rFonts w:ascii="Segoe UI" w:hAnsi="Segoe UI" w:cs="Segoe UI"/>
        </w:rPr>
        <w:t xml:space="preserve"> </w:t>
      </w:r>
      <w:r w:rsidR="350C321B" w:rsidRPr="6324CA36">
        <w:rPr>
          <w:rFonts w:ascii="Segoe UI" w:hAnsi="Segoe UI" w:cs="Segoe UI"/>
        </w:rPr>
        <w:t xml:space="preserve">both </w:t>
      </w:r>
      <w:r w:rsidR="654F3212" w:rsidRPr="6324CA36">
        <w:rPr>
          <w:rFonts w:ascii="Segoe UI" w:hAnsi="Segoe UI" w:cs="Segoe UI"/>
        </w:rPr>
        <w:t xml:space="preserve">absolute and relative </w:t>
      </w:r>
      <w:r w:rsidR="64C5E143" w:rsidRPr="6324CA36">
        <w:rPr>
          <w:rFonts w:ascii="Segoe UI" w:hAnsi="Segoe UI" w:cs="Segoe UI"/>
        </w:rPr>
        <w:t>qualitative costs and benefits</w:t>
      </w:r>
      <w:r w:rsidR="04122223" w:rsidRPr="6324CA36">
        <w:rPr>
          <w:rFonts w:ascii="Segoe UI" w:hAnsi="Segoe UI" w:cs="Segoe UI"/>
        </w:rPr>
        <w:t>.</w:t>
      </w:r>
    </w:p>
    <w:p w14:paraId="36B40ECC" w14:textId="5AC51EBE" w:rsidR="008875C2" w:rsidRPr="00CF6436" w:rsidRDefault="63CA2063" w:rsidP="00EA247B">
      <w:pPr>
        <w:pStyle w:val="ListParagraph"/>
        <w:numPr>
          <w:ilvl w:val="0"/>
          <w:numId w:val="9"/>
        </w:numPr>
        <w:spacing w:line="360" w:lineRule="auto"/>
        <w:rPr>
          <w:rFonts w:ascii="Segoe UI" w:hAnsi="Segoe UI" w:cs="Segoe UI"/>
        </w:rPr>
      </w:pPr>
      <w:r w:rsidRPr="3E055338">
        <w:rPr>
          <w:rFonts w:ascii="Segoe UI" w:hAnsi="Segoe UI" w:cs="Segoe UI"/>
        </w:rPr>
        <w:t>Alternative 1:</w:t>
      </w:r>
      <w:r w:rsidR="00C5760B">
        <w:rPr>
          <w:rFonts w:ascii="Segoe UI" w:hAnsi="Segoe UI" w:cs="Segoe UI"/>
        </w:rPr>
        <w:t xml:space="preserve"> </w:t>
      </w:r>
      <w:r w:rsidR="00562765">
        <w:rPr>
          <w:rFonts w:ascii="Segoe UI" w:hAnsi="Segoe UI" w:cs="Segoe UI"/>
        </w:rPr>
        <w:t xml:space="preserve">Final </w:t>
      </w:r>
      <w:r w:rsidR="30A8F107" w:rsidRPr="3E055338">
        <w:rPr>
          <w:rFonts w:ascii="Segoe UI" w:hAnsi="Segoe UI" w:cs="Segoe UI"/>
        </w:rPr>
        <w:t xml:space="preserve">Patent </w:t>
      </w:r>
      <w:r w:rsidRPr="3E055338">
        <w:rPr>
          <w:rFonts w:ascii="Segoe UI" w:hAnsi="Segoe UI" w:cs="Segoe UI"/>
        </w:rPr>
        <w:t>Fee Schedule</w:t>
      </w:r>
      <w:r w:rsidR="655CBE63" w:rsidRPr="3E055338">
        <w:rPr>
          <w:rFonts w:ascii="Segoe UI" w:hAnsi="Segoe UI" w:cs="Segoe UI"/>
        </w:rPr>
        <w:t>—</w:t>
      </w:r>
      <w:r w:rsidRPr="3E055338">
        <w:rPr>
          <w:rFonts w:ascii="Segoe UI" w:hAnsi="Segoe UI" w:cs="Segoe UI"/>
        </w:rPr>
        <w:t>Set</w:t>
      </w:r>
      <w:r w:rsidR="1F9EA2B4" w:rsidRPr="3E055338">
        <w:rPr>
          <w:rFonts w:ascii="Segoe UI" w:hAnsi="Segoe UI" w:cs="Segoe UI"/>
        </w:rPr>
        <w:t>ting</w:t>
      </w:r>
      <w:r w:rsidRPr="3E055338">
        <w:rPr>
          <w:rFonts w:ascii="Segoe UI" w:hAnsi="Segoe UI" w:cs="Segoe UI"/>
        </w:rPr>
        <w:t xml:space="preserve"> and Adjust</w:t>
      </w:r>
      <w:r w:rsidR="1F9EA2B4" w:rsidRPr="3E055338">
        <w:rPr>
          <w:rFonts w:ascii="Segoe UI" w:hAnsi="Segoe UI" w:cs="Segoe UI"/>
        </w:rPr>
        <w:t>ing</w:t>
      </w:r>
      <w:r w:rsidRPr="3E055338">
        <w:rPr>
          <w:rFonts w:ascii="Segoe UI" w:hAnsi="Segoe UI" w:cs="Segoe UI"/>
        </w:rPr>
        <w:t xml:space="preserve"> Patent Fees </w:t>
      </w:r>
      <w:r w:rsidR="65F3EE69" w:rsidRPr="5038052D">
        <w:rPr>
          <w:rFonts w:ascii="Segoe UI" w:hAnsi="Segoe UI" w:cs="Segoe UI"/>
        </w:rPr>
        <w:t>D</w:t>
      </w:r>
      <w:r w:rsidR="470A6C89" w:rsidRPr="5038052D">
        <w:rPr>
          <w:rFonts w:ascii="Segoe UI" w:hAnsi="Segoe UI" w:cs="Segoe UI"/>
        </w:rPr>
        <w:t>uring</w:t>
      </w:r>
      <w:r w:rsidRPr="3E055338">
        <w:rPr>
          <w:rFonts w:ascii="Segoe UI" w:hAnsi="Segoe UI" w:cs="Segoe UI"/>
        </w:rPr>
        <w:t xml:space="preserve"> Fiscal Year 20</w:t>
      </w:r>
      <w:r w:rsidR="1B33181E" w:rsidRPr="3E055338">
        <w:rPr>
          <w:rFonts w:ascii="Segoe UI" w:hAnsi="Segoe UI" w:cs="Segoe UI"/>
        </w:rPr>
        <w:t>2</w:t>
      </w:r>
      <w:r w:rsidR="0C9B00D1" w:rsidRPr="3E055338">
        <w:rPr>
          <w:rFonts w:ascii="Segoe UI" w:hAnsi="Segoe UI" w:cs="Segoe UI"/>
        </w:rPr>
        <w:t>5</w:t>
      </w:r>
      <w:r w:rsidRPr="3E055338">
        <w:rPr>
          <w:rFonts w:ascii="Segoe UI" w:hAnsi="Segoe UI" w:cs="Segoe UI"/>
        </w:rPr>
        <w:t xml:space="preserve"> </w:t>
      </w:r>
      <w:r w:rsidR="7F9B1DE1" w:rsidRPr="3E055338">
        <w:rPr>
          <w:rFonts w:ascii="Segoe UI" w:hAnsi="Segoe UI" w:cs="Segoe UI"/>
        </w:rPr>
        <w:t>(</w:t>
      </w:r>
      <w:r w:rsidR="00562765">
        <w:rPr>
          <w:rFonts w:ascii="Segoe UI" w:hAnsi="Segoe UI" w:cs="Segoe UI"/>
        </w:rPr>
        <w:t xml:space="preserve">Final </w:t>
      </w:r>
      <w:r w:rsidR="7F9B1DE1" w:rsidRPr="3E055338">
        <w:rPr>
          <w:rFonts w:ascii="Segoe UI" w:hAnsi="Segoe UI" w:cs="Segoe UI"/>
        </w:rPr>
        <w:t>Patent Fee Schedule)</w:t>
      </w:r>
      <w:r w:rsidR="655CBE63" w:rsidRPr="3E055338">
        <w:rPr>
          <w:rFonts w:ascii="Segoe UI" w:hAnsi="Segoe UI" w:cs="Segoe UI"/>
        </w:rPr>
        <w:t>—</w:t>
      </w:r>
      <w:r w:rsidR="0D0E25F1" w:rsidRPr="5038052D">
        <w:rPr>
          <w:rFonts w:ascii="Segoe UI" w:hAnsi="Segoe UI" w:cs="Segoe UI"/>
        </w:rPr>
        <w:t>t</w:t>
      </w:r>
      <w:r w:rsidR="470A6C89" w:rsidRPr="5038052D">
        <w:rPr>
          <w:rFonts w:ascii="Segoe UI" w:hAnsi="Segoe UI" w:cs="Segoe UI"/>
        </w:rPr>
        <w:t xml:space="preserve">he </w:t>
      </w:r>
      <w:r w:rsidRPr="3E055338">
        <w:rPr>
          <w:rFonts w:ascii="Segoe UI" w:hAnsi="Segoe UI" w:cs="Segoe UI"/>
        </w:rPr>
        <w:t>fee schedule detailed in the</w:t>
      </w:r>
      <w:r w:rsidR="007D1279">
        <w:rPr>
          <w:rFonts w:ascii="Segoe UI" w:hAnsi="Segoe UI" w:cs="Segoe UI"/>
        </w:rPr>
        <w:t xml:space="preserve"> final rule</w:t>
      </w:r>
      <w:r w:rsidR="007D0288" w:rsidRPr="007D0288">
        <w:t xml:space="preserve"> </w:t>
      </w:r>
      <w:r w:rsidR="007D0288" w:rsidRPr="007D0288">
        <w:rPr>
          <w:rFonts w:ascii="Segoe UI" w:hAnsi="Segoe UI" w:cs="Segoe UI"/>
        </w:rPr>
        <w:t xml:space="preserve">to produce </w:t>
      </w:r>
      <w:r w:rsidR="56B6E9C6" w:rsidRPr="5038052D">
        <w:rPr>
          <w:rFonts w:ascii="Segoe UI" w:hAnsi="Segoe UI" w:cs="Segoe UI"/>
        </w:rPr>
        <w:t>sufficient</w:t>
      </w:r>
      <w:r w:rsidR="007D0288" w:rsidRPr="007D0288">
        <w:rPr>
          <w:rFonts w:ascii="Segoe UI" w:hAnsi="Segoe UI" w:cs="Segoe UI"/>
        </w:rPr>
        <w:t xml:space="preserve"> aggregate revenue to fund the aggregate costs of future budgetary requirements.</w:t>
      </w:r>
    </w:p>
    <w:p w14:paraId="34A867F3" w14:textId="6921C280" w:rsidR="008545EE" w:rsidRPr="00CF6436" w:rsidRDefault="2ABEDD95" w:rsidP="00EA247B">
      <w:pPr>
        <w:pStyle w:val="ListParagraph"/>
        <w:numPr>
          <w:ilvl w:val="0"/>
          <w:numId w:val="9"/>
        </w:numPr>
        <w:spacing w:line="360" w:lineRule="auto"/>
        <w:rPr>
          <w:rFonts w:ascii="Segoe UI" w:hAnsi="Segoe UI" w:cs="Segoe UI"/>
        </w:rPr>
      </w:pPr>
      <w:r w:rsidRPr="26A8B252">
        <w:rPr>
          <w:rFonts w:ascii="Segoe UI" w:hAnsi="Segoe UI" w:cs="Segoe UI"/>
        </w:rPr>
        <w:t>Alternative 2: Unit Cost Recovery</w:t>
      </w:r>
      <w:r w:rsidR="214D138C" w:rsidRPr="26A8B252">
        <w:rPr>
          <w:rFonts w:ascii="Segoe UI" w:hAnsi="Segoe UI" w:cs="Segoe UI"/>
        </w:rPr>
        <w:t>—</w:t>
      </w:r>
      <w:r w:rsidR="00CD0B9E" w:rsidRPr="5038052D">
        <w:rPr>
          <w:rFonts w:ascii="Segoe UI" w:hAnsi="Segoe UI" w:cs="Segoe UI"/>
        </w:rPr>
        <w:t>a</w:t>
      </w:r>
      <w:r w:rsidRPr="26A8B252">
        <w:rPr>
          <w:rFonts w:ascii="Segoe UI" w:hAnsi="Segoe UI" w:cs="Segoe UI"/>
        </w:rPr>
        <w:t xml:space="preserve"> fee schedule that generally sets fees equal to their individual </w:t>
      </w:r>
      <w:r w:rsidR="00516E38" w:rsidRPr="26A8B252">
        <w:rPr>
          <w:rFonts w:ascii="Segoe UI" w:hAnsi="Segoe UI" w:cs="Segoe UI"/>
        </w:rPr>
        <w:t>activity-based</w:t>
      </w:r>
      <w:r w:rsidRPr="26A8B252">
        <w:rPr>
          <w:rFonts w:ascii="Segoe UI" w:hAnsi="Segoe UI" w:cs="Segoe UI"/>
        </w:rPr>
        <w:t xml:space="preserve"> unit cost (where that information is available) to produce adequate </w:t>
      </w:r>
      <w:r w:rsidR="00364FFF" w:rsidRPr="26A8B252">
        <w:rPr>
          <w:rFonts w:ascii="Segoe UI" w:hAnsi="Segoe UI" w:cs="Segoe UI"/>
        </w:rPr>
        <w:t xml:space="preserve">aggregate </w:t>
      </w:r>
      <w:r w:rsidRPr="26A8B252">
        <w:rPr>
          <w:rFonts w:ascii="Segoe UI" w:hAnsi="Segoe UI" w:cs="Segoe UI"/>
        </w:rPr>
        <w:t xml:space="preserve">revenue to fund </w:t>
      </w:r>
      <w:r w:rsidR="00364FFF" w:rsidRPr="26A8B252">
        <w:rPr>
          <w:rFonts w:ascii="Segoe UI" w:hAnsi="Segoe UI" w:cs="Segoe UI"/>
        </w:rPr>
        <w:t>the aggregate cost</w:t>
      </w:r>
      <w:r w:rsidR="00797551">
        <w:rPr>
          <w:rFonts w:ascii="Segoe UI" w:hAnsi="Segoe UI" w:cs="Segoe UI"/>
        </w:rPr>
        <w:t>s</w:t>
      </w:r>
      <w:r w:rsidR="00364FFF" w:rsidRPr="26A8B252">
        <w:rPr>
          <w:rFonts w:ascii="Segoe UI" w:hAnsi="Segoe UI" w:cs="Segoe UI"/>
        </w:rPr>
        <w:t xml:space="preserve"> of </w:t>
      </w:r>
      <w:r w:rsidR="6721EEAF" w:rsidRPr="26A8B252">
        <w:rPr>
          <w:rFonts w:ascii="Segoe UI" w:hAnsi="Segoe UI" w:cs="Segoe UI"/>
        </w:rPr>
        <w:t xml:space="preserve">future </w:t>
      </w:r>
      <w:r w:rsidRPr="26A8B252">
        <w:rPr>
          <w:rFonts w:ascii="Segoe UI" w:hAnsi="Segoe UI" w:cs="Segoe UI"/>
        </w:rPr>
        <w:t>budgetary requirements</w:t>
      </w:r>
    </w:p>
    <w:p w14:paraId="3BA8A5D3" w14:textId="638C1D91" w:rsidR="008545EE" w:rsidRPr="00CF6436" w:rsidRDefault="6614E9F3" w:rsidP="00EA247B">
      <w:pPr>
        <w:pStyle w:val="ListParagraph"/>
        <w:numPr>
          <w:ilvl w:val="0"/>
          <w:numId w:val="9"/>
        </w:numPr>
        <w:spacing w:line="360" w:lineRule="auto"/>
        <w:rPr>
          <w:rFonts w:ascii="Segoe UI" w:hAnsi="Segoe UI" w:cs="Segoe UI"/>
        </w:rPr>
      </w:pPr>
      <w:r w:rsidRPr="26A8B252">
        <w:rPr>
          <w:rFonts w:ascii="Segoe UI" w:hAnsi="Segoe UI" w:cs="Segoe UI"/>
        </w:rPr>
        <w:t>Alternative 3: Across</w:t>
      </w:r>
      <w:r w:rsidR="75AFC762" w:rsidRPr="26A8B252">
        <w:rPr>
          <w:rFonts w:ascii="Segoe UI" w:hAnsi="Segoe UI" w:cs="Segoe UI"/>
        </w:rPr>
        <w:t>-</w:t>
      </w:r>
      <w:r w:rsidRPr="26A8B252">
        <w:rPr>
          <w:rFonts w:ascii="Segoe UI" w:hAnsi="Segoe UI" w:cs="Segoe UI"/>
        </w:rPr>
        <w:t>the</w:t>
      </w:r>
      <w:r w:rsidR="75AFC762" w:rsidRPr="26A8B252">
        <w:rPr>
          <w:rFonts w:ascii="Segoe UI" w:hAnsi="Segoe UI" w:cs="Segoe UI"/>
        </w:rPr>
        <w:t>-</w:t>
      </w:r>
      <w:r w:rsidRPr="26A8B252">
        <w:rPr>
          <w:rFonts w:ascii="Segoe UI" w:hAnsi="Segoe UI" w:cs="Segoe UI"/>
        </w:rPr>
        <w:t>Board Adjustment</w:t>
      </w:r>
      <w:r w:rsidR="75AFC762" w:rsidRPr="26A8B252">
        <w:rPr>
          <w:rFonts w:ascii="Segoe UI" w:hAnsi="Segoe UI" w:cs="Segoe UI"/>
        </w:rPr>
        <w:t>—</w:t>
      </w:r>
      <w:r w:rsidR="00CD0B9E" w:rsidRPr="5038052D">
        <w:rPr>
          <w:rFonts w:ascii="Segoe UI" w:hAnsi="Segoe UI" w:cs="Segoe UI"/>
        </w:rPr>
        <w:t>a</w:t>
      </w:r>
      <w:r w:rsidRPr="26A8B252">
        <w:rPr>
          <w:rFonts w:ascii="Segoe UI" w:hAnsi="Segoe UI" w:cs="Segoe UI"/>
        </w:rPr>
        <w:t xml:space="preserve"> fee schedule that generally applies </w:t>
      </w:r>
      <w:r w:rsidRPr="00A405F1">
        <w:rPr>
          <w:rFonts w:ascii="Segoe UI" w:hAnsi="Segoe UI" w:cs="Segoe UI"/>
        </w:rPr>
        <w:t xml:space="preserve">a </w:t>
      </w:r>
      <w:r w:rsidR="7FAFDDDC" w:rsidRPr="000F20DC">
        <w:rPr>
          <w:rFonts w:ascii="Segoe UI" w:hAnsi="Segoe UI" w:cs="Segoe UI"/>
        </w:rPr>
        <w:t>1</w:t>
      </w:r>
      <w:r w:rsidR="5CDE379C" w:rsidRPr="000F20DC">
        <w:rPr>
          <w:rFonts w:ascii="Segoe UI" w:hAnsi="Segoe UI" w:cs="Segoe UI"/>
        </w:rPr>
        <w:t>2</w:t>
      </w:r>
      <w:r w:rsidRPr="000F20DC">
        <w:rPr>
          <w:rFonts w:ascii="Segoe UI" w:hAnsi="Segoe UI" w:cs="Segoe UI"/>
        </w:rPr>
        <w:t>.</w:t>
      </w:r>
      <w:r w:rsidR="5CDE379C" w:rsidRPr="000F20DC">
        <w:rPr>
          <w:rFonts w:ascii="Segoe UI" w:hAnsi="Segoe UI" w:cs="Segoe UI"/>
        </w:rPr>
        <w:t>5</w:t>
      </w:r>
      <w:r w:rsidR="5B4B1694" w:rsidRPr="00A405F1">
        <w:rPr>
          <w:rFonts w:ascii="Segoe UI" w:hAnsi="Segoe UI" w:cs="Segoe UI"/>
        </w:rPr>
        <w:t>%</w:t>
      </w:r>
      <w:r w:rsidRPr="00A405F1">
        <w:rPr>
          <w:rFonts w:ascii="Segoe UI" w:hAnsi="Segoe UI" w:cs="Segoe UI"/>
        </w:rPr>
        <w:t xml:space="preserve"> inflationary</w:t>
      </w:r>
      <w:r w:rsidRPr="26A8B252">
        <w:rPr>
          <w:rFonts w:ascii="Segoe UI" w:hAnsi="Segoe UI" w:cs="Segoe UI"/>
        </w:rPr>
        <w:t xml:space="preserve"> factor to the Baseline (Alternative 4) to produce adequate </w:t>
      </w:r>
      <w:r w:rsidR="00364FFF" w:rsidRPr="26A8B252">
        <w:rPr>
          <w:rFonts w:ascii="Segoe UI" w:hAnsi="Segoe UI" w:cs="Segoe UI"/>
        </w:rPr>
        <w:t xml:space="preserve">aggregate </w:t>
      </w:r>
      <w:r w:rsidRPr="26A8B252">
        <w:rPr>
          <w:rFonts w:ascii="Segoe UI" w:hAnsi="Segoe UI" w:cs="Segoe UI"/>
        </w:rPr>
        <w:t xml:space="preserve">revenue to fund </w:t>
      </w:r>
      <w:r w:rsidR="00364FFF" w:rsidRPr="26A8B252">
        <w:rPr>
          <w:rFonts w:ascii="Segoe UI" w:hAnsi="Segoe UI" w:cs="Segoe UI"/>
        </w:rPr>
        <w:t>the aggregate cost</w:t>
      </w:r>
      <w:r w:rsidR="00CD0B9E">
        <w:rPr>
          <w:rFonts w:ascii="Segoe UI" w:hAnsi="Segoe UI" w:cs="Segoe UI"/>
        </w:rPr>
        <w:t>s</w:t>
      </w:r>
      <w:r w:rsidR="00364FFF" w:rsidRPr="26A8B252">
        <w:rPr>
          <w:rFonts w:ascii="Segoe UI" w:hAnsi="Segoe UI" w:cs="Segoe UI"/>
        </w:rPr>
        <w:t xml:space="preserve"> of </w:t>
      </w:r>
      <w:r w:rsidR="2CB24736" w:rsidRPr="26A8B252">
        <w:rPr>
          <w:rFonts w:ascii="Segoe UI" w:hAnsi="Segoe UI" w:cs="Segoe UI"/>
        </w:rPr>
        <w:t xml:space="preserve">future </w:t>
      </w:r>
      <w:r w:rsidRPr="26A8B252">
        <w:rPr>
          <w:rFonts w:ascii="Segoe UI" w:hAnsi="Segoe UI" w:cs="Segoe UI"/>
        </w:rPr>
        <w:t>budgetary requirements</w:t>
      </w:r>
    </w:p>
    <w:p w14:paraId="4FEE739B" w14:textId="703D48E4" w:rsidR="008875C2" w:rsidRPr="00CF6436" w:rsidRDefault="00323246" w:rsidP="00EA247B">
      <w:pPr>
        <w:pStyle w:val="ListParagraph"/>
        <w:numPr>
          <w:ilvl w:val="0"/>
          <w:numId w:val="9"/>
        </w:numPr>
        <w:spacing w:line="360" w:lineRule="auto"/>
        <w:rPr>
          <w:rFonts w:ascii="Segoe UI" w:hAnsi="Segoe UI" w:cs="Segoe UI"/>
        </w:rPr>
      </w:pPr>
      <w:r w:rsidRPr="00CF6436">
        <w:rPr>
          <w:rFonts w:ascii="Segoe UI" w:hAnsi="Segoe UI" w:cs="Segoe UI"/>
        </w:rPr>
        <w:t>Alternative 4</w:t>
      </w:r>
      <w:r w:rsidR="008875C2" w:rsidRPr="00CF6436">
        <w:rPr>
          <w:rFonts w:ascii="Segoe UI" w:hAnsi="Segoe UI" w:cs="Segoe UI"/>
        </w:rPr>
        <w:t>: Baseline</w:t>
      </w:r>
      <w:r w:rsidR="008F7884" w:rsidRPr="00CF6436">
        <w:rPr>
          <w:rFonts w:ascii="Segoe UI" w:hAnsi="Segoe UI" w:cs="Segoe UI"/>
        </w:rPr>
        <w:t>—</w:t>
      </w:r>
      <w:r w:rsidR="12B55386" w:rsidRPr="5038052D">
        <w:rPr>
          <w:rFonts w:ascii="Segoe UI" w:hAnsi="Segoe UI" w:cs="Segoe UI"/>
        </w:rPr>
        <w:t>c</w:t>
      </w:r>
      <w:r w:rsidR="7065E165" w:rsidRPr="5038052D">
        <w:rPr>
          <w:rFonts w:ascii="Segoe UI" w:hAnsi="Segoe UI" w:cs="Segoe UI"/>
        </w:rPr>
        <w:t>urrent</w:t>
      </w:r>
      <w:r w:rsidR="008875C2" w:rsidRPr="00CF6436">
        <w:rPr>
          <w:rFonts w:ascii="Segoe UI" w:hAnsi="Segoe UI" w:cs="Segoe UI"/>
        </w:rPr>
        <w:t xml:space="preserve"> fee schedule that became effective on </w:t>
      </w:r>
      <w:r w:rsidR="00497C7E" w:rsidRPr="00CF6436">
        <w:rPr>
          <w:rFonts w:ascii="Segoe UI" w:hAnsi="Segoe UI" w:cs="Segoe UI"/>
        </w:rPr>
        <w:t>December 29, 2022</w:t>
      </w:r>
    </w:p>
    <w:p w14:paraId="361EED22" w14:textId="200B0B0A" w:rsidR="00162AE6" w:rsidRPr="00CF6436" w:rsidRDefault="1F814156" w:rsidP="735B2AB6">
      <w:pPr>
        <w:spacing w:line="360" w:lineRule="auto"/>
        <w:ind w:firstLine="450"/>
        <w:rPr>
          <w:rFonts w:ascii="Segoe UI" w:hAnsi="Segoe UI" w:cs="Segoe UI"/>
        </w:rPr>
      </w:pPr>
      <w:r w:rsidRPr="736A6D4F">
        <w:rPr>
          <w:rFonts w:ascii="Segoe UI" w:hAnsi="Segoe UI" w:cs="Segoe UI"/>
        </w:rPr>
        <w:t>The</w:t>
      </w:r>
      <w:r w:rsidR="62C0E169" w:rsidRPr="736A6D4F">
        <w:rPr>
          <w:rFonts w:ascii="Segoe UI" w:hAnsi="Segoe UI" w:cs="Segoe UI"/>
        </w:rPr>
        <w:t xml:space="preserve"> USPTO </w:t>
      </w:r>
      <w:r w:rsidR="5DBE642A" w:rsidRPr="736A6D4F">
        <w:rPr>
          <w:rFonts w:ascii="Segoe UI" w:hAnsi="Segoe UI" w:cs="Segoe UI"/>
        </w:rPr>
        <w:t>intentionally developed and considered each</w:t>
      </w:r>
      <w:r w:rsidRPr="736A6D4F">
        <w:rPr>
          <w:rFonts w:ascii="Segoe UI" w:hAnsi="Segoe UI" w:cs="Segoe UI"/>
        </w:rPr>
        <w:t xml:space="preserve"> </w:t>
      </w:r>
      <w:r w:rsidR="71A4E006" w:rsidRPr="736A6D4F">
        <w:rPr>
          <w:rFonts w:ascii="Segoe UI" w:hAnsi="Segoe UI" w:cs="Segoe UI"/>
        </w:rPr>
        <w:t>alternative</w:t>
      </w:r>
      <w:r w:rsidR="5DBE642A" w:rsidRPr="736A6D4F">
        <w:rPr>
          <w:rFonts w:ascii="Segoe UI" w:hAnsi="Segoe UI" w:cs="Segoe UI"/>
        </w:rPr>
        <w:t xml:space="preserve">, aside from the Baseline, </w:t>
      </w:r>
      <w:r w:rsidR="71A4E006" w:rsidRPr="736A6D4F">
        <w:rPr>
          <w:rFonts w:ascii="Segoe UI" w:hAnsi="Segoe UI" w:cs="Segoe UI"/>
        </w:rPr>
        <w:t>to</w:t>
      </w:r>
      <w:r w:rsidRPr="736A6D4F">
        <w:rPr>
          <w:rFonts w:ascii="Segoe UI" w:hAnsi="Segoe UI" w:cs="Segoe UI"/>
        </w:rPr>
        <w:t xml:space="preserve"> recover aggregate</w:t>
      </w:r>
      <w:r w:rsidR="71A4E006" w:rsidRPr="736A6D4F">
        <w:rPr>
          <w:rFonts w:ascii="Segoe UI" w:hAnsi="Segoe UI" w:cs="Segoe UI"/>
        </w:rPr>
        <w:t xml:space="preserve"> patent</w:t>
      </w:r>
      <w:r w:rsidRPr="736A6D4F">
        <w:rPr>
          <w:rFonts w:ascii="Segoe UI" w:hAnsi="Segoe UI" w:cs="Segoe UI"/>
        </w:rPr>
        <w:t xml:space="preserve"> costs</w:t>
      </w:r>
      <w:r w:rsidR="433FD952" w:rsidRPr="736A6D4F">
        <w:rPr>
          <w:rFonts w:ascii="Segoe UI" w:hAnsi="Segoe UI" w:cs="Segoe UI"/>
        </w:rPr>
        <w:t xml:space="preserve"> using the</w:t>
      </w:r>
      <w:r w:rsidR="28362638" w:rsidRPr="736A6D4F">
        <w:rPr>
          <w:rFonts w:ascii="Segoe UI" w:hAnsi="Segoe UI" w:cs="Segoe UI"/>
        </w:rPr>
        <w:t xml:space="preserve"> </w:t>
      </w:r>
      <w:r w:rsidR="7282502B" w:rsidRPr="736A6D4F">
        <w:rPr>
          <w:rFonts w:ascii="Segoe UI" w:hAnsi="Segoe UI" w:cs="Segoe UI"/>
        </w:rPr>
        <w:t xml:space="preserve">assumptions </w:t>
      </w:r>
      <w:r w:rsidR="7B34D5D0" w:rsidRPr="736A6D4F">
        <w:rPr>
          <w:rFonts w:ascii="Segoe UI" w:hAnsi="Segoe UI" w:cs="Segoe UI"/>
        </w:rPr>
        <w:t xml:space="preserve">included </w:t>
      </w:r>
      <w:r w:rsidRPr="736A6D4F">
        <w:rPr>
          <w:rFonts w:ascii="Segoe UI" w:hAnsi="Segoe UI" w:cs="Segoe UI"/>
        </w:rPr>
        <w:t xml:space="preserve">in the </w:t>
      </w:r>
      <w:r w:rsidR="5DBE642A" w:rsidRPr="736A6D4F">
        <w:rPr>
          <w:rFonts w:ascii="Segoe UI" w:hAnsi="Segoe UI" w:cs="Segoe UI"/>
        </w:rPr>
        <w:t xml:space="preserve">agency’s </w:t>
      </w:r>
      <w:r w:rsidR="6E8CB998" w:rsidRPr="736A6D4F">
        <w:rPr>
          <w:rFonts w:ascii="Segoe UI" w:hAnsi="Segoe UI" w:cs="Segoe UI"/>
        </w:rPr>
        <w:t>Fiscal Year (</w:t>
      </w:r>
      <w:r w:rsidRPr="736A6D4F">
        <w:rPr>
          <w:rFonts w:ascii="Segoe UI" w:hAnsi="Segoe UI" w:cs="Segoe UI"/>
        </w:rPr>
        <w:t>FY</w:t>
      </w:r>
      <w:r w:rsidR="362FA85A" w:rsidRPr="736A6D4F">
        <w:rPr>
          <w:rFonts w:ascii="Segoe UI" w:hAnsi="Segoe UI" w:cs="Segoe UI"/>
        </w:rPr>
        <w:t>)</w:t>
      </w:r>
      <w:r w:rsidRPr="736A6D4F">
        <w:rPr>
          <w:rFonts w:ascii="Segoe UI" w:hAnsi="Segoe UI" w:cs="Segoe UI"/>
        </w:rPr>
        <w:t xml:space="preserve"> 20</w:t>
      </w:r>
      <w:r w:rsidR="3D1E2C49" w:rsidRPr="736A6D4F">
        <w:rPr>
          <w:rFonts w:ascii="Segoe UI" w:hAnsi="Segoe UI" w:cs="Segoe UI"/>
        </w:rPr>
        <w:t>2</w:t>
      </w:r>
      <w:r w:rsidR="4FFA7608" w:rsidRPr="736A6D4F">
        <w:rPr>
          <w:rFonts w:ascii="Segoe UI" w:hAnsi="Segoe UI" w:cs="Segoe UI"/>
        </w:rPr>
        <w:t>5</w:t>
      </w:r>
      <w:r w:rsidRPr="736A6D4F">
        <w:rPr>
          <w:rFonts w:ascii="Segoe UI" w:hAnsi="Segoe UI" w:cs="Segoe UI"/>
        </w:rPr>
        <w:t xml:space="preserve"> </w:t>
      </w:r>
      <w:r w:rsidR="362FA85A" w:rsidRPr="736A6D4F">
        <w:rPr>
          <w:rFonts w:ascii="Segoe UI" w:hAnsi="Segoe UI" w:cs="Segoe UI"/>
        </w:rPr>
        <w:t>Congressional Justification</w:t>
      </w:r>
      <w:r w:rsidR="6E8CB998" w:rsidRPr="736A6D4F">
        <w:rPr>
          <w:rFonts w:ascii="Segoe UI" w:hAnsi="Segoe UI" w:cs="Segoe UI"/>
        </w:rPr>
        <w:t xml:space="preserve"> (FY </w:t>
      </w:r>
      <w:r w:rsidR="3E1431FF" w:rsidRPr="736A6D4F">
        <w:rPr>
          <w:rFonts w:ascii="Segoe UI" w:hAnsi="Segoe UI" w:cs="Segoe UI"/>
        </w:rPr>
        <w:t>202</w:t>
      </w:r>
      <w:r w:rsidR="4FFA7608" w:rsidRPr="736A6D4F">
        <w:rPr>
          <w:rFonts w:ascii="Segoe UI" w:hAnsi="Segoe UI" w:cs="Segoe UI"/>
        </w:rPr>
        <w:t>5</w:t>
      </w:r>
      <w:r w:rsidR="3E1431FF" w:rsidRPr="736A6D4F">
        <w:rPr>
          <w:rFonts w:ascii="Segoe UI" w:hAnsi="Segoe UI" w:cs="Segoe UI"/>
        </w:rPr>
        <w:t xml:space="preserve"> Budget</w:t>
      </w:r>
      <w:r w:rsidR="6E8CB998" w:rsidRPr="736A6D4F">
        <w:rPr>
          <w:rFonts w:ascii="Segoe UI" w:hAnsi="Segoe UI" w:cs="Segoe UI"/>
        </w:rPr>
        <w:t>)</w:t>
      </w:r>
      <w:r w:rsidRPr="736A6D4F">
        <w:rPr>
          <w:rFonts w:ascii="Segoe UI" w:hAnsi="Segoe UI" w:cs="Segoe UI"/>
        </w:rPr>
        <w:t>.</w:t>
      </w:r>
      <w:r w:rsidR="6558CFEB" w:rsidRPr="736A6D4F">
        <w:rPr>
          <w:rFonts w:ascii="Segoe UI" w:hAnsi="Segoe UI" w:cs="Segoe UI"/>
        </w:rPr>
        <w:t xml:space="preserve"> </w:t>
      </w:r>
      <w:r w:rsidR="6AF13555" w:rsidRPr="736A6D4F">
        <w:rPr>
          <w:rFonts w:ascii="Segoe UI" w:hAnsi="Segoe UI" w:cs="Segoe UI"/>
        </w:rPr>
        <w:t>All four alternatives apply equally to all patent applicants</w:t>
      </w:r>
      <w:r w:rsidR="004906EC">
        <w:rPr>
          <w:rFonts w:ascii="Segoe UI" w:hAnsi="Segoe UI" w:cs="Segoe UI"/>
        </w:rPr>
        <w:t>,</w:t>
      </w:r>
      <w:r w:rsidR="6AF13555" w:rsidRPr="736A6D4F">
        <w:rPr>
          <w:rFonts w:ascii="Segoe UI" w:hAnsi="Segoe UI" w:cs="Segoe UI"/>
        </w:rPr>
        <w:t xml:space="preserve"> regardless of </w:t>
      </w:r>
      <w:r w:rsidR="2B901C5B" w:rsidRPr="736A6D4F">
        <w:rPr>
          <w:rFonts w:ascii="Segoe UI" w:hAnsi="Segoe UI" w:cs="Segoe UI"/>
        </w:rPr>
        <w:t>the</w:t>
      </w:r>
      <w:r w:rsidR="6AF13555" w:rsidRPr="736A6D4F">
        <w:rPr>
          <w:rFonts w:ascii="Segoe UI" w:hAnsi="Segoe UI" w:cs="Segoe UI"/>
        </w:rPr>
        <w:t xml:space="preserve"> </w:t>
      </w:r>
      <w:r w:rsidR="002019AE">
        <w:rPr>
          <w:rFonts w:ascii="Segoe UI" w:hAnsi="Segoe UI" w:cs="Segoe UI"/>
        </w:rPr>
        <w:t xml:space="preserve">customer’s point of origin, </w:t>
      </w:r>
      <w:r w:rsidR="6AF13555" w:rsidRPr="736A6D4F">
        <w:rPr>
          <w:rFonts w:ascii="Segoe UI" w:hAnsi="Segoe UI" w:cs="Segoe UI"/>
        </w:rPr>
        <w:t>technology</w:t>
      </w:r>
      <w:r w:rsidR="002019AE">
        <w:rPr>
          <w:rFonts w:ascii="Segoe UI" w:hAnsi="Segoe UI" w:cs="Segoe UI"/>
        </w:rPr>
        <w:t>,</w:t>
      </w:r>
      <w:r w:rsidR="6AF13555" w:rsidRPr="736A6D4F">
        <w:rPr>
          <w:rFonts w:ascii="Segoe UI" w:hAnsi="Segoe UI" w:cs="Segoe UI"/>
        </w:rPr>
        <w:t xml:space="preserve"> </w:t>
      </w:r>
      <w:r w:rsidR="004906EC" w:rsidRPr="293D3C50">
        <w:rPr>
          <w:rFonts w:ascii="Segoe UI" w:hAnsi="Segoe UI" w:cs="Segoe UI"/>
        </w:rPr>
        <w:t>or economic sector</w:t>
      </w:r>
      <w:r w:rsidR="6AF13555" w:rsidRPr="736A6D4F">
        <w:rPr>
          <w:rFonts w:ascii="Segoe UI" w:hAnsi="Segoe UI" w:cs="Segoe UI"/>
        </w:rPr>
        <w:t>.</w:t>
      </w:r>
      <w:r w:rsidR="6558CFEB" w:rsidRPr="736A6D4F">
        <w:rPr>
          <w:rFonts w:ascii="Segoe UI" w:hAnsi="Segoe UI" w:cs="Segoe UI"/>
        </w:rPr>
        <w:t xml:space="preserve"> </w:t>
      </w:r>
      <w:r w:rsidR="6AF13555" w:rsidRPr="736A6D4F">
        <w:rPr>
          <w:rFonts w:ascii="Segoe UI" w:hAnsi="Segoe UI" w:cs="Segoe UI"/>
        </w:rPr>
        <w:t xml:space="preserve">Neither </w:t>
      </w:r>
      <w:r w:rsidR="6ABE9650" w:rsidRPr="736A6D4F">
        <w:rPr>
          <w:rFonts w:ascii="Segoe UI" w:hAnsi="Segoe UI" w:cs="Segoe UI"/>
        </w:rPr>
        <w:t xml:space="preserve">the </w:t>
      </w:r>
      <w:r w:rsidR="6AF13555" w:rsidRPr="736A6D4F">
        <w:rPr>
          <w:rFonts w:ascii="Segoe UI" w:hAnsi="Segoe UI" w:cs="Segoe UI"/>
        </w:rPr>
        <w:t xml:space="preserve">USPTO’s </w:t>
      </w:r>
      <w:r w:rsidR="00562765">
        <w:rPr>
          <w:rFonts w:ascii="Segoe UI" w:hAnsi="Segoe UI" w:cs="Segoe UI"/>
        </w:rPr>
        <w:t>Final</w:t>
      </w:r>
      <w:r w:rsidR="00562765" w:rsidRPr="736A6D4F">
        <w:rPr>
          <w:rFonts w:ascii="Segoe UI" w:hAnsi="Segoe UI" w:cs="Segoe UI"/>
        </w:rPr>
        <w:t xml:space="preserve"> </w:t>
      </w:r>
      <w:r w:rsidR="3C796CED" w:rsidRPr="736A6D4F">
        <w:rPr>
          <w:rFonts w:ascii="Segoe UI" w:hAnsi="Segoe UI" w:cs="Segoe UI"/>
        </w:rPr>
        <w:t>Patent</w:t>
      </w:r>
      <w:r w:rsidR="21164D33" w:rsidRPr="736A6D4F">
        <w:rPr>
          <w:rFonts w:ascii="Segoe UI" w:hAnsi="Segoe UI" w:cs="Segoe UI"/>
        </w:rPr>
        <w:t xml:space="preserve"> Fee Schedule</w:t>
      </w:r>
      <w:r w:rsidR="6AF13555" w:rsidRPr="736A6D4F">
        <w:rPr>
          <w:rFonts w:ascii="Segoe UI" w:hAnsi="Segoe UI" w:cs="Segoe UI"/>
        </w:rPr>
        <w:t xml:space="preserve"> nor the other three alternatives discussed herein are designed to impose different costs on different technologies or sectors of the economy</w:t>
      </w:r>
      <w:r w:rsidR="778D5021" w:rsidRPr="736A6D4F">
        <w:rPr>
          <w:rFonts w:ascii="Segoe UI" w:hAnsi="Segoe UI" w:cs="Segoe UI"/>
        </w:rPr>
        <w:t>.</w:t>
      </w:r>
      <w:r w:rsidR="6558CFEB" w:rsidRPr="736A6D4F">
        <w:rPr>
          <w:rFonts w:ascii="Segoe UI" w:hAnsi="Segoe UI" w:cs="Segoe UI"/>
        </w:rPr>
        <w:t xml:space="preserve"> </w:t>
      </w:r>
      <w:r w:rsidR="778D5021" w:rsidRPr="736A6D4F">
        <w:rPr>
          <w:rFonts w:ascii="Segoe UI" w:hAnsi="Segoe UI" w:cs="Segoe UI"/>
        </w:rPr>
        <w:t xml:space="preserve">In </w:t>
      </w:r>
      <w:r w:rsidR="6AF13555" w:rsidRPr="736A6D4F">
        <w:rPr>
          <w:rFonts w:ascii="Segoe UI" w:hAnsi="Segoe UI" w:cs="Segoe UI"/>
        </w:rPr>
        <w:t>applying equally to all applicants and patent applications</w:t>
      </w:r>
      <w:r w:rsidR="3EDE4AA5" w:rsidRPr="736A6D4F">
        <w:rPr>
          <w:rFonts w:ascii="Segoe UI" w:hAnsi="Segoe UI" w:cs="Segoe UI"/>
        </w:rPr>
        <w:t>, all four alternatives are origin-neutral and technology-neutral.</w:t>
      </w:r>
    </w:p>
    <w:p w14:paraId="4058066F" w14:textId="1439586F" w:rsidR="002C030A" w:rsidRPr="00CF6436" w:rsidRDefault="2589B128" w:rsidP="735B2AB6">
      <w:pPr>
        <w:spacing w:line="360" w:lineRule="auto"/>
        <w:ind w:firstLine="450"/>
        <w:rPr>
          <w:rFonts w:ascii="Segoe UI" w:hAnsi="Segoe UI" w:cs="Segoe UI"/>
        </w:rPr>
      </w:pPr>
      <w:r w:rsidRPr="736A6D4F">
        <w:rPr>
          <w:rFonts w:ascii="Segoe UI" w:hAnsi="Segoe UI" w:cs="Segoe UI"/>
        </w:rPr>
        <w:t>This analysis does not include any monetized costs and benefits</w:t>
      </w:r>
      <w:r w:rsidR="270D2CE9" w:rsidRPr="736A6D4F">
        <w:rPr>
          <w:rFonts w:ascii="Segoe UI" w:hAnsi="Segoe UI" w:cs="Segoe UI"/>
        </w:rPr>
        <w:t xml:space="preserve"> because</w:t>
      </w:r>
      <w:r w:rsidR="77B8DF33" w:rsidRPr="736A6D4F">
        <w:rPr>
          <w:rFonts w:ascii="Segoe UI" w:hAnsi="Segoe UI" w:cs="Segoe UI"/>
        </w:rPr>
        <w:t xml:space="preserve"> </w:t>
      </w:r>
      <w:r w:rsidRPr="736A6D4F">
        <w:rPr>
          <w:rFonts w:ascii="Segoe UI" w:hAnsi="Segoe UI" w:cs="Segoe UI"/>
        </w:rPr>
        <w:t xml:space="preserve">the fees charged under this rule are considered transfer payments </w:t>
      </w:r>
      <w:r w:rsidR="77B8DF33" w:rsidRPr="736A6D4F">
        <w:rPr>
          <w:rFonts w:ascii="Segoe UI" w:hAnsi="Segoe UI" w:cs="Segoe UI"/>
        </w:rPr>
        <w:t xml:space="preserve">(not costs) </w:t>
      </w:r>
      <w:r w:rsidRPr="736A6D4F">
        <w:rPr>
          <w:rFonts w:ascii="Segoe UI" w:hAnsi="Segoe UI" w:cs="Segoe UI"/>
        </w:rPr>
        <w:t xml:space="preserve">per </w:t>
      </w:r>
      <w:r w:rsidRPr="736A6D4F">
        <w:rPr>
          <w:rFonts w:ascii="Segoe UI" w:hAnsi="Segoe UI" w:cs="Segoe UI"/>
        </w:rPr>
        <w:lastRenderedPageBreak/>
        <w:t>guidance to federal agencies in OMB Circular A-4 and direct guidance from the OMB</w:t>
      </w:r>
      <w:r w:rsidR="4B434DDB" w:rsidRPr="736A6D4F">
        <w:rPr>
          <w:rFonts w:ascii="Segoe UI" w:hAnsi="Segoe UI" w:cs="Segoe UI"/>
        </w:rPr>
        <w:t xml:space="preserve">’s </w:t>
      </w:r>
      <w:r w:rsidR="301DE89C" w:rsidRPr="736A6D4F">
        <w:rPr>
          <w:rFonts w:ascii="Segoe UI" w:hAnsi="Segoe UI" w:cs="Segoe UI"/>
        </w:rPr>
        <w:t>Office</w:t>
      </w:r>
      <w:r w:rsidRPr="736A6D4F">
        <w:rPr>
          <w:rFonts w:ascii="Segoe UI" w:hAnsi="Segoe UI" w:cs="Segoe UI"/>
        </w:rPr>
        <w:t xml:space="preserve"> of Information and Regulatory Affairs (OIRA). Further, </w:t>
      </w:r>
      <w:r w:rsidR="03646F17" w:rsidRPr="736A6D4F">
        <w:rPr>
          <w:rFonts w:ascii="Segoe UI" w:hAnsi="Segoe UI" w:cs="Segoe UI"/>
        </w:rPr>
        <w:t xml:space="preserve">the USPTO does not </w:t>
      </w:r>
      <w:r w:rsidR="3CE36922" w:rsidRPr="736A6D4F">
        <w:rPr>
          <w:rFonts w:ascii="Segoe UI" w:hAnsi="Segoe UI" w:cs="Segoe UI"/>
        </w:rPr>
        <w:t>anticipate</w:t>
      </w:r>
      <w:r w:rsidR="3EDE4AA5" w:rsidRPr="736A6D4F">
        <w:rPr>
          <w:rFonts w:ascii="Segoe UI" w:hAnsi="Segoe UI" w:cs="Segoe UI"/>
        </w:rPr>
        <w:t xml:space="preserve"> that the adjustments in user fees under this </w:t>
      </w:r>
      <w:r w:rsidR="00562765">
        <w:rPr>
          <w:rFonts w:ascii="Segoe UI" w:hAnsi="Segoe UI" w:cs="Segoe UI"/>
        </w:rPr>
        <w:t>Final</w:t>
      </w:r>
      <w:r w:rsidR="00562765" w:rsidRPr="736A6D4F">
        <w:rPr>
          <w:rFonts w:ascii="Segoe UI" w:hAnsi="Segoe UI" w:cs="Segoe UI"/>
        </w:rPr>
        <w:t xml:space="preserve"> </w:t>
      </w:r>
      <w:r w:rsidR="3A2C0D48" w:rsidRPr="736A6D4F">
        <w:rPr>
          <w:rFonts w:ascii="Segoe UI" w:hAnsi="Segoe UI" w:cs="Segoe UI"/>
        </w:rPr>
        <w:t>Patent</w:t>
      </w:r>
      <w:r w:rsidR="21164D33" w:rsidRPr="736A6D4F">
        <w:rPr>
          <w:rFonts w:ascii="Segoe UI" w:hAnsi="Segoe UI" w:cs="Segoe UI"/>
        </w:rPr>
        <w:t xml:space="preserve"> Fee Schedule</w:t>
      </w:r>
      <w:r w:rsidR="3EDE4AA5" w:rsidRPr="736A6D4F">
        <w:rPr>
          <w:rFonts w:ascii="Segoe UI" w:hAnsi="Segoe UI" w:cs="Segoe UI"/>
        </w:rPr>
        <w:t xml:space="preserve"> will increase the compliance costs for users to obtain </w:t>
      </w:r>
      <w:r w:rsidR="67F0FF00" w:rsidRPr="736A6D4F">
        <w:rPr>
          <w:rFonts w:ascii="Segoe UI" w:hAnsi="Segoe UI" w:cs="Segoe UI"/>
        </w:rPr>
        <w:t xml:space="preserve">agency </w:t>
      </w:r>
      <w:r w:rsidR="3EDE4AA5" w:rsidRPr="736A6D4F">
        <w:rPr>
          <w:rFonts w:ascii="Segoe UI" w:hAnsi="Segoe UI" w:cs="Segoe UI"/>
        </w:rPr>
        <w:t>services.</w:t>
      </w:r>
      <w:r w:rsidR="6558CFEB" w:rsidRPr="736A6D4F">
        <w:rPr>
          <w:rFonts w:ascii="Segoe UI" w:hAnsi="Segoe UI" w:cs="Segoe UI"/>
        </w:rPr>
        <w:t xml:space="preserve"> </w:t>
      </w:r>
      <w:r w:rsidRPr="736A6D4F">
        <w:rPr>
          <w:rFonts w:ascii="Segoe UI" w:hAnsi="Segoe UI" w:cs="Segoe UI"/>
        </w:rPr>
        <w:t>The analysis in this RIA revolves around two qualitative costs and benefits: (1) fee schedule design</w:t>
      </w:r>
      <w:r w:rsidR="58B6C2DC" w:rsidRPr="736A6D4F">
        <w:rPr>
          <w:rFonts w:ascii="Segoe UI" w:hAnsi="Segoe UI" w:cs="Segoe UI"/>
        </w:rPr>
        <w:t>;</w:t>
      </w:r>
      <w:r w:rsidRPr="736A6D4F">
        <w:rPr>
          <w:rFonts w:ascii="Segoe UI" w:hAnsi="Segoe UI" w:cs="Segoe UI"/>
        </w:rPr>
        <w:t xml:space="preserve"> and (2) securing aggregate revenue to recover aggregate cost</w:t>
      </w:r>
      <w:r w:rsidR="04A68DA4" w:rsidRPr="736A6D4F">
        <w:rPr>
          <w:rFonts w:ascii="Segoe UI" w:hAnsi="Segoe UI" w:cs="Segoe UI"/>
        </w:rPr>
        <w:t>s</w:t>
      </w:r>
      <w:r w:rsidRPr="736A6D4F">
        <w:rPr>
          <w:rFonts w:ascii="Segoe UI" w:hAnsi="Segoe UI" w:cs="Segoe UI"/>
        </w:rPr>
        <w:t xml:space="preserve">. </w:t>
      </w:r>
      <w:r w:rsidR="6AEA094E" w:rsidRPr="736A6D4F">
        <w:rPr>
          <w:rFonts w:ascii="Segoe UI" w:hAnsi="Segoe UI" w:cs="Segoe UI"/>
        </w:rPr>
        <w:t>A</w:t>
      </w:r>
      <w:r w:rsidR="24F67EBF" w:rsidRPr="736A6D4F">
        <w:rPr>
          <w:rFonts w:ascii="Segoe UI" w:hAnsi="Segoe UI" w:cs="Segoe UI"/>
        </w:rPr>
        <w:t>ll alternatives co</w:t>
      </w:r>
      <w:r w:rsidR="1F814156" w:rsidRPr="736A6D4F">
        <w:rPr>
          <w:rFonts w:ascii="Segoe UI" w:hAnsi="Segoe UI" w:cs="Segoe UI"/>
        </w:rPr>
        <w:t>nsidered, except the Baseline,</w:t>
      </w:r>
      <w:r w:rsidR="24F67EBF" w:rsidRPr="736A6D4F">
        <w:rPr>
          <w:rFonts w:ascii="Segoe UI" w:hAnsi="Segoe UI" w:cs="Segoe UI"/>
        </w:rPr>
        <w:t xml:space="preserve"> result in adequate </w:t>
      </w:r>
      <w:r w:rsidR="6BA16452" w:rsidRPr="736A6D4F">
        <w:rPr>
          <w:rFonts w:ascii="Segoe UI" w:hAnsi="Segoe UI" w:cs="Segoe UI"/>
        </w:rPr>
        <w:t xml:space="preserve">aggregate </w:t>
      </w:r>
      <w:r w:rsidR="24F67EBF" w:rsidRPr="736A6D4F">
        <w:rPr>
          <w:rFonts w:ascii="Segoe UI" w:hAnsi="Segoe UI" w:cs="Segoe UI"/>
        </w:rPr>
        <w:t xml:space="preserve">revenues to </w:t>
      </w:r>
      <w:r w:rsidR="6BA16452" w:rsidRPr="736A6D4F">
        <w:rPr>
          <w:rFonts w:ascii="Segoe UI" w:hAnsi="Segoe UI" w:cs="Segoe UI"/>
        </w:rPr>
        <w:t>recover aggregate costs</w:t>
      </w:r>
      <w:r w:rsidRPr="736A6D4F">
        <w:rPr>
          <w:rFonts w:ascii="Segoe UI" w:hAnsi="Segoe UI" w:cs="Segoe UI"/>
        </w:rPr>
        <w:t>.</w:t>
      </w:r>
    </w:p>
    <w:p w14:paraId="0BFBB375" w14:textId="44CE1E54" w:rsidR="007014B1" w:rsidRPr="00CF6436" w:rsidRDefault="21B48356" w:rsidP="735B2AB6">
      <w:pPr>
        <w:spacing w:line="360" w:lineRule="auto"/>
        <w:ind w:left="60" w:firstLine="390"/>
        <w:rPr>
          <w:rFonts w:ascii="Segoe UI" w:hAnsi="Segoe UI" w:cs="Segoe UI"/>
        </w:rPr>
      </w:pPr>
      <w:r w:rsidRPr="736A6D4F">
        <w:rPr>
          <w:rFonts w:ascii="Segoe UI" w:hAnsi="Segoe UI" w:cs="Segoe UI"/>
        </w:rPr>
        <w:t>Discussions of fee schedule design costs and benefits revolve around how well an alternative’s fee schedule</w:t>
      </w:r>
      <w:r w:rsidR="75C1B19E" w:rsidRPr="736A6D4F">
        <w:rPr>
          <w:rFonts w:ascii="Segoe UI" w:hAnsi="Segoe UI" w:cs="Segoe UI"/>
        </w:rPr>
        <w:t>—</w:t>
      </w:r>
      <w:r w:rsidR="19CAF330" w:rsidRPr="736A6D4F">
        <w:rPr>
          <w:rFonts w:ascii="Segoe UI" w:hAnsi="Segoe UI" w:cs="Segoe UI"/>
        </w:rPr>
        <w:t>both individual fee amounts and their relationship to other fees in the fee schedule</w:t>
      </w:r>
      <w:r w:rsidR="75C1B19E" w:rsidRPr="736A6D4F">
        <w:rPr>
          <w:rFonts w:ascii="Segoe UI" w:hAnsi="Segoe UI" w:cs="Segoe UI"/>
        </w:rPr>
        <w:t>—</w:t>
      </w:r>
      <w:r w:rsidRPr="736A6D4F">
        <w:rPr>
          <w:rFonts w:ascii="Segoe UI" w:hAnsi="Segoe UI" w:cs="Segoe UI"/>
        </w:rPr>
        <w:t xml:space="preserve">aligns </w:t>
      </w:r>
      <w:r w:rsidR="75C1B19E" w:rsidRPr="736A6D4F">
        <w:rPr>
          <w:rFonts w:ascii="Segoe UI" w:hAnsi="Segoe UI" w:cs="Segoe UI"/>
        </w:rPr>
        <w:t xml:space="preserve">with </w:t>
      </w:r>
      <w:r w:rsidRPr="736A6D4F">
        <w:rPr>
          <w:rFonts w:ascii="Segoe UI" w:hAnsi="Segoe UI" w:cs="Segoe UI"/>
        </w:rPr>
        <w:t xml:space="preserve">the </w:t>
      </w:r>
      <w:r w:rsidR="5F5F9118" w:rsidRPr="736A6D4F">
        <w:rPr>
          <w:rFonts w:ascii="Segoe UI" w:hAnsi="Segoe UI" w:cs="Segoe UI"/>
        </w:rPr>
        <w:t>USPTO’s</w:t>
      </w:r>
      <w:r w:rsidRPr="736A6D4F">
        <w:rPr>
          <w:rFonts w:ascii="Segoe UI" w:hAnsi="Segoe UI" w:cs="Segoe UI"/>
        </w:rPr>
        <w:t xml:space="preserve"> four key fee setting policy factors: </w:t>
      </w:r>
      <w:r w:rsidR="4007CD14" w:rsidRPr="736A6D4F">
        <w:rPr>
          <w:rFonts w:ascii="Segoe UI" w:hAnsi="Segoe UI" w:cs="Segoe UI"/>
        </w:rPr>
        <w:t xml:space="preserve">(1) </w:t>
      </w:r>
      <w:r w:rsidR="05A7558C" w:rsidRPr="736A6D4F">
        <w:rPr>
          <w:rFonts w:ascii="Segoe UI" w:hAnsi="Segoe UI" w:cs="Segoe UI"/>
        </w:rPr>
        <w:t xml:space="preserve">promoting </w:t>
      </w:r>
      <w:r w:rsidRPr="736A6D4F">
        <w:rPr>
          <w:rFonts w:ascii="Segoe UI" w:hAnsi="Segoe UI" w:cs="Segoe UI"/>
        </w:rPr>
        <w:t>innovation</w:t>
      </w:r>
      <w:r w:rsidR="05A7558C" w:rsidRPr="736A6D4F">
        <w:rPr>
          <w:rFonts w:ascii="Segoe UI" w:hAnsi="Segoe UI" w:cs="Segoe UI"/>
        </w:rPr>
        <w:t xml:space="preserve"> strategies</w:t>
      </w:r>
      <w:r w:rsidR="0A7AE054" w:rsidRPr="736A6D4F">
        <w:rPr>
          <w:rFonts w:ascii="Segoe UI" w:hAnsi="Segoe UI" w:cs="Segoe UI"/>
        </w:rPr>
        <w:t>;</w:t>
      </w:r>
      <w:r w:rsidRPr="736A6D4F">
        <w:rPr>
          <w:rFonts w:ascii="Segoe UI" w:hAnsi="Segoe UI" w:cs="Segoe UI"/>
        </w:rPr>
        <w:t xml:space="preserve"> </w:t>
      </w:r>
      <w:r w:rsidR="4007CD14" w:rsidRPr="736A6D4F">
        <w:rPr>
          <w:rFonts w:ascii="Segoe UI" w:hAnsi="Segoe UI" w:cs="Segoe UI"/>
        </w:rPr>
        <w:t xml:space="preserve">(2) </w:t>
      </w:r>
      <w:r w:rsidRPr="736A6D4F">
        <w:rPr>
          <w:rFonts w:ascii="Segoe UI" w:hAnsi="Segoe UI" w:cs="Segoe UI"/>
        </w:rPr>
        <w:t>align</w:t>
      </w:r>
      <w:r w:rsidR="05A7558C" w:rsidRPr="736A6D4F">
        <w:rPr>
          <w:rFonts w:ascii="Segoe UI" w:hAnsi="Segoe UI" w:cs="Segoe UI"/>
        </w:rPr>
        <w:t>ing</w:t>
      </w:r>
      <w:r w:rsidRPr="736A6D4F">
        <w:rPr>
          <w:rFonts w:ascii="Segoe UI" w:hAnsi="Segoe UI" w:cs="Segoe UI"/>
        </w:rPr>
        <w:t xml:space="preserve"> fees with the full cost of products and services</w:t>
      </w:r>
      <w:r w:rsidR="0A7AE054" w:rsidRPr="736A6D4F">
        <w:rPr>
          <w:rFonts w:ascii="Segoe UI" w:hAnsi="Segoe UI" w:cs="Segoe UI"/>
        </w:rPr>
        <w:t>;</w:t>
      </w:r>
      <w:r w:rsidR="4007CD14" w:rsidRPr="736A6D4F">
        <w:rPr>
          <w:rFonts w:ascii="Segoe UI" w:hAnsi="Segoe UI" w:cs="Segoe UI"/>
        </w:rPr>
        <w:t xml:space="preserve"> (3) </w:t>
      </w:r>
      <w:r w:rsidRPr="736A6D4F">
        <w:rPr>
          <w:rFonts w:ascii="Segoe UI" w:hAnsi="Segoe UI" w:cs="Segoe UI"/>
        </w:rPr>
        <w:t>facilitat</w:t>
      </w:r>
      <w:r w:rsidR="4B6995D4" w:rsidRPr="736A6D4F">
        <w:rPr>
          <w:rFonts w:ascii="Segoe UI" w:hAnsi="Segoe UI" w:cs="Segoe UI"/>
        </w:rPr>
        <w:t>ing</w:t>
      </w:r>
      <w:r w:rsidRPr="736A6D4F">
        <w:rPr>
          <w:rFonts w:ascii="Segoe UI" w:hAnsi="Segoe UI" w:cs="Segoe UI"/>
        </w:rPr>
        <w:t xml:space="preserve"> effective administration of the patent system</w:t>
      </w:r>
      <w:r w:rsidR="0A7AE054" w:rsidRPr="736A6D4F">
        <w:rPr>
          <w:rFonts w:ascii="Segoe UI" w:hAnsi="Segoe UI" w:cs="Segoe UI"/>
        </w:rPr>
        <w:t>;</w:t>
      </w:r>
      <w:r w:rsidRPr="736A6D4F">
        <w:rPr>
          <w:rFonts w:ascii="Segoe UI" w:hAnsi="Segoe UI" w:cs="Segoe UI"/>
        </w:rPr>
        <w:t xml:space="preserve"> and </w:t>
      </w:r>
      <w:r w:rsidR="4007CD14" w:rsidRPr="736A6D4F">
        <w:rPr>
          <w:rFonts w:ascii="Segoe UI" w:hAnsi="Segoe UI" w:cs="Segoe UI"/>
        </w:rPr>
        <w:t xml:space="preserve">(4) </w:t>
      </w:r>
      <w:r w:rsidRPr="736A6D4F">
        <w:rPr>
          <w:rFonts w:ascii="Segoe UI" w:hAnsi="Segoe UI" w:cs="Segoe UI"/>
        </w:rPr>
        <w:t>offer</w:t>
      </w:r>
      <w:r w:rsidR="4B6995D4" w:rsidRPr="736A6D4F">
        <w:rPr>
          <w:rFonts w:ascii="Segoe UI" w:hAnsi="Segoe UI" w:cs="Segoe UI"/>
        </w:rPr>
        <w:t>ing</w:t>
      </w:r>
      <w:r w:rsidRPr="736A6D4F">
        <w:rPr>
          <w:rFonts w:ascii="Segoe UI" w:hAnsi="Segoe UI" w:cs="Segoe UI"/>
        </w:rPr>
        <w:t xml:space="preserve"> processing options </w:t>
      </w:r>
      <w:r w:rsidR="4B6995D4" w:rsidRPr="736A6D4F">
        <w:rPr>
          <w:rFonts w:ascii="Segoe UI" w:hAnsi="Segoe UI" w:cs="Segoe UI"/>
        </w:rPr>
        <w:t xml:space="preserve">to </w:t>
      </w:r>
      <w:r w:rsidRPr="736A6D4F">
        <w:rPr>
          <w:rFonts w:ascii="Segoe UI" w:hAnsi="Segoe UI" w:cs="Segoe UI"/>
        </w:rPr>
        <w:t>applicants.</w:t>
      </w:r>
      <w:r w:rsidR="32EC5D23" w:rsidRPr="736A6D4F">
        <w:rPr>
          <w:rFonts w:ascii="Segoe UI" w:hAnsi="Segoe UI" w:cs="Segoe UI"/>
        </w:rPr>
        <w:t xml:space="preserve"> </w:t>
      </w:r>
      <w:r w:rsidRPr="736A6D4F">
        <w:rPr>
          <w:rFonts w:ascii="Segoe UI" w:hAnsi="Segoe UI" w:cs="Segoe UI"/>
        </w:rPr>
        <w:t>These four policy factors aim to tie individual fee changes to the</w:t>
      </w:r>
      <w:r w:rsidR="044462BA" w:rsidRPr="736A6D4F">
        <w:rPr>
          <w:rFonts w:ascii="Segoe UI" w:hAnsi="Segoe UI" w:cs="Segoe UI"/>
        </w:rPr>
        <w:t xml:space="preserve"> agency’s</w:t>
      </w:r>
      <w:r w:rsidRPr="736A6D4F">
        <w:rPr>
          <w:rFonts w:ascii="Segoe UI" w:hAnsi="Segoe UI" w:cs="Segoe UI"/>
        </w:rPr>
        <w:t xml:space="preserve"> core mission and strategic initiatives.</w:t>
      </w:r>
      <w:r w:rsidR="32EC5D23" w:rsidRPr="736A6D4F">
        <w:rPr>
          <w:rFonts w:ascii="Segoe UI" w:hAnsi="Segoe UI" w:cs="Segoe UI"/>
        </w:rPr>
        <w:t xml:space="preserve"> </w:t>
      </w:r>
      <w:r w:rsidRPr="736A6D4F">
        <w:rPr>
          <w:rFonts w:ascii="Segoe UI" w:hAnsi="Segoe UI" w:cs="Segoe UI"/>
        </w:rPr>
        <w:t xml:space="preserve">The </w:t>
      </w:r>
      <w:r w:rsidR="044462BA" w:rsidRPr="736A6D4F">
        <w:rPr>
          <w:rFonts w:ascii="Segoe UI" w:hAnsi="Segoe UI" w:cs="Segoe UI"/>
        </w:rPr>
        <w:t xml:space="preserve">USPTO’s </w:t>
      </w:r>
      <w:r w:rsidRPr="736A6D4F">
        <w:rPr>
          <w:rFonts w:ascii="Segoe UI" w:hAnsi="Segoe UI" w:cs="Segoe UI"/>
        </w:rPr>
        <w:t>analysis of the four alternatives revealed that:</w:t>
      </w:r>
    </w:p>
    <w:p w14:paraId="52204EE4" w14:textId="7C3A1C35" w:rsidR="00DE7FD2" w:rsidRPr="00061339" w:rsidRDefault="1CAB781C" w:rsidP="00AB00B3">
      <w:pPr>
        <w:pStyle w:val="ListParagraph"/>
        <w:numPr>
          <w:ilvl w:val="0"/>
          <w:numId w:val="11"/>
        </w:numPr>
        <w:spacing w:line="360" w:lineRule="auto"/>
        <w:ind w:left="720"/>
        <w:rPr>
          <w:rFonts w:ascii="Segoe UI" w:hAnsi="Segoe UI" w:cs="Segoe UI"/>
        </w:rPr>
      </w:pPr>
      <w:r w:rsidRPr="736A6D4F">
        <w:rPr>
          <w:rFonts w:ascii="Segoe UI" w:hAnsi="Segoe UI" w:cs="Segoe UI"/>
        </w:rPr>
        <w:t>Alternative 1</w:t>
      </w:r>
      <w:r w:rsidR="40F7D34A" w:rsidRPr="736A6D4F">
        <w:rPr>
          <w:rFonts w:ascii="Segoe UI" w:hAnsi="Segoe UI" w:cs="Segoe UI"/>
        </w:rPr>
        <w:t xml:space="preserve">, the </w:t>
      </w:r>
      <w:r w:rsidR="00562765">
        <w:rPr>
          <w:rFonts w:ascii="Segoe UI" w:hAnsi="Segoe UI" w:cs="Segoe UI"/>
        </w:rPr>
        <w:t>Final</w:t>
      </w:r>
      <w:r w:rsidR="40F7D34A" w:rsidRPr="736A6D4F">
        <w:rPr>
          <w:rFonts w:ascii="Segoe UI" w:hAnsi="Segoe UI" w:cs="Segoe UI"/>
        </w:rPr>
        <w:t xml:space="preserve"> </w:t>
      </w:r>
      <w:r w:rsidR="623DCE3C" w:rsidRPr="736A6D4F">
        <w:rPr>
          <w:rFonts w:ascii="Segoe UI" w:hAnsi="Segoe UI" w:cs="Segoe UI"/>
        </w:rPr>
        <w:t xml:space="preserve">Patent </w:t>
      </w:r>
      <w:r w:rsidR="40F7D34A" w:rsidRPr="736A6D4F">
        <w:rPr>
          <w:rFonts w:ascii="Segoe UI" w:hAnsi="Segoe UI" w:cs="Segoe UI"/>
        </w:rPr>
        <w:t>Fee Schedule,</w:t>
      </w:r>
      <w:r w:rsidRPr="736A6D4F">
        <w:rPr>
          <w:rFonts w:ascii="Segoe UI" w:hAnsi="Segoe UI" w:cs="Segoe UI"/>
        </w:rPr>
        <w:t xml:space="preserve"> offers fee schedule design benefits </w:t>
      </w:r>
      <w:r w:rsidR="54841FBA" w:rsidRPr="736A6D4F">
        <w:rPr>
          <w:rFonts w:ascii="Segoe UI" w:hAnsi="Segoe UI" w:cs="Segoe UI"/>
        </w:rPr>
        <w:t>as</w:t>
      </w:r>
      <w:r w:rsidRPr="736A6D4F">
        <w:rPr>
          <w:rFonts w:ascii="Segoe UI" w:hAnsi="Segoe UI" w:cs="Segoe UI"/>
        </w:rPr>
        <w:t xml:space="preserve"> </w:t>
      </w:r>
      <w:r w:rsidR="5136FBB7" w:rsidRPr="736A6D4F">
        <w:rPr>
          <w:rFonts w:ascii="Segoe UI" w:hAnsi="Segoe UI" w:cs="Segoe UI"/>
        </w:rPr>
        <w:t xml:space="preserve">the </w:t>
      </w:r>
      <w:r w:rsidRPr="736A6D4F">
        <w:rPr>
          <w:rFonts w:ascii="Segoe UI" w:hAnsi="Segoe UI" w:cs="Segoe UI"/>
        </w:rPr>
        <w:t xml:space="preserve">targeted fee changes align </w:t>
      </w:r>
      <w:r w:rsidR="54841FBA" w:rsidRPr="736A6D4F">
        <w:rPr>
          <w:rFonts w:ascii="Segoe UI" w:hAnsi="Segoe UI" w:cs="Segoe UI"/>
        </w:rPr>
        <w:t>with</w:t>
      </w:r>
      <w:r w:rsidRPr="736A6D4F">
        <w:rPr>
          <w:rFonts w:ascii="Segoe UI" w:hAnsi="Segoe UI" w:cs="Segoe UI"/>
        </w:rPr>
        <w:t xml:space="preserve"> the four</w:t>
      </w:r>
      <w:r w:rsidR="54841FBA" w:rsidRPr="736A6D4F">
        <w:rPr>
          <w:rFonts w:ascii="Segoe UI" w:hAnsi="Segoe UI" w:cs="Segoe UI"/>
        </w:rPr>
        <w:t xml:space="preserve"> key fee </w:t>
      </w:r>
      <w:r w:rsidR="54841FBA" w:rsidRPr="00061339">
        <w:rPr>
          <w:rFonts w:ascii="Segoe UI" w:hAnsi="Segoe UI" w:cs="Segoe UI"/>
        </w:rPr>
        <w:t>setting</w:t>
      </w:r>
      <w:r w:rsidRPr="00061339">
        <w:rPr>
          <w:rFonts w:ascii="Segoe UI" w:hAnsi="Segoe UI" w:cs="Segoe UI"/>
        </w:rPr>
        <w:t xml:space="preserve"> policy factors while remaining responsive to </w:t>
      </w:r>
      <w:r w:rsidR="6ACB831A" w:rsidRPr="00061339">
        <w:rPr>
          <w:rFonts w:ascii="Segoe UI" w:hAnsi="Segoe UI" w:cs="Segoe UI"/>
        </w:rPr>
        <w:t xml:space="preserve">public </w:t>
      </w:r>
      <w:r w:rsidR="5B9E9C07" w:rsidRPr="00061339">
        <w:rPr>
          <w:rFonts w:ascii="Segoe UI" w:hAnsi="Segoe UI" w:cs="Segoe UI"/>
        </w:rPr>
        <w:t>feedback</w:t>
      </w:r>
      <w:r w:rsidR="00AF6970" w:rsidRPr="00061339">
        <w:rPr>
          <w:rFonts w:ascii="Segoe UI" w:hAnsi="Segoe UI" w:cs="Segoe UI"/>
        </w:rPr>
        <w:t xml:space="preserve"> </w:t>
      </w:r>
      <w:r w:rsidR="6F275A61" w:rsidRPr="00061339">
        <w:rPr>
          <w:rFonts w:ascii="Segoe UI" w:hAnsi="Segoe UI" w:cs="Segoe UI"/>
        </w:rPr>
        <w:t>(see</w:t>
      </w:r>
      <w:r w:rsidR="47B24EFF" w:rsidRPr="00061339">
        <w:rPr>
          <w:rFonts w:ascii="Segoe UI" w:hAnsi="Segoe UI" w:cs="Segoe UI"/>
        </w:rPr>
        <w:t xml:space="preserve"> Part </w:t>
      </w:r>
      <w:r w:rsidR="00061339" w:rsidRPr="00061339">
        <w:rPr>
          <w:rFonts w:ascii="Segoe UI" w:hAnsi="Segoe UI" w:cs="Segoe UI"/>
        </w:rPr>
        <w:t>VI</w:t>
      </w:r>
      <w:r w:rsidR="47B24EFF" w:rsidRPr="00061339">
        <w:rPr>
          <w:rFonts w:ascii="Segoe UI" w:hAnsi="Segoe UI" w:cs="Segoe UI"/>
        </w:rPr>
        <w:t>:</w:t>
      </w:r>
      <w:r w:rsidR="00061339" w:rsidRPr="00061339">
        <w:rPr>
          <w:rFonts w:ascii="Segoe UI" w:hAnsi="Segoe UI" w:cs="Segoe UI"/>
        </w:rPr>
        <w:t xml:space="preserve"> Discussion of Comments</w:t>
      </w:r>
      <w:r w:rsidR="00061339">
        <w:rPr>
          <w:rFonts w:ascii="Segoe UI" w:hAnsi="Segoe UI" w:cs="Segoe UI"/>
        </w:rPr>
        <w:t xml:space="preserve"> in the final rule</w:t>
      </w:r>
      <w:r w:rsidR="6F275A61" w:rsidRPr="00061339">
        <w:rPr>
          <w:rFonts w:ascii="Segoe UI" w:hAnsi="Segoe UI" w:cs="Segoe UI"/>
        </w:rPr>
        <w:t xml:space="preserve"> </w:t>
      </w:r>
      <w:r w:rsidR="47B24EFF" w:rsidRPr="00061339">
        <w:rPr>
          <w:rFonts w:ascii="Segoe UI" w:hAnsi="Segoe UI" w:cs="Segoe UI"/>
        </w:rPr>
        <w:t>for</w:t>
      </w:r>
      <w:r w:rsidR="6F275A61" w:rsidRPr="00061339">
        <w:rPr>
          <w:rFonts w:ascii="Segoe UI" w:hAnsi="Segoe UI" w:cs="Segoe UI"/>
        </w:rPr>
        <w:t xml:space="preserve"> the </w:t>
      </w:r>
      <w:r w:rsidR="4D5B9196" w:rsidRPr="00061339">
        <w:rPr>
          <w:rFonts w:ascii="Segoe UI" w:hAnsi="Segoe UI" w:cs="Segoe UI"/>
        </w:rPr>
        <w:t>USPTO’s</w:t>
      </w:r>
      <w:r w:rsidR="6F275A61" w:rsidRPr="00061339">
        <w:rPr>
          <w:rFonts w:ascii="Segoe UI" w:hAnsi="Segoe UI" w:cs="Segoe UI"/>
        </w:rPr>
        <w:t xml:space="preserve"> response to feedback received)</w:t>
      </w:r>
      <w:r w:rsidRPr="00061339">
        <w:rPr>
          <w:rFonts w:ascii="Segoe UI" w:hAnsi="Segoe UI" w:cs="Segoe UI"/>
        </w:rPr>
        <w:t>.</w:t>
      </w:r>
    </w:p>
    <w:p w14:paraId="3C7F744B" w14:textId="259B86D4" w:rsidR="00DE7FD2" w:rsidRPr="00CF6436" w:rsidRDefault="4E81A55A" w:rsidP="008C177C">
      <w:pPr>
        <w:pStyle w:val="ListParagraph"/>
        <w:numPr>
          <w:ilvl w:val="0"/>
          <w:numId w:val="11"/>
        </w:numPr>
        <w:spacing w:line="360" w:lineRule="auto"/>
        <w:ind w:left="720"/>
        <w:rPr>
          <w:rFonts w:ascii="Segoe UI" w:hAnsi="Segoe UI" w:cs="Segoe UI"/>
        </w:rPr>
      </w:pPr>
      <w:r w:rsidRPr="6324CA36">
        <w:rPr>
          <w:rFonts w:ascii="Segoe UI" w:hAnsi="Segoe UI" w:cs="Segoe UI"/>
        </w:rPr>
        <w:t>Alternative 2</w:t>
      </w:r>
      <w:r w:rsidR="1652DF8D" w:rsidRPr="6324CA36">
        <w:rPr>
          <w:rFonts w:ascii="Segoe UI" w:hAnsi="Segoe UI" w:cs="Segoe UI"/>
        </w:rPr>
        <w:t xml:space="preserve">, the Unit Cost </w:t>
      </w:r>
      <w:r w:rsidR="6E8CB998" w:rsidRPr="6324CA36">
        <w:rPr>
          <w:rFonts w:ascii="Segoe UI" w:hAnsi="Segoe UI" w:cs="Segoe UI"/>
        </w:rPr>
        <w:t xml:space="preserve">Recovery </w:t>
      </w:r>
      <w:r w:rsidR="1652DF8D" w:rsidRPr="6324CA36">
        <w:rPr>
          <w:rFonts w:ascii="Segoe UI" w:hAnsi="Segoe UI" w:cs="Segoe UI"/>
        </w:rPr>
        <w:t>option,</w:t>
      </w:r>
      <w:r w:rsidRPr="6324CA36">
        <w:rPr>
          <w:rFonts w:ascii="Segoe UI" w:hAnsi="Segoe UI" w:cs="Segoe UI"/>
        </w:rPr>
        <w:t xml:space="preserve"> presents significant costs</w:t>
      </w:r>
      <w:r w:rsidR="079CEA16" w:rsidRPr="6324CA36">
        <w:rPr>
          <w:rFonts w:ascii="Segoe UI" w:hAnsi="Segoe UI" w:cs="Segoe UI"/>
        </w:rPr>
        <w:t xml:space="preserve"> </w:t>
      </w:r>
      <w:r w:rsidRPr="6324CA36">
        <w:rPr>
          <w:rFonts w:ascii="Segoe UI" w:hAnsi="Segoe UI" w:cs="Segoe UI"/>
        </w:rPr>
        <w:t xml:space="preserve">related to fee schedule design because it reverses the longstanding practice of setting </w:t>
      </w:r>
      <w:r w:rsidR="554DA9B5" w:rsidRPr="6324CA36">
        <w:rPr>
          <w:rFonts w:ascii="Segoe UI" w:hAnsi="Segoe UI" w:cs="Segoe UI"/>
        </w:rPr>
        <w:t xml:space="preserve">some </w:t>
      </w:r>
      <w:r w:rsidRPr="6324CA36">
        <w:rPr>
          <w:rFonts w:ascii="Segoe UI" w:hAnsi="Segoe UI" w:cs="Segoe UI"/>
        </w:rPr>
        <w:t>fees below cost to foster innovation.</w:t>
      </w:r>
      <w:r w:rsidR="6558CFEB" w:rsidRPr="6324CA36">
        <w:rPr>
          <w:rFonts w:ascii="Segoe UI" w:hAnsi="Segoe UI" w:cs="Segoe UI"/>
        </w:rPr>
        <w:t xml:space="preserve"> </w:t>
      </w:r>
      <w:r w:rsidRPr="6324CA36">
        <w:rPr>
          <w:rFonts w:ascii="Segoe UI" w:hAnsi="Segoe UI" w:cs="Segoe UI"/>
        </w:rPr>
        <w:t>Instead, entry fees</w:t>
      </w:r>
      <w:r w:rsidR="04A68DA4" w:rsidRPr="6324CA36">
        <w:rPr>
          <w:rFonts w:ascii="Segoe UI" w:hAnsi="Segoe UI" w:cs="Segoe UI"/>
        </w:rPr>
        <w:t>,</w:t>
      </w:r>
      <w:r w:rsidRPr="6324CA36">
        <w:rPr>
          <w:rFonts w:ascii="Segoe UI" w:hAnsi="Segoe UI" w:cs="Segoe UI"/>
        </w:rPr>
        <w:t xml:space="preserve"> or those initial fees required to access the patent system</w:t>
      </w:r>
      <w:r w:rsidR="17BF918C" w:rsidRPr="6324CA36">
        <w:rPr>
          <w:rFonts w:ascii="Segoe UI" w:hAnsi="Segoe UI" w:cs="Segoe UI"/>
        </w:rPr>
        <w:t xml:space="preserve"> (e.g., filing, search, and examination fees</w:t>
      </w:r>
      <w:r w:rsidR="2F46AD57" w:rsidRPr="6324CA36">
        <w:rPr>
          <w:rFonts w:ascii="Segoe UI" w:hAnsi="Segoe UI" w:cs="Segoe UI"/>
        </w:rPr>
        <w:t xml:space="preserve"> due on filing of </w:t>
      </w:r>
      <w:r w:rsidR="5C225886" w:rsidRPr="6324CA36">
        <w:rPr>
          <w:rFonts w:ascii="Segoe UI" w:hAnsi="Segoe UI" w:cs="Segoe UI"/>
        </w:rPr>
        <w:t>a</w:t>
      </w:r>
      <w:r w:rsidR="2F46AD57" w:rsidRPr="6324CA36">
        <w:rPr>
          <w:rFonts w:ascii="Segoe UI" w:hAnsi="Segoe UI" w:cs="Segoe UI"/>
        </w:rPr>
        <w:t xml:space="preserve"> nonprovisional application</w:t>
      </w:r>
      <w:r w:rsidRPr="6324CA36">
        <w:rPr>
          <w:rFonts w:ascii="Segoe UI" w:hAnsi="Segoe UI" w:cs="Segoe UI"/>
        </w:rPr>
        <w:t>)</w:t>
      </w:r>
      <w:r w:rsidR="04A68DA4" w:rsidRPr="6324CA36">
        <w:rPr>
          <w:rFonts w:ascii="Segoe UI" w:hAnsi="Segoe UI" w:cs="Segoe UI"/>
        </w:rPr>
        <w:t>,</w:t>
      </w:r>
      <w:r w:rsidRPr="6324CA36">
        <w:rPr>
          <w:rFonts w:ascii="Segoe UI" w:hAnsi="Segoe UI" w:cs="Segoe UI"/>
        </w:rPr>
        <w:t xml:space="preserve"> are </w:t>
      </w:r>
      <w:r w:rsidRPr="6324CA36">
        <w:rPr>
          <w:rFonts w:ascii="Segoe UI" w:hAnsi="Segoe UI" w:cs="Segoe UI"/>
        </w:rPr>
        <w:lastRenderedPageBreak/>
        <w:t>significantly higher under this alternative, potentially serving as a barrier to entry for some innovators.</w:t>
      </w:r>
    </w:p>
    <w:p w14:paraId="009D3791" w14:textId="04029317" w:rsidR="007014B1" w:rsidRPr="00CF6436" w:rsidRDefault="21B48356" w:rsidP="008C177C">
      <w:pPr>
        <w:pStyle w:val="ListParagraph"/>
        <w:numPr>
          <w:ilvl w:val="0"/>
          <w:numId w:val="11"/>
        </w:numPr>
        <w:spacing w:line="360" w:lineRule="auto"/>
        <w:ind w:left="720"/>
        <w:rPr>
          <w:rFonts w:ascii="Segoe UI" w:hAnsi="Segoe UI" w:cs="Segoe UI"/>
        </w:rPr>
      </w:pPr>
      <w:r w:rsidRPr="736A6D4F">
        <w:rPr>
          <w:rFonts w:ascii="Segoe UI" w:hAnsi="Segoe UI" w:cs="Segoe UI"/>
        </w:rPr>
        <w:t xml:space="preserve">For Alternative 3, </w:t>
      </w:r>
      <w:r w:rsidR="40F7D34A" w:rsidRPr="736A6D4F">
        <w:rPr>
          <w:rFonts w:ascii="Segoe UI" w:hAnsi="Segoe UI" w:cs="Segoe UI"/>
        </w:rPr>
        <w:t>the Across</w:t>
      </w:r>
      <w:r w:rsidR="75C1B19E" w:rsidRPr="736A6D4F">
        <w:rPr>
          <w:rFonts w:ascii="Segoe UI" w:hAnsi="Segoe UI" w:cs="Segoe UI"/>
        </w:rPr>
        <w:t>-</w:t>
      </w:r>
      <w:r w:rsidR="40F7D34A" w:rsidRPr="736A6D4F">
        <w:rPr>
          <w:rFonts w:ascii="Segoe UI" w:hAnsi="Segoe UI" w:cs="Segoe UI"/>
        </w:rPr>
        <w:t>the</w:t>
      </w:r>
      <w:r w:rsidR="75C1B19E" w:rsidRPr="736A6D4F">
        <w:rPr>
          <w:rFonts w:ascii="Segoe UI" w:hAnsi="Segoe UI" w:cs="Segoe UI"/>
        </w:rPr>
        <w:t>-</w:t>
      </w:r>
      <w:r w:rsidR="40F7D34A" w:rsidRPr="736A6D4F">
        <w:rPr>
          <w:rFonts w:ascii="Segoe UI" w:hAnsi="Segoe UI" w:cs="Segoe UI"/>
        </w:rPr>
        <w:t>Board Adjustment</w:t>
      </w:r>
      <w:r w:rsidRPr="736A6D4F">
        <w:rPr>
          <w:rFonts w:ascii="Segoe UI" w:hAnsi="Segoe UI" w:cs="Segoe UI"/>
        </w:rPr>
        <w:t xml:space="preserve">, the fee schedule design offers no costs or benefits beyond the Baseline because the fee </w:t>
      </w:r>
      <w:r w:rsidR="418264E9" w:rsidRPr="736A6D4F">
        <w:rPr>
          <w:rFonts w:ascii="Segoe UI" w:hAnsi="Segoe UI" w:cs="Segoe UI"/>
        </w:rPr>
        <w:t xml:space="preserve">structure </w:t>
      </w:r>
      <w:r w:rsidRPr="736A6D4F">
        <w:rPr>
          <w:rFonts w:ascii="Segoe UI" w:hAnsi="Segoe UI" w:cs="Segoe UI"/>
        </w:rPr>
        <w:t>remains intact</w:t>
      </w:r>
      <w:r w:rsidR="179AA89F" w:rsidRPr="736A6D4F">
        <w:rPr>
          <w:rFonts w:ascii="Segoe UI" w:hAnsi="Segoe UI" w:cs="Segoe UI"/>
        </w:rPr>
        <w:t>,</w:t>
      </w:r>
      <w:r w:rsidRPr="736A6D4F">
        <w:rPr>
          <w:rFonts w:ascii="Segoe UI" w:hAnsi="Segoe UI" w:cs="Segoe UI"/>
        </w:rPr>
        <w:t xml:space="preserve"> with changes only to the fee rates.</w:t>
      </w:r>
    </w:p>
    <w:p w14:paraId="2A6972BE" w14:textId="6085224D" w:rsidR="00DE7FD2" w:rsidRPr="00CF6436" w:rsidRDefault="4E81A55A" w:rsidP="7DB068C6">
      <w:pPr>
        <w:pStyle w:val="ListParagraph"/>
        <w:numPr>
          <w:ilvl w:val="0"/>
          <w:numId w:val="11"/>
        </w:numPr>
        <w:spacing w:line="360" w:lineRule="auto"/>
        <w:ind w:left="720"/>
        <w:rPr>
          <w:rFonts w:ascii="Segoe UI" w:hAnsi="Segoe UI" w:cs="Segoe UI"/>
        </w:rPr>
      </w:pPr>
      <w:r w:rsidRPr="736A6D4F">
        <w:rPr>
          <w:rFonts w:ascii="Segoe UI" w:hAnsi="Segoe UI" w:cs="Segoe UI"/>
        </w:rPr>
        <w:t xml:space="preserve">Finally, </w:t>
      </w:r>
      <w:r w:rsidR="179AA89F" w:rsidRPr="736A6D4F">
        <w:rPr>
          <w:rFonts w:ascii="Segoe UI" w:hAnsi="Segoe UI" w:cs="Segoe UI"/>
        </w:rPr>
        <w:t xml:space="preserve">Alternative 4, </w:t>
      </w:r>
      <w:r w:rsidRPr="736A6D4F">
        <w:rPr>
          <w:rFonts w:ascii="Segoe UI" w:hAnsi="Segoe UI" w:cs="Segoe UI"/>
        </w:rPr>
        <w:t>the Baseline</w:t>
      </w:r>
      <w:r w:rsidR="179AA89F" w:rsidRPr="736A6D4F">
        <w:rPr>
          <w:rFonts w:ascii="Segoe UI" w:hAnsi="Segoe UI" w:cs="Segoe UI"/>
        </w:rPr>
        <w:t>,</w:t>
      </w:r>
      <w:r w:rsidRPr="736A6D4F">
        <w:rPr>
          <w:rFonts w:ascii="Segoe UI" w:hAnsi="Segoe UI" w:cs="Segoe UI"/>
        </w:rPr>
        <w:t xml:space="preserve"> offers no</w:t>
      </w:r>
      <w:r w:rsidR="55A5614B" w:rsidRPr="736A6D4F">
        <w:rPr>
          <w:rFonts w:ascii="Segoe UI" w:hAnsi="Segoe UI" w:cs="Segoe UI"/>
        </w:rPr>
        <w:t xml:space="preserve"> new</w:t>
      </w:r>
      <w:r w:rsidRPr="736A6D4F">
        <w:rPr>
          <w:rFonts w:ascii="Segoe UI" w:hAnsi="Segoe UI" w:cs="Segoe UI"/>
        </w:rPr>
        <w:t xml:space="preserve"> fee schedule design benefits or costs.</w:t>
      </w:r>
    </w:p>
    <w:p w14:paraId="2A63BE4A" w14:textId="0C0C6367" w:rsidR="007014B1" w:rsidRPr="00004B30" w:rsidRDefault="24F67EBF" w:rsidP="7DB068C6">
      <w:pPr>
        <w:spacing w:line="360" w:lineRule="auto"/>
        <w:ind w:firstLine="450"/>
        <w:rPr>
          <w:rFonts w:ascii="Segoe UI" w:hAnsi="Segoe UI" w:cs="Segoe UI"/>
        </w:rPr>
      </w:pPr>
      <w:r w:rsidRPr="736A6D4F">
        <w:rPr>
          <w:rFonts w:ascii="Segoe UI" w:hAnsi="Segoe UI" w:cs="Segoe UI"/>
        </w:rPr>
        <w:t xml:space="preserve">In summary, while Alternatives 1, 3, and 4 have acceptable fee schedule designs, the </w:t>
      </w:r>
      <w:r w:rsidR="1F814156" w:rsidRPr="736A6D4F">
        <w:rPr>
          <w:rFonts w:ascii="Segoe UI" w:hAnsi="Segoe UI" w:cs="Segoe UI"/>
        </w:rPr>
        <w:t>fee schedule adjustments</w:t>
      </w:r>
      <w:r w:rsidRPr="736A6D4F">
        <w:rPr>
          <w:rFonts w:ascii="Segoe UI" w:hAnsi="Segoe UI" w:cs="Segoe UI"/>
        </w:rPr>
        <w:t xml:space="preserve"> in Alternative 1 offer </w:t>
      </w:r>
      <w:r w:rsidR="626DD0AD" w:rsidRPr="736A6D4F">
        <w:rPr>
          <w:rFonts w:ascii="Segoe UI" w:hAnsi="Segoe UI" w:cs="Segoe UI"/>
        </w:rPr>
        <w:t xml:space="preserve">more fee schedule design </w:t>
      </w:r>
      <w:r w:rsidRPr="736A6D4F">
        <w:rPr>
          <w:rFonts w:ascii="Segoe UI" w:hAnsi="Segoe UI" w:cs="Segoe UI"/>
        </w:rPr>
        <w:t xml:space="preserve">benefits over </w:t>
      </w:r>
      <w:r w:rsidR="626DD0AD" w:rsidRPr="736A6D4F">
        <w:rPr>
          <w:rFonts w:ascii="Segoe UI" w:hAnsi="Segoe UI" w:cs="Segoe UI"/>
        </w:rPr>
        <w:t>Alternative</w:t>
      </w:r>
      <w:r w:rsidR="39F0991A" w:rsidRPr="736A6D4F">
        <w:rPr>
          <w:rFonts w:ascii="Segoe UI" w:hAnsi="Segoe UI" w:cs="Segoe UI"/>
        </w:rPr>
        <w:t>s</w:t>
      </w:r>
      <w:r w:rsidR="626DD0AD" w:rsidRPr="736A6D4F">
        <w:rPr>
          <w:rFonts w:ascii="Segoe UI" w:hAnsi="Segoe UI" w:cs="Segoe UI"/>
        </w:rPr>
        <w:t xml:space="preserve"> 3 and 4</w:t>
      </w:r>
      <w:r w:rsidR="32CF6938" w:rsidRPr="736A6D4F">
        <w:rPr>
          <w:rFonts w:ascii="Segoe UI" w:hAnsi="Segoe UI" w:cs="Segoe UI"/>
        </w:rPr>
        <w:t>.</w:t>
      </w:r>
    </w:p>
    <w:p w14:paraId="79B605F2" w14:textId="4921E9A3" w:rsidR="007C7AAB" w:rsidRPr="00CF6436" w:rsidRDefault="769EBF6B" w:rsidP="7DB068C6">
      <w:pPr>
        <w:spacing w:line="360" w:lineRule="auto"/>
        <w:ind w:firstLine="450"/>
        <w:rPr>
          <w:rFonts w:ascii="Segoe UI" w:eastAsia="Segoe UI" w:hAnsi="Segoe UI" w:cs="Segoe UI"/>
        </w:rPr>
      </w:pPr>
      <w:r w:rsidRPr="736A6D4F">
        <w:rPr>
          <w:rFonts w:ascii="Segoe UI" w:hAnsi="Segoe UI" w:cs="Segoe UI"/>
        </w:rPr>
        <w:t xml:space="preserve">Discussion of the costs and benefits of securing </w:t>
      </w:r>
      <w:r w:rsidR="2354D211" w:rsidRPr="736A6D4F">
        <w:rPr>
          <w:rFonts w:ascii="Segoe UI" w:hAnsi="Segoe UI" w:cs="Segoe UI"/>
        </w:rPr>
        <w:t xml:space="preserve">aggregate revenue to </w:t>
      </w:r>
      <w:r w:rsidR="1EB18C80" w:rsidRPr="736A6D4F">
        <w:rPr>
          <w:rFonts w:ascii="Segoe UI" w:hAnsi="Segoe UI" w:cs="Segoe UI"/>
        </w:rPr>
        <w:t>re</w:t>
      </w:r>
      <w:r w:rsidR="2354D211" w:rsidRPr="736A6D4F">
        <w:rPr>
          <w:rFonts w:ascii="Segoe UI" w:hAnsi="Segoe UI" w:cs="Segoe UI"/>
        </w:rPr>
        <w:t>cover aggregate cost</w:t>
      </w:r>
      <w:r w:rsidR="2519E5A0" w:rsidRPr="736A6D4F">
        <w:rPr>
          <w:rFonts w:ascii="Segoe UI" w:hAnsi="Segoe UI" w:cs="Segoe UI"/>
        </w:rPr>
        <w:t>s</w:t>
      </w:r>
      <w:r w:rsidR="1963FBF2" w:rsidRPr="736A6D4F">
        <w:rPr>
          <w:rFonts w:ascii="Segoe UI" w:hAnsi="Segoe UI" w:cs="Segoe UI"/>
        </w:rPr>
        <w:t xml:space="preserve"> assesses if</w:t>
      </w:r>
      <w:r w:rsidR="1E4DC3FC" w:rsidRPr="736A6D4F">
        <w:rPr>
          <w:rFonts w:ascii="Segoe UI" w:hAnsi="Segoe UI" w:cs="Segoe UI"/>
        </w:rPr>
        <w:t>,</w:t>
      </w:r>
      <w:r w:rsidR="1963FBF2" w:rsidRPr="736A6D4F">
        <w:rPr>
          <w:rFonts w:ascii="Segoe UI" w:hAnsi="Segoe UI" w:cs="Segoe UI"/>
        </w:rPr>
        <w:t xml:space="preserve"> and how well</w:t>
      </w:r>
      <w:r w:rsidR="1E4DC3FC" w:rsidRPr="736A6D4F">
        <w:rPr>
          <w:rFonts w:ascii="Segoe UI" w:hAnsi="Segoe UI" w:cs="Segoe UI"/>
        </w:rPr>
        <w:t>,</w:t>
      </w:r>
      <w:r w:rsidR="1963FBF2" w:rsidRPr="736A6D4F">
        <w:rPr>
          <w:rFonts w:ascii="Segoe UI" w:hAnsi="Segoe UI" w:cs="Segoe UI"/>
        </w:rPr>
        <w:t xml:space="preserve"> </w:t>
      </w:r>
      <w:r w:rsidR="1D86AFCF" w:rsidRPr="736A6D4F">
        <w:rPr>
          <w:rFonts w:ascii="Segoe UI" w:hAnsi="Segoe UI" w:cs="Segoe UI"/>
        </w:rPr>
        <w:t xml:space="preserve">the USPTO projects </w:t>
      </w:r>
      <w:r w:rsidR="1963FBF2" w:rsidRPr="736A6D4F">
        <w:rPr>
          <w:rFonts w:ascii="Segoe UI" w:hAnsi="Segoe UI" w:cs="Segoe UI"/>
        </w:rPr>
        <w:t xml:space="preserve">an alternative </w:t>
      </w:r>
      <w:r w:rsidR="1D86AFCF" w:rsidRPr="736A6D4F">
        <w:rPr>
          <w:rFonts w:ascii="Segoe UI" w:hAnsi="Segoe UI" w:cs="Segoe UI"/>
        </w:rPr>
        <w:t xml:space="preserve">will </w:t>
      </w:r>
      <w:r w:rsidR="1963FBF2" w:rsidRPr="736A6D4F">
        <w:rPr>
          <w:rFonts w:ascii="Segoe UI" w:hAnsi="Segoe UI" w:cs="Segoe UI"/>
        </w:rPr>
        <w:t xml:space="preserve">achieve the minimal level of </w:t>
      </w:r>
      <w:r w:rsidR="1EB18C80" w:rsidRPr="736A6D4F">
        <w:rPr>
          <w:rFonts w:ascii="Segoe UI" w:hAnsi="Segoe UI" w:cs="Segoe UI"/>
        </w:rPr>
        <w:t xml:space="preserve">aggregate </w:t>
      </w:r>
      <w:r w:rsidR="1963FBF2" w:rsidRPr="736A6D4F">
        <w:rPr>
          <w:rFonts w:ascii="Segoe UI" w:hAnsi="Segoe UI" w:cs="Segoe UI"/>
        </w:rPr>
        <w:t xml:space="preserve">revenue </w:t>
      </w:r>
      <w:r w:rsidR="4DAAD65D" w:rsidRPr="736A6D4F">
        <w:rPr>
          <w:rFonts w:ascii="Segoe UI" w:hAnsi="Segoe UI" w:cs="Segoe UI"/>
        </w:rPr>
        <w:t xml:space="preserve">needed </w:t>
      </w:r>
      <w:r w:rsidR="1963FBF2" w:rsidRPr="736A6D4F">
        <w:rPr>
          <w:rFonts w:ascii="Segoe UI" w:hAnsi="Segoe UI" w:cs="Segoe UI"/>
        </w:rPr>
        <w:t xml:space="preserve">to </w:t>
      </w:r>
      <w:r w:rsidR="1EB18C80" w:rsidRPr="736A6D4F">
        <w:rPr>
          <w:rFonts w:ascii="Segoe UI" w:hAnsi="Segoe UI" w:cs="Segoe UI"/>
        </w:rPr>
        <w:t xml:space="preserve">recover </w:t>
      </w:r>
      <w:r w:rsidR="0F47EDA9" w:rsidRPr="736A6D4F">
        <w:rPr>
          <w:rFonts w:ascii="Segoe UI" w:hAnsi="Segoe UI" w:cs="Segoe UI"/>
        </w:rPr>
        <w:t xml:space="preserve">the </w:t>
      </w:r>
      <w:r w:rsidR="1EB18C80" w:rsidRPr="736A6D4F">
        <w:rPr>
          <w:rFonts w:ascii="Segoe UI" w:hAnsi="Segoe UI" w:cs="Segoe UI"/>
        </w:rPr>
        <w:t>aggregate cost</w:t>
      </w:r>
      <w:r w:rsidR="58E3C827" w:rsidRPr="736A6D4F">
        <w:rPr>
          <w:rFonts w:ascii="Segoe UI" w:hAnsi="Segoe UI" w:cs="Segoe UI"/>
        </w:rPr>
        <w:t>s</w:t>
      </w:r>
      <w:r w:rsidR="1EB18C80" w:rsidRPr="736A6D4F">
        <w:rPr>
          <w:rFonts w:ascii="Segoe UI" w:hAnsi="Segoe UI" w:cs="Segoe UI"/>
        </w:rPr>
        <w:t xml:space="preserve"> of operations</w:t>
      </w:r>
      <w:r w:rsidR="78935003" w:rsidRPr="736A6D4F">
        <w:rPr>
          <w:rFonts w:ascii="Segoe UI" w:hAnsi="Segoe UI" w:cs="Segoe UI"/>
        </w:rPr>
        <w:t>,</w:t>
      </w:r>
      <w:r w:rsidR="1EB18C80" w:rsidRPr="736A6D4F">
        <w:rPr>
          <w:rFonts w:ascii="Segoe UI" w:hAnsi="Segoe UI" w:cs="Segoe UI"/>
        </w:rPr>
        <w:t xml:space="preserve"> </w:t>
      </w:r>
      <w:r w:rsidR="1963FBF2" w:rsidRPr="736A6D4F">
        <w:rPr>
          <w:rFonts w:ascii="Segoe UI" w:hAnsi="Segoe UI" w:cs="Segoe UI"/>
        </w:rPr>
        <w:t xml:space="preserve">sustain progress toward </w:t>
      </w:r>
      <w:r w:rsidR="1851C905" w:rsidRPr="736A6D4F">
        <w:rPr>
          <w:rFonts w:ascii="Segoe UI" w:hAnsi="Segoe UI" w:cs="Segoe UI"/>
        </w:rPr>
        <w:t xml:space="preserve">achieving </w:t>
      </w:r>
      <w:r w:rsidR="1151DE0A" w:rsidRPr="736A6D4F">
        <w:rPr>
          <w:rFonts w:ascii="Segoe UI" w:hAnsi="Segoe UI" w:cs="Segoe UI"/>
        </w:rPr>
        <w:t>the core</w:t>
      </w:r>
      <w:r w:rsidR="4DAAD65D" w:rsidRPr="736A6D4F">
        <w:rPr>
          <w:rFonts w:ascii="Segoe UI" w:hAnsi="Segoe UI" w:cs="Segoe UI"/>
        </w:rPr>
        <w:t xml:space="preserve"> patent-related</w:t>
      </w:r>
      <w:r w:rsidR="1151DE0A" w:rsidRPr="736A6D4F">
        <w:rPr>
          <w:rFonts w:ascii="Segoe UI" w:hAnsi="Segoe UI" w:cs="Segoe UI"/>
        </w:rPr>
        <w:t xml:space="preserve"> mission </w:t>
      </w:r>
      <w:r w:rsidR="1EB18C80" w:rsidRPr="736A6D4F">
        <w:rPr>
          <w:rFonts w:ascii="Segoe UI" w:hAnsi="Segoe UI" w:cs="Segoe UI"/>
        </w:rPr>
        <w:t>(</w:t>
      </w:r>
      <w:r w:rsidR="56937BEC" w:rsidRPr="736A6D4F">
        <w:rPr>
          <w:rFonts w:ascii="Segoe UI" w:hAnsi="Segoe UI" w:cs="Segoe UI"/>
        </w:rPr>
        <w:t>p</w:t>
      </w:r>
      <w:r w:rsidR="1EB18C80" w:rsidRPr="736A6D4F">
        <w:rPr>
          <w:rFonts w:ascii="Segoe UI" w:hAnsi="Segoe UI" w:cs="Segoe UI"/>
        </w:rPr>
        <w:t>atent operations)</w:t>
      </w:r>
      <w:r w:rsidR="25F8CE51" w:rsidRPr="736A6D4F">
        <w:rPr>
          <w:rFonts w:ascii="Segoe UI" w:hAnsi="Segoe UI" w:cs="Segoe UI"/>
        </w:rPr>
        <w:t>,</w:t>
      </w:r>
      <w:r w:rsidR="1EB18C80" w:rsidRPr="736A6D4F">
        <w:rPr>
          <w:rFonts w:ascii="Segoe UI" w:hAnsi="Segoe UI" w:cs="Segoe UI"/>
        </w:rPr>
        <w:t xml:space="preserve"> </w:t>
      </w:r>
      <w:r w:rsidR="25F8CE51" w:rsidRPr="736A6D4F">
        <w:rPr>
          <w:rFonts w:ascii="Segoe UI" w:hAnsi="Segoe UI" w:cs="Segoe UI"/>
        </w:rPr>
        <w:t xml:space="preserve">implement </w:t>
      </w:r>
      <w:r w:rsidR="1151DE0A" w:rsidRPr="736A6D4F">
        <w:rPr>
          <w:rFonts w:ascii="Segoe UI" w:hAnsi="Segoe UI" w:cs="Segoe UI"/>
        </w:rPr>
        <w:t>strategic</w:t>
      </w:r>
      <w:r w:rsidR="4F5F2E6B" w:rsidRPr="736A6D4F">
        <w:rPr>
          <w:rFonts w:ascii="Segoe UI" w:hAnsi="Segoe UI" w:cs="Segoe UI"/>
        </w:rPr>
        <w:t xml:space="preserve"> priorities</w:t>
      </w:r>
      <w:r w:rsidR="3569DEB3" w:rsidRPr="736A6D4F">
        <w:rPr>
          <w:rFonts w:ascii="Segoe UI" w:hAnsi="Segoe UI" w:cs="Segoe UI"/>
        </w:rPr>
        <w:t xml:space="preserve">, and achieve </w:t>
      </w:r>
      <w:r w:rsidR="30AB39FE" w:rsidRPr="736A6D4F">
        <w:rPr>
          <w:rFonts w:ascii="Segoe UI" w:hAnsi="Segoe UI" w:cs="Segoe UI"/>
        </w:rPr>
        <w:t xml:space="preserve">sufficient </w:t>
      </w:r>
      <w:r w:rsidR="3569DEB3" w:rsidRPr="736A6D4F">
        <w:rPr>
          <w:rFonts w:ascii="Segoe UI" w:hAnsi="Segoe UI" w:cs="Segoe UI"/>
        </w:rPr>
        <w:t>operating reserve balances</w:t>
      </w:r>
      <w:r w:rsidR="7C091D7D" w:rsidRPr="736A6D4F">
        <w:rPr>
          <w:rFonts w:ascii="Segoe UI" w:hAnsi="Segoe UI" w:cs="Segoe UI"/>
        </w:rPr>
        <w:t xml:space="preserve"> as</w:t>
      </w:r>
      <w:r w:rsidR="3D83EEDC" w:rsidRPr="736A6D4F">
        <w:rPr>
          <w:rFonts w:ascii="Segoe UI" w:hAnsi="Segoe UI" w:cs="Segoe UI"/>
        </w:rPr>
        <w:t xml:space="preserve"> discussed</w:t>
      </w:r>
      <w:r w:rsidR="1151DE0A" w:rsidRPr="736A6D4F">
        <w:rPr>
          <w:rFonts w:ascii="Segoe UI" w:hAnsi="Segoe UI" w:cs="Segoe UI"/>
        </w:rPr>
        <w:t xml:space="preserve"> </w:t>
      </w:r>
      <w:r w:rsidR="1963FBF2" w:rsidRPr="736A6D4F">
        <w:rPr>
          <w:rFonts w:ascii="Segoe UI" w:hAnsi="Segoe UI" w:cs="Segoe UI"/>
        </w:rPr>
        <w:t>in both the</w:t>
      </w:r>
      <w:r w:rsidR="007D1279">
        <w:rPr>
          <w:rFonts w:ascii="Segoe UI" w:hAnsi="Segoe UI" w:cs="Segoe UI"/>
        </w:rPr>
        <w:t xml:space="preserve"> final rule</w:t>
      </w:r>
      <w:r w:rsidR="1963FBF2" w:rsidRPr="736A6D4F">
        <w:rPr>
          <w:rFonts w:ascii="Segoe UI" w:hAnsi="Segoe UI" w:cs="Segoe UI"/>
        </w:rPr>
        <w:t xml:space="preserve"> and the </w:t>
      </w:r>
      <w:r w:rsidR="24A83FF1" w:rsidRPr="736A6D4F">
        <w:rPr>
          <w:rFonts w:ascii="Segoe UI" w:hAnsi="Segoe UI" w:cs="Segoe UI"/>
        </w:rPr>
        <w:t xml:space="preserve">FY </w:t>
      </w:r>
      <w:r w:rsidR="4B56BEA8" w:rsidRPr="736A6D4F">
        <w:rPr>
          <w:rFonts w:ascii="Segoe UI" w:hAnsi="Segoe UI" w:cs="Segoe UI"/>
        </w:rPr>
        <w:t>2025 Budget</w:t>
      </w:r>
      <w:r w:rsidR="0E01E367" w:rsidRPr="736A6D4F">
        <w:rPr>
          <w:rFonts w:ascii="Segoe UI" w:hAnsi="Segoe UI" w:cs="Segoe UI"/>
        </w:rPr>
        <w:t>.</w:t>
      </w:r>
      <w:r w:rsidR="206E477E" w:rsidRPr="736A6D4F">
        <w:rPr>
          <w:rFonts w:ascii="Segoe UI" w:hAnsi="Segoe UI" w:cs="Segoe UI"/>
        </w:rPr>
        <w:t xml:space="preserve"> </w:t>
      </w:r>
      <w:r w:rsidR="2735EF0C" w:rsidRPr="736A6D4F">
        <w:rPr>
          <w:rFonts w:ascii="Segoe UI" w:hAnsi="Segoe UI" w:cs="Segoe UI"/>
        </w:rPr>
        <w:t>See</w:t>
      </w:r>
      <w:r w:rsidR="65761670" w:rsidRPr="736A6D4F">
        <w:rPr>
          <w:rFonts w:ascii="Segoe UI" w:hAnsi="Segoe UI" w:cs="Segoe UI"/>
        </w:rPr>
        <w:t xml:space="preserve"> the </w:t>
      </w:r>
      <w:hyperlink r:id="rId19" w:history="1">
        <w:r w:rsidR="002F28A1" w:rsidRPr="002F28A1">
          <w:rPr>
            <w:rStyle w:val="Hyperlink"/>
            <w:rFonts w:ascii="Segoe UI" w:hAnsi="Segoe UI" w:cs="Segoe UI"/>
          </w:rPr>
          <w:t>budget and financial information section of the USPTO website</w:t>
        </w:r>
      </w:hyperlink>
      <w:r w:rsidR="2FF039E2" w:rsidRPr="35BCEB2A">
        <w:rPr>
          <w:rFonts w:ascii="Segoe UI" w:hAnsi="Segoe UI" w:cs="Segoe UI"/>
        </w:rPr>
        <w:t xml:space="preserve"> </w:t>
      </w:r>
      <w:r w:rsidR="7101C537" w:rsidRPr="35BCEB2A">
        <w:rPr>
          <w:rFonts w:ascii="Segoe UI" w:eastAsia="Segoe UI" w:hAnsi="Segoe UI" w:cs="Segoe UI"/>
        </w:rPr>
        <w:t>f</w:t>
      </w:r>
      <w:r w:rsidR="143B8E6B" w:rsidRPr="35BCEB2A">
        <w:rPr>
          <w:rFonts w:ascii="Segoe UI" w:eastAsia="Segoe UI" w:hAnsi="Segoe UI" w:cs="Segoe UI"/>
        </w:rPr>
        <w:t xml:space="preserve">or a copy of the </w:t>
      </w:r>
      <w:r w:rsidR="6A9D42B8" w:rsidRPr="35BCEB2A">
        <w:rPr>
          <w:rFonts w:ascii="Segoe UI" w:eastAsia="Segoe UI" w:hAnsi="Segoe UI" w:cs="Segoe UI"/>
        </w:rPr>
        <w:t>b</w:t>
      </w:r>
      <w:r w:rsidR="143B8E6B" w:rsidRPr="35BCEB2A">
        <w:rPr>
          <w:rFonts w:ascii="Segoe UI" w:eastAsia="Segoe UI" w:hAnsi="Segoe UI" w:cs="Segoe UI"/>
        </w:rPr>
        <w:t>udget.</w:t>
      </w:r>
    </w:p>
    <w:p w14:paraId="570F0D53" w14:textId="3F5616A9" w:rsidR="00DF416D" w:rsidRPr="00CF6436" w:rsidRDefault="154B0E86" w:rsidP="7DB068C6">
      <w:pPr>
        <w:spacing w:line="360" w:lineRule="auto"/>
        <w:ind w:firstLine="450"/>
        <w:rPr>
          <w:rFonts w:ascii="Segoe UI" w:hAnsi="Segoe UI" w:cs="Segoe UI"/>
        </w:rPr>
      </w:pPr>
      <w:r w:rsidRPr="736A6D4F">
        <w:rPr>
          <w:rFonts w:ascii="Segoe UI" w:eastAsia="Segoe UI" w:hAnsi="Segoe UI" w:cs="Segoe UI"/>
        </w:rPr>
        <w:t xml:space="preserve">The </w:t>
      </w:r>
      <w:r w:rsidR="1152B4C1" w:rsidRPr="736A6D4F">
        <w:rPr>
          <w:rFonts w:ascii="Segoe UI" w:eastAsia="Segoe UI" w:hAnsi="Segoe UI" w:cs="Segoe UI"/>
        </w:rPr>
        <w:t xml:space="preserve">USPTO’s </w:t>
      </w:r>
      <w:r w:rsidRPr="736A6D4F">
        <w:rPr>
          <w:rFonts w:ascii="Segoe UI" w:eastAsia="Segoe UI" w:hAnsi="Segoe UI" w:cs="Segoe UI"/>
        </w:rPr>
        <w:t>analysis</w:t>
      </w:r>
      <w:r w:rsidR="509505DE" w:rsidRPr="736A6D4F">
        <w:rPr>
          <w:rFonts w:ascii="Segoe UI" w:eastAsia="Segoe UI" w:hAnsi="Segoe UI" w:cs="Segoe UI"/>
        </w:rPr>
        <w:t xml:space="preserve"> of aggregate revenue</w:t>
      </w:r>
      <w:r w:rsidR="4644A9B6" w:rsidRPr="736A6D4F">
        <w:rPr>
          <w:rFonts w:ascii="Segoe UI" w:eastAsia="Segoe UI" w:hAnsi="Segoe UI" w:cs="Segoe UI"/>
        </w:rPr>
        <w:t>, base</w:t>
      </w:r>
      <w:r w:rsidR="4644A9B6" w:rsidRPr="736A6D4F">
        <w:rPr>
          <w:rFonts w:ascii="Segoe UI" w:hAnsi="Segoe UI" w:cs="Segoe UI"/>
        </w:rPr>
        <w:t xml:space="preserve">d on assumptions found in the </w:t>
      </w:r>
      <w:r w:rsidR="00562765">
        <w:rPr>
          <w:rFonts w:ascii="Segoe UI" w:hAnsi="Segoe UI" w:cs="Segoe UI"/>
        </w:rPr>
        <w:t>FR</w:t>
      </w:r>
      <w:r w:rsidR="4644A9B6" w:rsidRPr="736A6D4F">
        <w:rPr>
          <w:rFonts w:ascii="Segoe UI" w:hAnsi="Segoe UI" w:cs="Segoe UI"/>
        </w:rPr>
        <w:t xml:space="preserve"> and the FY 202</w:t>
      </w:r>
      <w:r w:rsidR="6F741FA0" w:rsidRPr="736A6D4F">
        <w:rPr>
          <w:rFonts w:ascii="Segoe UI" w:hAnsi="Segoe UI" w:cs="Segoe UI"/>
        </w:rPr>
        <w:t>5</w:t>
      </w:r>
      <w:r w:rsidR="4644A9B6" w:rsidRPr="736A6D4F">
        <w:rPr>
          <w:rFonts w:ascii="Segoe UI" w:hAnsi="Segoe UI" w:cs="Segoe UI"/>
        </w:rPr>
        <w:t xml:space="preserve"> Budget</w:t>
      </w:r>
      <w:r w:rsidR="1B7A80C8" w:rsidRPr="736A6D4F">
        <w:rPr>
          <w:rFonts w:ascii="Segoe UI" w:hAnsi="Segoe UI" w:cs="Segoe UI"/>
        </w:rPr>
        <w:t>,</w:t>
      </w:r>
      <w:r w:rsidRPr="736A6D4F">
        <w:rPr>
          <w:rFonts w:ascii="Segoe UI" w:hAnsi="Segoe UI" w:cs="Segoe UI"/>
        </w:rPr>
        <w:t xml:space="preserve"> reveals that</w:t>
      </w:r>
      <w:r w:rsidR="42D71960" w:rsidRPr="736A6D4F">
        <w:rPr>
          <w:rFonts w:ascii="Segoe UI" w:hAnsi="Segoe UI" w:cs="Segoe UI"/>
        </w:rPr>
        <w:t>:</w:t>
      </w:r>
    </w:p>
    <w:p w14:paraId="777EFF18" w14:textId="712532C9" w:rsidR="00DF416D" w:rsidRPr="00CF6436" w:rsidRDefault="6784FDE8" w:rsidP="643922F3">
      <w:pPr>
        <w:pStyle w:val="ListParagraph"/>
        <w:numPr>
          <w:ilvl w:val="0"/>
          <w:numId w:val="10"/>
        </w:numPr>
        <w:spacing w:line="360" w:lineRule="auto"/>
        <w:ind w:left="720"/>
        <w:rPr>
          <w:rFonts w:ascii="Segoe UI" w:hAnsi="Segoe UI" w:cs="Segoe UI"/>
        </w:rPr>
      </w:pPr>
      <w:r w:rsidRPr="736A6D4F">
        <w:rPr>
          <w:rFonts w:ascii="Segoe UI" w:hAnsi="Segoe UI" w:cs="Segoe UI"/>
        </w:rPr>
        <w:t xml:space="preserve">Alternatives 1, </w:t>
      </w:r>
      <w:r w:rsidR="0F0C41ED" w:rsidRPr="736A6D4F">
        <w:rPr>
          <w:rFonts w:ascii="Segoe UI" w:hAnsi="Segoe UI" w:cs="Segoe UI"/>
        </w:rPr>
        <w:t xml:space="preserve">2, and </w:t>
      </w:r>
      <w:r w:rsidRPr="736A6D4F">
        <w:rPr>
          <w:rFonts w:ascii="Segoe UI" w:hAnsi="Segoe UI" w:cs="Segoe UI"/>
        </w:rPr>
        <w:t>3</w:t>
      </w:r>
      <w:r w:rsidR="0F0C41ED" w:rsidRPr="736A6D4F">
        <w:rPr>
          <w:rFonts w:ascii="Segoe UI" w:hAnsi="Segoe UI" w:cs="Segoe UI"/>
        </w:rPr>
        <w:t xml:space="preserve"> </w:t>
      </w:r>
      <w:r w:rsidR="5FAE873A" w:rsidRPr="736A6D4F">
        <w:rPr>
          <w:rFonts w:ascii="Segoe UI" w:hAnsi="Segoe UI" w:cs="Segoe UI"/>
        </w:rPr>
        <w:t>secure</w:t>
      </w:r>
      <w:r w:rsidRPr="736A6D4F">
        <w:rPr>
          <w:rFonts w:ascii="Segoe UI" w:hAnsi="Segoe UI" w:cs="Segoe UI"/>
        </w:rPr>
        <w:t xml:space="preserve"> adequate</w:t>
      </w:r>
      <w:r w:rsidR="5FAE873A" w:rsidRPr="736A6D4F">
        <w:rPr>
          <w:rFonts w:ascii="Segoe UI" w:hAnsi="Segoe UI" w:cs="Segoe UI"/>
        </w:rPr>
        <w:t xml:space="preserve"> aggregate</w:t>
      </w:r>
      <w:r w:rsidRPr="736A6D4F">
        <w:rPr>
          <w:rFonts w:ascii="Segoe UI" w:hAnsi="Segoe UI" w:cs="Segoe UI"/>
        </w:rPr>
        <w:t xml:space="preserve"> revenue to fund </w:t>
      </w:r>
      <w:r w:rsidR="5FAE873A" w:rsidRPr="736A6D4F">
        <w:rPr>
          <w:rFonts w:ascii="Segoe UI" w:hAnsi="Segoe UI" w:cs="Segoe UI"/>
        </w:rPr>
        <w:t xml:space="preserve">the </w:t>
      </w:r>
      <w:r w:rsidR="5C5976A9" w:rsidRPr="736A6D4F">
        <w:rPr>
          <w:rFonts w:ascii="Segoe UI" w:hAnsi="Segoe UI" w:cs="Segoe UI"/>
        </w:rPr>
        <w:t>aggregate cost</w:t>
      </w:r>
      <w:r w:rsidR="1152B4C1" w:rsidRPr="736A6D4F">
        <w:rPr>
          <w:rFonts w:ascii="Segoe UI" w:hAnsi="Segoe UI" w:cs="Segoe UI"/>
        </w:rPr>
        <w:t>s</w:t>
      </w:r>
      <w:r w:rsidR="5C5976A9" w:rsidRPr="736A6D4F">
        <w:rPr>
          <w:rFonts w:ascii="Segoe UI" w:hAnsi="Segoe UI" w:cs="Segoe UI"/>
        </w:rPr>
        <w:t xml:space="preserve"> of patent operations and </w:t>
      </w:r>
      <w:r w:rsidR="5FAE873A" w:rsidRPr="736A6D4F">
        <w:rPr>
          <w:rFonts w:ascii="Segoe UI" w:hAnsi="Segoe UI" w:cs="Segoe UI"/>
        </w:rPr>
        <w:t>strategic priorities</w:t>
      </w:r>
      <w:r w:rsidRPr="736A6D4F">
        <w:rPr>
          <w:rFonts w:ascii="Segoe UI" w:hAnsi="Segoe UI" w:cs="Segoe UI"/>
        </w:rPr>
        <w:t>.</w:t>
      </w:r>
      <w:r w:rsidR="32EC5D23" w:rsidRPr="736A6D4F">
        <w:rPr>
          <w:rFonts w:ascii="Segoe UI" w:hAnsi="Segoe UI" w:cs="Segoe UI"/>
        </w:rPr>
        <w:t xml:space="preserve"> </w:t>
      </w:r>
      <w:r w:rsidR="0F0C41ED" w:rsidRPr="736A6D4F">
        <w:rPr>
          <w:rFonts w:ascii="Segoe UI" w:hAnsi="Segoe UI" w:cs="Segoe UI"/>
        </w:rPr>
        <w:t>Given their similar aggregate revenue projections</w:t>
      </w:r>
      <w:r w:rsidR="5FAE873A" w:rsidRPr="736A6D4F">
        <w:rPr>
          <w:rFonts w:ascii="Segoe UI" w:hAnsi="Segoe UI" w:cs="Segoe UI"/>
        </w:rPr>
        <w:t xml:space="preserve"> over the five-year period</w:t>
      </w:r>
      <w:r w:rsidR="0F0C41ED" w:rsidRPr="736A6D4F">
        <w:rPr>
          <w:rFonts w:ascii="Segoe UI" w:hAnsi="Segoe UI" w:cs="Segoe UI"/>
        </w:rPr>
        <w:t xml:space="preserve">, </w:t>
      </w:r>
      <w:r w:rsidR="5FAE873A" w:rsidRPr="736A6D4F">
        <w:rPr>
          <w:rFonts w:ascii="Segoe UI" w:hAnsi="Segoe UI" w:cs="Segoe UI"/>
        </w:rPr>
        <w:t>none</w:t>
      </w:r>
      <w:r w:rsidR="0F0C41ED" w:rsidRPr="736A6D4F">
        <w:rPr>
          <w:rFonts w:ascii="Segoe UI" w:hAnsi="Segoe UI" w:cs="Segoe UI"/>
        </w:rPr>
        <w:t xml:space="preserve"> of the three alternatives has an advantage over the others in terms of achieving the</w:t>
      </w:r>
      <w:r w:rsidR="56DB9A36" w:rsidRPr="736A6D4F">
        <w:rPr>
          <w:rFonts w:ascii="Segoe UI" w:hAnsi="Segoe UI" w:cs="Segoe UI"/>
        </w:rPr>
        <w:t xml:space="preserve"> </w:t>
      </w:r>
      <w:r w:rsidR="5FAE873A" w:rsidRPr="736A6D4F">
        <w:rPr>
          <w:rFonts w:ascii="Segoe UI" w:hAnsi="Segoe UI" w:cs="Segoe UI"/>
        </w:rPr>
        <w:t xml:space="preserve">optimal </w:t>
      </w:r>
      <w:r w:rsidR="0F0C41ED" w:rsidRPr="736A6D4F">
        <w:rPr>
          <w:rFonts w:ascii="Segoe UI" w:hAnsi="Segoe UI" w:cs="Segoe UI"/>
        </w:rPr>
        <w:t>operating reserve balance.</w:t>
      </w:r>
      <w:r w:rsidR="32EC5D23" w:rsidRPr="736A6D4F">
        <w:rPr>
          <w:rFonts w:ascii="Segoe UI" w:hAnsi="Segoe UI" w:cs="Segoe UI"/>
        </w:rPr>
        <w:t xml:space="preserve"> </w:t>
      </w:r>
      <w:r w:rsidR="3A13711B" w:rsidRPr="736A6D4F">
        <w:rPr>
          <w:rFonts w:ascii="Segoe UI" w:hAnsi="Segoe UI" w:cs="Segoe UI"/>
        </w:rPr>
        <w:t>All three stabilize</w:t>
      </w:r>
      <w:r w:rsidR="56DB9A36" w:rsidRPr="736A6D4F">
        <w:rPr>
          <w:rFonts w:ascii="Segoe UI" w:hAnsi="Segoe UI" w:cs="Segoe UI"/>
        </w:rPr>
        <w:t xml:space="preserve"> agency </w:t>
      </w:r>
      <w:r w:rsidR="3A13711B" w:rsidRPr="736A6D4F">
        <w:rPr>
          <w:rFonts w:ascii="Segoe UI" w:hAnsi="Segoe UI" w:cs="Segoe UI"/>
        </w:rPr>
        <w:t>finances and replenish and grow the patent operating reserve toward the optimal level while maintaining the minimum operating reserve</w:t>
      </w:r>
      <w:r w:rsidR="1DBFCE8F" w:rsidRPr="736A6D4F">
        <w:rPr>
          <w:rFonts w:ascii="Segoe UI" w:hAnsi="Segoe UI" w:cs="Segoe UI"/>
        </w:rPr>
        <w:t>.</w:t>
      </w:r>
      <w:r w:rsidR="3A13711B" w:rsidRPr="736A6D4F">
        <w:rPr>
          <w:rFonts w:ascii="Segoe UI" w:hAnsi="Segoe UI" w:cs="Segoe UI"/>
        </w:rPr>
        <w:t xml:space="preserve"> </w:t>
      </w:r>
      <w:r w:rsidR="06944B79" w:rsidRPr="736A6D4F">
        <w:rPr>
          <w:rFonts w:ascii="Segoe UI" w:hAnsi="Segoe UI" w:cs="Segoe UI"/>
        </w:rPr>
        <w:t>They also</w:t>
      </w:r>
      <w:r w:rsidR="3A13711B" w:rsidRPr="736A6D4F">
        <w:rPr>
          <w:rFonts w:ascii="Segoe UI" w:hAnsi="Segoe UI" w:cs="Segoe UI"/>
        </w:rPr>
        <w:t xml:space="preserve"> enabl</w:t>
      </w:r>
      <w:r w:rsidR="36E8E5AE" w:rsidRPr="736A6D4F">
        <w:rPr>
          <w:rFonts w:ascii="Segoe UI" w:hAnsi="Segoe UI" w:cs="Segoe UI"/>
        </w:rPr>
        <w:t>e</w:t>
      </w:r>
      <w:r w:rsidR="3A13711B" w:rsidRPr="736A6D4F">
        <w:rPr>
          <w:rFonts w:ascii="Segoe UI" w:hAnsi="Segoe UI" w:cs="Segoe UI"/>
        </w:rPr>
        <w:t xml:space="preserve"> the </w:t>
      </w:r>
      <w:r w:rsidR="4D7DD4F8" w:rsidRPr="736A6D4F">
        <w:rPr>
          <w:rFonts w:ascii="Segoe UI" w:hAnsi="Segoe UI" w:cs="Segoe UI"/>
        </w:rPr>
        <w:lastRenderedPageBreak/>
        <w:t>USPTO</w:t>
      </w:r>
      <w:r w:rsidR="3A13711B" w:rsidRPr="736A6D4F">
        <w:rPr>
          <w:rFonts w:ascii="Segoe UI" w:hAnsi="Segoe UI" w:cs="Segoe UI"/>
        </w:rPr>
        <w:t xml:space="preserve"> to deliver reliable and predictable service levels</w:t>
      </w:r>
      <w:r w:rsidR="7C2F39A5" w:rsidRPr="736A6D4F">
        <w:rPr>
          <w:rFonts w:ascii="Segoe UI" w:hAnsi="Segoe UI" w:cs="Segoe UI"/>
        </w:rPr>
        <w:t xml:space="preserve"> without requiring budget reductions,</w:t>
      </w:r>
      <w:r w:rsidR="3A13711B" w:rsidRPr="736A6D4F">
        <w:rPr>
          <w:rFonts w:ascii="Segoe UI" w:hAnsi="Segoe UI" w:cs="Segoe UI"/>
        </w:rPr>
        <w:t xml:space="preserve"> while positioning </w:t>
      </w:r>
      <w:r w:rsidR="1FD914BE" w:rsidRPr="736A6D4F">
        <w:rPr>
          <w:rFonts w:ascii="Segoe UI" w:hAnsi="Segoe UI" w:cs="Segoe UI"/>
        </w:rPr>
        <w:t>the agency</w:t>
      </w:r>
      <w:r w:rsidR="3A13711B" w:rsidRPr="736A6D4F">
        <w:rPr>
          <w:rFonts w:ascii="Segoe UI" w:hAnsi="Segoe UI" w:cs="Segoe UI"/>
        </w:rPr>
        <w:t xml:space="preserve"> to undertake initiatives that encourage participation in the innovation ecosystem.</w:t>
      </w:r>
      <w:r w:rsidR="32EC5D23" w:rsidRPr="736A6D4F">
        <w:rPr>
          <w:rFonts w:ascii="Segoe UI" w:hAnsi="Segoe UI" w:cs="Segoe UI"/>
        </w:rPr>
        <w:t xml:space="preserve"> </w:t>
      </w:r>
      <w:r w:rsidR="4E0DB30E" w:rsidRPr="736A6D4F">
        <w:rPr>
          <w:rFonts w:ascii="Segoe UI" w:hAnsi="Segoe UI" w:cs="Segoe UI"/>
        </w:rPr>
        <w:t>Th</w:t>
      </w:r>
      <w:r w:rsidR="44023F78" w:rsidRPr="736A6D4F">
        <w:rPr>
          <w:rFonts w:ascii="Segoe UI" w:hAnsi="Segoe UI" w:cs="Segoe UI"/>
        </w:rPr>
        <w:t xml:space="preserve">e USPTO recognizes this </w:t>
      </w:r>
      <w:r w:rsidR="4E0DB30E" w:rsidRPr="736A6D4F">
        <w:rPr>
          <w:rFonts w:ascii="Segoe UI" w:hAnsi="Segoe UI" w:cs="Segoe UI"/>
        </w:rPr>
        <w:t>effect as a benefit</w:t>
      </w:r>
      <w:r w:rsidR="5FABEBD0" w:rsidRPr="736A6D4F">
        <w:rPr>
          <w:rFonts w:ascii="Segoe UI" w:hAnsi="Segoe UI" w:cs="Segoe UI"/>
        </w:rPr>
        <w:t xml:space="preserve"> and a critical aspect to any alternative that would </w:t>
      </w:r>
      <w:r w:rsidR="4D7DD4F8" w:rsidRPr="736A6D4F">
        <w:rPr>
          <w:rFonts w:ascii="Segoe UI" w:hAnsi="Segoe UI" w:cs="Segoe UI"/>
        </w:rPr>
        <w:t xml:space="preserve">be </w:t>
      </w:r>
      <w:r w:rsidR="409B3527" w:rsidRPr="736A6D4F">
        <w:rPr>
          <w:rFonts w:ascii="Segoe UI" w:hAnsi="Segoe UI" w:cs="Segoe UI"/>
        </w:rPr>
        <w:t>implement</w:t>
      </w:r>
      <w:r w:rsidR="4D7DD4F8" w:rsidRPr="736A6D4F">
        <w:rPr>
          <w:rFonts w:ascii="Segoe UI" w:hAnsi="Segoe UI" w:cs="Segoe UI"/>
        </w:rPr>
        <w:t>ed</w:t>
      </w:r>
      <w:r w:rsidR="4E0DB30E" w:rsidRPr="736A6D4F">
        <w:rPr>
          <w:rFonts w:ascii="Segoe UI" w:hAnsi="Segoe UI" w:cs="Segoe UI"/>
        </w:rPr>
        <w:t>.</w:t>
      </w:r>
    </w:p>
    <w:p w14:paraId="5E0D22AB" w14:textId="574079E8" w:rsidR="00621FEC" w:rsidRPr="00CF6436" w:rsidRDefault="2F7D1EDE" w:rsidP="643922F3">
      <w:pPr>
        <w:pStyle w:val="ListParagraph"/>
        <w:numPr>
          <w:ilvl w:val="0"/>
          <w:numId w:val="10"/>
        </w:numPr>
        <w:spacing w:line="360" w:lineRule="auto"/>
        <w:ind w:left="720"/>
        <w:rPr>
          <w:rFonts w:ascii="Segoe UI" w:hAnsi="Segoe UI" w:cs="Segoe UI"/>
        </w:rPr>
      </w:pPr>
      <w:r w:rsidRPr="736A6D4F">
        <w:rPr>
          <w:rFonts w:ascii="Segoe UI" w:hAnsi="Segoe UI" w:cs="Segoe UI"/>
        </w:rPr>
        <w:t xml:space="preserve">The Baseline (Alternative 4) does not </w:t>
      </w:r>
      <w:r w:rsidR="5FABEBD0" w:rsidRPr="736A6D4F">
        <w:rPr>
          <w:rFonts w:ascii="Segoe UI" w:hAnsi="Segoe UI" w:cs="Segoe UI"/>
        </w:rPr>
        <w:t>secure</w:t>
      </w:r>
      <w:r w:rsidRPr="736A6D4F">
        <w:rPr>
          <w:rFonts w:ascii="Segoe UI" w:hAnsi="Segoe UI" w:cs="Segoe UI"/>
        </w:rPr>
        <w:t xml:space="preserve"> the necessary aggregate revenue to </w:t>
      </w:r>
      <w:r w:rsidR="5C5976A9" w:rsidRPr="736A6D4F">
        <w:rPr>
          <w:rFonts w:ascii="Segoe UI" w:hAnsi="Segoe UI" w:cs="Segoe UI"/>
        </w:rPr>
        <w:t>re</w:t>
      </w:r>
      <w:r w:rsidRPr="736A6D4F">
        <w:rPr>
          <w:rFonts w:ascii="Segoe UI" w:hAnsi="Segoe UI" w:cs="Segoe UI"/>
        </w:rPr>
        <w:t>cover aggregate cost</w:t>
      </w:r>
      <w:r w:rsidR="574BA861" w:rsidRPr="736A6D4F">
        <w:rPr>
          <w:rFonts w:ascii="Segoe UI" w:hAnsi="Segoe UI" w:cs="Segoe UI"/>
        </w:rPr>
        <w:t>s</w:t>
      </w:r>
      <w:r w:rsidRPr="736A6D4F">
        <w:rPr>
          <w:rFonts w:ascii="Segoe UI" w:hAnsi="Segoe UI" w:cs="Segoe UI"/>
        </w:rPr>
        <w:t xml:space="preserve"> as presented in the FY</w:t>
      </w:r>
      <w:r w:rsidR="602FFB96" w:rsidRPr="736A6D4F">
        <w:rPr>
          <w:rFonts w:ascii="Segoe UI" w:hAnsi="Segoe UI" w:cs="Segoe UI"/>
        </w:rPr>
        <w:t> </w:t>
      </w:r>
      <w:r w:rsidR="35B838E0" w:rsidRPr="736A6D4F">
        <w:rPr>
          <w:rFonts w:ascii="Segoe UI" w:hAnsi="Segoe UI" w:cs="Segoe UI"/>
        </w:rPr>
        <w:t>2025 Budget</w:t>
      </w:r>
      <w:r w:rsidR="1FBB5F41" w:rsidRPr="736A6D4F">
        <w:rPr>
          <w:rFonts w:ascii="Segoe UI" w:hAnsi="Segoe UI" w:cs="Segoe UI"/>
        </w:rPr>
        <w:t xml:space="preserve">, nor does it </w:t>
      </w:r>
      <w:r w:rsidR="0FBCE543" w:rsidRPr="736A6D4F">
        <w:rPr>
          <w:rFonts w:ascii="Segoe UI" w:hAnsi="Segoe UI" w:cs="Segoe UI"/>
        </w:rPr>
        <w:t>achieve the optimal operating reserve balance in the five</w:t>
      </w:r>
      <w:r w:rsidR="574BA861" w:rsidRPr="736A6D4F">
        <w:rPr>
          <w:rFonts w:ascii="Segoe UI" w:hAnsi="Segoe UI" w:cs="Segoe UI"/>
        </w:rPr>
        <w:t>-</w:t>
      </w:r>
      <w:r w:rsidR="0FBCE543" w:rsidRPr="736A6D4F">
        <w:rPr>
          <w:rFonts w:ascii="Segoe UI" w:hAnsi="Segoe UI" w:cs="Segoe UI"/>
        </w:rPr>
        <w:t>year planning horizon.</w:t>
      </w:r>
      <w:r w:rsidR="32EC5D23" w:rsidRPr="736A6D4F">
        <w:rPr>
          <w:rFonts w:ascii="Segoe UI" w:hAnsi="Segoe UI" w:cs="Segoe UI"/>
        </w:rPr>
        <w:t xml:space="preserve"> </w:t>
      </w:r>
      <w:r w:rsidR="0FBCE543" w:rsidRPr="736A6D4F">
        <w:rPr>
          <w:rFonts w:ascii="Segoe UI" w:hAnsi="Segoe UI" w:cs="Segoe UI"/>
        </w:rPr>
        <w:t xml:space="preserve">Under this alternative, </w:t>
      </w:r>
      <w:r w:rsidR="32570280" w:rsidRPr="736A6D4F">
        <w:rPr>
          <w:rFonts w:ascii="Segoe UI" w:hAnsi="Segoe UI" w:cs="Segoe UI"/>
        </w:rPr>
        <w:t>absent spending reductions that would impede achieve</w:t>
      </w:r>
      <w:r w:rsidR="4D7DD4F8" w:rsidRPr="736A6D4F">
        <w:rPr>
          <w:rFonts w:ascii="Segoe UI" w:hAnsi="Segoe UI" w:cs="Segoe UI"/>
        </w:rPr>
        <w:t>ment of</w:t>
      </w:r>
      <w:r w:rsidR="32570280" w:rsidRPr="736A6D4F">
        <w:rPr>
          <w:rFonts w:ascii="Segoe UI" w:hAnsi="Segoe UI" w:cs="Segoe UI"/>
        </w:rPr>
        <w:t xml:space="preserve"> </w:t>
      </w:r>
      <w:r w:rsidR="2668D9D6" w:rsidRPr="736A6D4F">
        <w:rPr>
          <w:rFonts w:ascii="Segoe UI" w:hAnsi="Segoe UI" w:cs="Segoe UI"/>
        </w:rPr>
        <w:t xml:space="preserve">the USPTO’s </w:t>
      </w:r>
      <w:r w:rsidR="32570280" w:rsidRPr="736A6D4F">
        <w:rPr>
          <w:rFonts w:ascii="Segoe UI" w:hAnsi="Segoe UI" w:cs="Segoe UI"/>
        </w:rPr>
        <w:t xml:space="preserve">strategic priorities, </w:t>
      </w:r>
      <w:r w:rsidR="0FBCE543" w:rsidRPr="736A6D4F">
        <w:rPr>
          <w:rFonts w:ascii="Segoe UI" w:hAnsi="Segoe UI" w:cs="Segoe UI"/>
        </w:rPr>
        <w:t xml:space="preserve">the </w:t>
      </w:r>
      <w:r w:rsidR="0FBCE543" w:rsidRPr="000F20DC">
        <w:rPr>
          <w:rFonts w:ascii="Segoe UI" w:hAnsi="Segoe UI" w:cs="Segoe UI"/>
        </w:rPr>
        <w:t xml:space="preserve">operating reserve </w:t>
      </w:r>
      <w:r w:rsidR="1DF536CE" w:rsidRPr="000F20DC">
        <w:rPr>
          <w:rFonts w:ascii="Segoe UI" w:hAnsi="Segoe UI" w:cs="Segoe UI"/>
        </w:rPr>
        <w:t xml:space="preserve">would incur a negative </w:t>
      </w:r>
      <w:r w:rsidR="0FBCE543" w:rsidRPr="000F20DC">
        <w:rPr>
          <w:rFonts w:ascii="Segoe UI" w:hAnsi="Segoe UI" w:cs="Segoe UI"/>
        </w:rPr>
        <w:t xml:space="preserve">balance in FY </w:t>
      </w:r>
      <w:r w:rsidR="00A405F1" w:rsidRPr="000F20DC">
        <w:rPr>
          <w:rFonts w:ascii="Segoe UI" w:hAnsi="Segoe UI" w:cs="Segoe UI"/>
        </w:rPr>
        <w:t>2027</w:t>
      </w:r>
      <w:r w:rsidR="43B7EF67" w:rsidRPr="000F20DC">
        <w:rPr>
          <w:rFonts w:ascii="Segoe UI" w:hAnsi="Segoe UI" w:cs="Segoe UI"/>
        </w:rPr>
        <w:t>.</w:t>
      </w:r>
      <w:r w:rsidR="0FBCE543" w:rsidRPr="736A6D4F">
        <w:rPr>
          <w:rFonts w:ascii="Segoe UI" w:hAnsi="Segoe UI" w:cs="Segoe UI"/>
        </w:rPr>
        <w:t xml:space="preserve"> </w:t>
      </w:r>
      <w:r w:rsidR="558B87EE" w:rsidRPr="736A6D4F">
        <w:rPr>
          <w:rFonts w:ascii="Segoe UI" w:hAnsi="Segoe UI" w:cs="Segoe UI"/>
        </w:rPr>
        <w:t xml:space="preserve">Therefore, the agency does not consider </w:t>
      </w:r>
      <w:r w:rsidR="1035FAE2" w:rsidRPr="736A6D4F">
        <w:rPr>
          <w:rFonts w:ascii="Segoe UI" w:hAnsi="Segoe UI" w:cs="Segoe UI"/>
        </w:rPr>
        <w:t>t</w:t>
      </w:r>
      <w:r w:rsidR="270E3C90" w:rsidRPr="736A6D4F">
        <w:rPr>
          <w:rFonts w:ascii="Segoe UI" w:hAnsi="Segoe UI" w:cs="Segoe UI"/>
        </w:rPr>
        <w:t>his</w:t>
      </w:r>
      <w:r w:rsidR="55C9C415" w:rsidRPr="736A6D4F">
        <w:rPr>
          <w:rFonts w:ascii="Segoe UI" w:hAnsi="Segoe UI" w:cs="Segoe UI"/>
        </w:rPr>
        <w:t xml:space="preserve"> </w:t>
      </w:r>
      <w:r w:rsidR="1B558431" w:rsidRPr="736A6D4F">
        <w:rPr>
          <w:rFonts w:ascii="Segoe UI" w:hAnsi="Segoe UI" w:cs="Segoe UI"/>
        </w:rPr>
        <w:t xml:space="preserve">alternative </w:t>
      </w:r>
      <w:r w:rsidR="558B87EE" w:rsidRPr="736A6D4F">
        <w:rPr>
          <w:rFonts w:ascii="Segoe UI" w:hAnsi="Segoe UI" w:cs="Segoe UI"/>
        </w:rPr>
        <w:t xml:space="preserve">to be </w:t>
      </w:r>
      <w:r w:rsidR="0FBCE543" w:rsidRPr="736A6D4F">
        <w:rPr>
          <w:rFonts w:ascii="Segoe UI" w:hAnsi="Segoe UI" w:cs="Segoe UI"/>
        </w:rPr>
        <w:t>a viable option.</w:t>
      </w:r>
    </w:p>
    <w:p w14:paraId="38F7EA24" w14:textId="4362587E" w:rsidR="0086407D" w:rsidRPr="00CF6436" w:rsidRDefault="6E19EA56" w:rsidP="643922F3">
      <w:pPr>
        <w:pStyle w:val="ListParagraph"/>
        <w:numPr>
          <w:ilvl w:val="0"/>
          <w:numId w:val="10"/>
        </w:numPr>
        <w:spacing w:line="360" w:lineRule="auto"/>
        <w:ind w:left="720"/>
        <w:rPr>
          <w:rFonts w:ascii="Segoe UI" w:hAnsi="Segoe UI" w:cs="Segoe UI"/>
        </w:rPr>
      </w:pPr>
      <w:r w:rsidRPr="736A6D4F">
        <w:rPr>
          <w:rFonts w:ascii="Segoe UI" w:hAnsi="Segoe UI" w:cs="Segoe UI"/>
        </w:rPr>
        <w:t>T</w:t>
      </w:r>
      <w:r w:rsidR="380ACA99" w:rsidRPr="736A6D4F">
        <w:rPr>
          <w:rFonts w:ascii="Segoe UI" w:hAnsi="Segoe UI" w:cs="Segoe UI"/>
        </w:rPr>
        <w:t>here is no demonstrable difference in the benefits associated with Alternatives 1, 2, and 3</w:t>
      </w:r>
      <w:r w:rsidR="6EC49993" w:rsidRPr="736A6D4F">
        <w:rPr>
          <w:rFonts w:ascii="Segoe UI" w:hAnsi="Segoe UI" w:cs="Segoe UI"/>
        </w:rPr>
        <w:t xml:space="preserve"> for securing aggregate revenue to </w:t>
      </w:r>
      <w:r w:rsidR="626DD0AD" w:rsidRPr="736A6D4F">
        <w:rPr>
          <w:rFonts w:ascii="Segoe UI" w:hAnsi="Segoe UI" w:cs="Segoe UI"/>
        </w:rPr>
        <w:t>re</w:t>
      </w:r>
      <w:r w:rsidR="6EC49993" w:rsidRPr="736A6D4F">
        <w:rPr>
          <w:rFonts w:ascii="Segoe UI" w:hAnsi="Segoe UI" w:cs="Segoe UI"/>
        </w:rPr>
        <w:t>cover aggregate cost</w:t>
      </w:r>
      <w:r w:rsidR="08629107" w:rsidRPr="736A6D4F">
        <w:rPr>
          <w:rFonts w:ascii="Segoe UI" w:hAnsi="Segoe UI" w:cs="Segoe UI"/>
        </w:rPr>
        <w:t>s</w:t>
      </w:r>
      <w:r w:rsidR="3CEC6192" w:rsidRPr="736A6D4F">
        <w:rPr>
          <w:rFonts w:ascii="Segoe UI" w:hAnsi="Segoe UI" w:cs="Segoe UI"/>
        </w:rPr>
        <w:t>.</w:t>
      </w:r>
    </w:p>
    <w:p w14:paraId="0F0AC8FE" w14:textId="0CC91DEB" w:rsidR="008F7412" w:rsidRPr="00CF6436" w:rsidRDefault="3F52C6EA" w:rsidP="643922F3">
      <w:pPr>
        <w:spacing w:line="360" w:lineRule="auto"/>
        <w:ind w:firstLine="450"/>
        <w:rPr>
          <w:rFonts w:ascii="Segoe UI" w:hAnsi="Segoe UI" w:cs="Segoe UI"/>
        </w:rPr>
      </w:pPr>
      <w:r w:rsidRPr="736A6D4F">
        <w:rPr>
          <w:rFonts w:ascii="Segoe UI" w:hAnsi="Segoe UI" w:cs="Segoe UI"/>
        </w:rPr>
        <w:t>In summary, given that</w:t>
      </w:r>
      <w:r w:rsidR="6658C9A7" w:rsidRPr="736A6D4F">
        <w:rPr>
          <w:rFonts w:ascii="Segoe UI" w:hAnsi="Segoe UI" w:cs="Segoe UI"/>
        </w:rPr>
        <w:t xml:space="preserve"> </w:t>
      </w:r>
      <w:r w:rsidR="4D63597F" w:rsidRPr="736A6D4F">
        <w:rPr>
          <w:rFonts w:ascii="Segoe UI" w:hAnsi="Segoe UI" w:cs="Segoe UI"/>
        </w:rPr>
        <w:t>Alternatives 1, 2</w:t>
      </w:r>
      <w:r w:rsidR="574BA861" w:rsidRPr="736A6D4F">
        <w:rPr>
          <w:rFonts w:ascii="Segoe UI" w:hAnsi="Segoe UI" w:cs="Segoe UI"/>
        </w:rPr>
        <w:t>,</w:t>
      </w:r>
      <w:r w:rsidR="4D63597F" w:rsidRPr="736A6D4F">
        <w:rPr>
          <w:rFonts w:ascii="Segoe UI" w:hAnsi="Segoe UI" w:cs="Segoe UI"/>
        </w:rPr>
        <w:t xml:space="preserve"> and 3</w:t>
      </w:r>
      <w:r w:rsidRPr="736A6D4F">
        <w:rPr>
          <w:rFonts w:ascii="Segoe UI" w:hAnsi="Segoe UI" w:cs="Segoe UI"/>
        </w:rPr>
        <w:t>, when compared to the Baseline (</w:t>
      </w:r>
      <w:r w:rsidR="5C5976A9" w:rsidRPr="736A6D4F">
        <w:rPr>
          <w:rFonts w:ascii="Segoe UI" w:hAnsi="Segoe UI" w:cs="Segoe UI"/>
        </w:rPr>
        <w:t>Alternative 4</w:t>
      </w:r>
      <w:r w:rsidRPr="736A6D4F">
        <w:rPr>
          <w:rFonts w:ascii="Segoe UI" w:hAnsi="Segoe UI" w:cs="Segoe UI"/>
        </w:rPr>
        <w:t xml:space="preserve">), result in </w:t>
      </w:r>
      <w:r w:rsidR="48D0BB2E" w:rsidRPr="736A6D4F">
        <w:rPr>
          <w:rFonts w:ascii="Segoe UI" w:hAnsi="Segoe UI" w:cs="Segoe UI"/>
        </w:rPr>
        <w:t>approximately</w:t>
      </w:r>
      <w:r w:rsidR="7D2E619A" w:rsidRPr="736A6D4F">
        <w:rPr>
          <w:rFonts w:ascii="Segoe UI" w:hAnsi="Segoe UI" w:cs="Segoe UI"/>
        </w:rPr>
        <w:t xml:space="preserve"> </w:t>
      </w:r>
      <w:r w:rsidRPr="736A6D4F">
        <w:rPr>
          <w:rFonts w:ascii="Segoe UI" w:hAnsi="Segoe UI" w:cs="Segoe UI"/>
        </w:rPr>
        <w:t>the same aggrega</w:t>
      </w:r>
      <w:r w:rsidR="7D2E619A" w:rsidRPr="736A6D4F">
        <w:rPr>
          <w:rFonts w:ascii="Segoe UI" w:hAnsi="Segoe UI" w:cs="Segoe UI"/>
        </w:rPr>
        <w:t>te increase in revenue</w:t>
      </w:r>
      <w:r w:rsidRPr="736A6D4F">
        <w:rPr>
          <w:rFonts w:ascii="Segoe UI" w:hAnsi="Segoe UI" w:cs="Segoe UI"/>
        </w:rPr>
        <w:t xml:space="preserve">, </w:t>
      </w:r>
      <w:r w:rsidR="01792A2B" w:rsidRPr="736A6D4F">
        <w:rPr>
          <w:rFonts w:ascii="Segoe UI" w:hAnsi="Segoe UI" w:cs="Segoe UI"/>
        </w:rPr>
        <w:t>there is no demonstrable difference in the benefits associated with these alternatives for securing aggregate revenue to cover aggregate cost</w:t>
      </w:r>
      <w:r w:rsidR="574BA861" w:rsidRPr="736A6D4F">
        <w:rPr>
          <w:rFonts w:ascii="Segoe UI" w:hAnsi="Segoe UI" w:cs="Segoe UI"/>
        </w:rPr>
        <w:t>s</w:t>
      </w:r>
      <w:r w:rsidRPr="736A6D4F">
        <w:rPr>
          <w:rFonts w:ascii="Segoe UI" w:hAnsi="Segoe UI" w:cs="Segoe UI"/>
        </w:rPr>
        <w:t>.</w:t>
      </w:r>
    </w:p>
    <w:p w14:paraId="5BAFCF08" w14:textId="2E7950C4" w:rsidR="00D24D9A" w:rsidRPr="00CF6436" w:rsidRDefault="4E0DB30E" w:rsidP="643922F3">
      <w:pPr>
        <w:spacing w:line="360" w:lineRule="auto"/>
        <w:ind w:firstLine="450"/>
        <w:rPr>
          <w:rFonts w:ascii="Segoe UI" w:hAnsi="Segoe UI" w:cs="Segoe UI"/>
        </w:rPr>
      </w:pPr>
      <w:r w:rsidRPr="736A6D4F">
        <w:rPr>
          <w:rFonts w:ascii="Segoe UI" w:hAnsi="Segoe UI" w:cs="Segoe UI"/>
        </w:rPr>
        <w:t xml:space="preserve">The analysis of these </w:t>
      </w:r>
      <w:r w:rsidR="7D2E619A" w:rsidRPr="736A6D4F">
        <w:rPr>
          <w:rFonts w:ascii="Segoe UI" w:hAnsi="Segoe UI" w:cs="Segoe UI"/>
        </w:rPr>
        <w:t xml:space="preserve">two </w:t>
      </w:r>
      <w:r w:rsidRPr="736A6D4F">
        <w:rPr>
          <w:rFonts w:ascii="Segoe UI" w:hAnsi="Segoe UI" w:cs="Segoe UI"/>
        </w:rPr>
        <w:t>costs and benefits—</w:t>
      </w:r>
      <w:r w:rsidR="69745127" w:rsidRPr="736A6D4F">
        <w:rPr>
          <w:rFonts w:ascii="Segoe UI" w:hAnsi="Segoe UI" w:cs="Segoe UI"/>
        </w:rPr>
        <w:t>fee schedule design</w:t>
      </w:r>
      <w:r w:rsidR="7D2E619A" w:rsidRPr="736A6D4F">
        <w:rPr>
          <w:rFonts w:ascii="Segoe UI" w:hAnsi="Segoe UI" w:cs="Segoe UI"/>
        </w:rPr>
        <w:t xml:space="preserve"> and</w:t>
      </w:r>
      <w:r w:rsidR="5FAE873A" w:rsidRPr="736A6D4F">
        <w:rPr>
          <w:rFonts w:ascii="Segoe UI" w:hAnsi="Segoe UI" w:cs="Segoe UI"/>
        </w:rPr>
        <w:t xml:space="preserve"> </w:t>
      </w:r>
      <w:r w:rsidR="69745127" w:rsidRPr="736A6D4F">
        <w:rPr>
          <w:rFonts w:ascii="Segoe UI" w:hAnsi="Segoe UI" w:cs="Segoe UI"/>
        </w:rPr>
        <w:t xml:space="preserve">securing aggregate revenue to </w:t>
      </w:r>
      <w:r w:rsidR="5C5976A9" w:rsidRPr="736A6D4F">
        <w:rPr>
          <w:rFonts w:ascii="Segoe UI" w:hAnsi="Segoe UI" w:cs="Segoe UI"/>
        </w:rPr>
        <w:t>re</w:t>
      </w:r>
      <w:r w:rsidR="69745127" w:rsidRPr="736A6D4F">
        <w:rPr>
          <w:rFonts w:ascii="Segoe UI" w:hAnsi="Segoe UI" w:cs="Segoe UI"/>
        </w:rPr>
        <w:t>cover aggregate cost</w:t>
      </w:r>
      <w:r w:rsidR="574BA861" w:rsidRPr="736A6D4F">
        <w:rPr>
          <w:rFonts w:ascii="Segoe UI" w:hAnsi="Segoe UI" w:cs="Segoe UI"/>
        </w:rPr>
        <w:t>s</w:t>
      </w:r>
      <w:r w:rsidRPr="736A6D4F">
        <w:rPr>
          <w:rFonts w:ascii="Segoe UI" w:hAnsi="Segoe UI" w:cs="Segoe UI"/>
        </w:rPr>
        <w:t xml:space="preserve">—is informed by </w:t>
      </w:r>
      <w:r w:rsidR="3B1BB1E8" w:rsidRPr="736A6D4F">
        <w:rPr>
          <w:rFonts w:ascii="Segoe UI" w:hAnsi="Segoe UI" w:cs="Segoe UI"/>
        </w:rPr>
        <w:t>activity-based</w:t>
      </w:r>
      <w:r w:rsidRPr="736A6D4F">
        <w:rPr>
          <w:rFonts w:ascii="Segoe UI" w:hAnsi="Segoe UI" w:cs="Segoe UI"/>
        </w:rPr>
        <w:t xml:space="preserve"> information</w:t>
      </w:r>
      <w:r w:rsidR="15FFB721" w:rsidRPr="736A6D4F">
        <w:rPr>
          <w:rFonts w:ascii="Segoe UI" w:hAnsi="Segoe UI" w:cs="Segoe UI"/>
        </w:rPr>
        <w:t xml:space="preserve"> (ABI)</w:t>
      </w:r>
      <w:r w:rsidR="539928BB" w:rsidRPr="736A6D4F">
        <w:rPr>
          <w:rFonts w:ascii="Segoe UI" w:hAnsi="Segoe UI" w:cs="Segoe UI"/>
        </w:rPr>
        <w:t xml:space="preserve"> data</w:t>
      </w:r>
      <w:r w:rsidRPr="736A6D4F">
        <w:rPr>
          <w:rFonts w:ascii="Segoe UI" w:hAnsi="Segoe UI" w:cs="Segoe UI"/>
        </w:rPr>
        <w:t xml:space="preserve">, aggregate revenue estimates, and </w:t>
      </w:r>
      <w:r w:rsidR="6664B32F" w:rsidRPr="736A6D4F">
        <w:rPr>
          <w:rFonts w:ascii="Segoe UI" w:hAnsi="Segoe UI" w:cs="Segoe UI"/>
        </w:rPr>
        <w:t xml:space="preserve">aggregate </w:t>
      </w:r>
      <w:r w:rsidRPr="736A6D4F">
        <w:rPr>
          <w:rFonts w:ascii="Segoe UI" w:hAnsi="Segoe UI" w:cs="Segoe UI"/>
        </w:rPr>
        <w:t xml:space="preserve">cost estimates </w:t>
      </w:r>
      <w:r w:rsidR="7C6CAA3D" w:rsidRPr="736A6D4F">
        <w:rPr>
          <w:rFonts w:ascii="Segoe UI" w:hAnsi="Segoe UI" w:cs="Segoe UI"/>
        </w:rPr>
        <w:t xml:space="preserve">for </w:t>
      </w:r>
      <w:r w:rsidR="6CD5F9C6" w:rsidRPr="736A6D4F">
        <w:rPr>
          <w:rFonts w:ascii="Segoe UI" w:hAnsi="Segoe UI" w:cs="Segoe UI"/>
        </w:rPr>
        <w:t xml:space="preserve">patent operations </w:t>
      </w:r>
      <w:r w:rsidRPr="736A6D4F">
        <w:rPr>
          <w:rFonts w:ascii="Segoe UI" w:hAnsi="Segoe UI" w:cs="Segoe UI"/>
        </w:rPr>
        <w:t>and strategic initiatives.</w:t>
      </w:r>
      <w:r w:rsidR="32EC5D23" w:rsidRPr="736A6D4F">
        <w:rPr>
          <w:rFonts w:ascii="Segoe UI" w:hAnsi="Segoe UI" w:cs="Segoe UI"/>
        </w:rPr>
        <w:t xml:space="preserve"> </w:t>
      </w:r>
      <w:r w:rsidRPr="736A6D4F">
        <w:rPr>
          <w:rFonts w:ascii="Segoe UI" w:hAnsi="Segoe UI" w:cs="Segoe UI"/>
        </w:rPr>
        <w:t xml:space="preserve">Where available, </w:t>
      </w:r>
      <w:r w:rsidR="69745127" w:rsidRPr="736A6D4F">
        <w:rPr>
          <w:rFonts w:ascii="Segoe UI" w:hAnsi="Segoe UI" w:cs="Segoe UI"/>
        </w:rPr>
        <w:t>this information</w:t>
      </w:r>
      <w:r w:rsidR="15FFB721" w:rsidRPr="736A6D4F">
        <w:rPr>
          <w:rFonts w:ascii="Segoe UI" w:hAnsi="Segoe UI" w:cs="Segoe UI"/>
        </w:rPr>
        <w:t xml:space="preserve"> is used</w:t>
      </w:r>
      <w:r w:rsidR="69745127" w:rsidRPr="736A6D4F">
        <w:rPr>
          <w:rFonts w:ascii="Segoe UI" w:hAnsi="Segoe UI" w:cs="Segoe UI"/>
        </w:rPr>
        <w:t xml:space="preserve"> </w:t>
      </w:r>
      <w:r w:rsidRPr="736A6D4F">
        <w:rPr>
          <w:rFonts w:ascii="Segoe UI" w:hAnsi="Segoe UI" w:cs="Segoe UI"/>
        </w:rPr>
        <w:t xml:space="preserve">to </w:t>
      </w:r>
      <w:r w:rsidR="69745127" w:rsidRPr="736A6D4F">
        <w:rPr>
          <w:rFonts w:ascii="Segoe UI" w:hAnsi="Segoe UI" w:cs="Segoe UI"/>
        </w:rPr>
        <w:t xml:space="preserve">aid </w:t>
      </w:r>
      <w:r w:rsidRPr="736A6D4F">
        <w:rPr>
          <w:rFonts w:ascii="Segoe UI" w:hAnsi="Segoe UI" w:cs="Segoe UI"/>
        </w:rPr>
        <w:t xml:space="preserve">discussions </w:t>
      </w:r>
      <w:r w:rsidR="51F67F7A" w:rsidRPr="736A6D4F">
        <w:rPr>
          <w:rFonts w:ascii="Segoe UI" w:hAnsi="Segoe UI" w:cs="Segoe UI"/>
        </w:rPr>
        <w:t xml:space="preserve">regarding </w:t>
      </w:r>
      <w:r w:rsidRPr="736A6D4F">
        <w:rPr>
          <w:rFonts w:ascii="Segoe UI" w:hAnsi="Segoe UI" w:cs="Segoe UI"/>
        </w:rPr>
        <w:t xml:space="preserve">the magnitude </w:t>
      </w:r>
      <w:r w:rsidR="57FE1368" w:rsidRPr="736A6D4F">
        <w:rPr>
          <w:rFonts w:ascii="Segoe UI" w:hAnsi="Segoe UI" w:cs="Segoe UI"/>
        </w:rPr>
        <w:t xml:space="preserve">of </w:t>
      </w:r>
      <w:r w:rsidR="5FAE873A" w:rsidRPr="736A6D4F">
        <w:rPr>
          <w:rFonts w:ascii="Segoe UI" w:hAnsi="Segoe UI" w:cs="Segoe UI"/>
        </w:rPr>
        <w:t>these costs and benefits to better inform discussions of net impacts.</w:t>
      </w:r>
    </w:p>
    <w:p w14:paraId="18E69696" w14:textId="4307EB15" w:rsidR="00D24D9A" w:rsidRPr="00CF6436" w:rsidRDefault="0D8BABEC" w:rsidP="643922F3">
      <w:pPr>
        <w:spacing w:line="360" w:lineRule="auto"/>
        <w:ind w:firstLine="450"/>
        <w:rPr>
          <w:rFonts w:ascii="Segoe UI" w:hAnsi="Segoe UI" w:cs="Segoe UI"/>
        </w:rPr>
      </w:pPr>
      <w:r w:rsidRPr="736A6D4F">
        <w:rPr>
          <w:rFonts w:ascii="Segoe UI" w:hAnsi="Segoe UI" w:cs="Segoe UI"/>
        </w:rPr>
        <w:t xml:space="preserve">The opportunity cost of </w:t>
      </w:r>
      <w:r w:rsidR="533BBE05" w:rsidRPr="736A6D4F">
        <w:rPr>
          <w:rFonts w:ascii="Segoe UI" w:hAnsi="Segoe UI" w:cs="Segoe UI"/>
        </w:rPr>
        <w:t xml:space="preserve">customer </w:t>
      </w:r>
      <w:r w:rsidRPr="736A6D4F">
        <w:rPr>
          <w:rFonts w:ascii="Segoe UI" w:hAnsi="Segoe UI" w:cs="Segoe UI"/>
        </w:rPr>
        <w:t xml:space="preserve">fees paid to the </w:t>
      </w:r>
      <w:r w:rsidR="57912428" w:rsidRPr="736A6D4F">
        <w:rPr>
          <w:rFonts w:ascii="Segoe UI" w:hAnsi="Segoe UI" w:cs="Segoe UI"/>
        </w:rPr>
        <w:t>USPTO</w:t>
      </w:r>
      <w:r w:rsidR="502082B6" w:rsidRPr="736A6D4F">
        <w:rPr>
          <w:rFonts w:ascii="Segoe UI" w:hAnsi="Segoe UI" w:cs="Segoe UI"/>
        </w:rPr>
        <w:t>,</w:t>
      </w:r>
      <w:r w:rsidRPr="736A6D4F">
        <w:rPr>
          <w:rFonts w:ascii="Segoe UI" w:hAnsi="Segoe UI" w:cs="Segoe UI"/>
        </w:rPr>
        <w:t xml:space="preserve"> rather than invested in additional R&amp;D</w:t>
      </w:r>
      <w:r w:rsidR="3AF26E64" w:rsidRPr="736A6D4F">
        <w:rPr>
          <w:rFonts w:ascii="Segoe UI" w:hAnsi="Segoe UI" w:cs="Segoe UI"/>
        </w:rPr>
        <w:t>,</w:t>
      </w:r>
      <w:r w:rsidRPr="736A6D4F">
        <w:rPr>
          <w:rFonts w:ascii="Segoe UI" w:hAnsi="Segoe UI" w:cs="Segoe UI"/>
        </w:rPr>
        <w:t xml:space="preserve"> commercialization, or other activities that produce immediate </w:t>
      </w:r>
      <w:r w:rsidRPr="736A6D4F">
        <w:rPr>
          <w:rFonts w:ascii="Segoe UI" w:hAnsi="Segoe UI" w:cs="Segoe UI"/>
        </w:rPr>
        <w:lastRenderedPageBreak/>
        <w:t xml:space="preserve">and direct value </w:t>
      </w:r>
      <w:r w:rsidR="302A95FE" w:rsidRPr="736A6D4F">
        <w:rPr>
          <w:rFonts w:ascii="Segoe UI" w:hAnsi="Segoe UI" w:cs="Segoe UI"/>
        </w:rPr>
        <w:t>for</w:t>
      </w:r>
      <w:r w:rsidRPr="736A6D4F">
        <w:rPr>
          <w:rFonts w:ascii="Segoe UI" w:hAnsi="Segoe UI" w:cs="Segoe UI"/>
        </w:rPr>
        <w:t xml:space="preserve"> patent stakeholders</w:t>
      </w:r>
      <w:r w:rsidR="533BBE05" w:rsidRPr="736A6D4F">
        <w:rPr>
          <w:rFonts w:ascii="Segoe UI" w:hAnsi="Segoe UI" w:cs="Segoe UI"/>
        </w:rPr>
        <w:t>,</w:t>
      </w:r>
      <w:r w:rsidRPr="736A6D4F">
        <w:rPr>
          <w:rFonts w:ascii="Segoe UI" w:hAnsi="Segoe UI" w:cs="Segoe UI"/>
        </w:rPr>
        <w:t xml:space="preserve"> warrants consideration in this analysis. </w:t>
      </w:r>
      <w:r w:rsidR="3A8B952A" w:rsidRPr="736A6D4F">
        <w:rPr>
          <w:rFonts w:ascii="Segoe UI" w:hAnsi="Segoe UI" w:cs="Segoe UI"/>
        </w:rPr>
        <w:t>M</w:t>
      </w:r>
      <w:r w:rsidR="3AF26E64" w:rsidRPr="736A6D4F">
        <w:rPr>
          <w:rFonts w:ascii="Segoe UI" w:hAnsi="Segoe UI" w:cs="Segoe UI"/>
        </w:rPr>
        <w:t>onetizing</w:t>
      </w:r>
      <w:r w:rsidRPr="736A6D4F">
        <w:rPr>
          <w:rFonts w:ascii="Segoe UI" w:hAnsi="Segoe UI" w:cs="Segoe UI"/>
        </w:rPr>
        <w:t xml:space="preserve"> and quantifying certain impacts of patent fees on the economy and rate of innovation are inherently challenging</w:t>
      </w:r>
      <w:r w:rsidR="0F83AD60" w:rsidRPr="736A6D4F">
        <w:rPr>
          <w:rFonts w:ascii="Segoe UI" w:hAnsi="Segoe UI" w:cs="Segoe UI"/>
        </w:rPr>
        <w:t>, though,</w:t>
      </w:r>
      <w:r w:rsidRPr="736A6D4F">
        <w:rPr>
          <w:rFonts w:ascii="Segoe UI" w:hAnsi="Segoe UI" w:cs="Segoe UI"/>
        </w:rPr>
        <w:t xml:space="preserve"> due to the number of variables involved, the difficulty in predicting economic activity, and </w:t>
      </w:r>
      <w:r w:rsidR="58847468" w:rsidRPr="736A6D4F">
        <w:rPr>
          <w:rFonts w:ascii="Segoe UI" w:hAnsi="Segoe UI" w:cs="Segoe UI"/>
        </w:rPr>
        <w:t xml:space="preserve">a </w:t>
      </w:r>
      <w:r w:rsidRPr="736A6D4F">
        <w:rPr>
          <w:rFonts w:ascii="Segoe UI" w:hAnsi="Segoe UI" w:cs="Segoe UI"/>
        </w:rPr>
        <w:t xml:space="preserve">lack of available data, especially </w:t>
      </w:r>
      <w:r w:rsidR="58847468" w:rsidRPr="736A6D4F">
        <w:rPr>
          <w:rFonts w:ascii="Segoe UI" w:hAnsi="Segoe UI" w:cs="Segoe UI"/>
        </w:rPr>
        <w:t xml:space="preserve">regarding </w:t>
      </w:r>
      <w:r w:rsidRPr="736A6D4F">
        <w:rPr>
          <w:rFonts w:ascii="Segoe UI" w:hAnsi="Segoe UI" w:cs="Segoe UI"/>
        </w:rPr>
        <w:t>private</w:t>
      </w:r>
      <w:r w:rsidR="6A24D87B" w:rsidRPr="736A6D4F">
        <w:rPr>
          <w:rFonts w:ascii="Segoe UI" w:hAnsi="Segoe UI" w:cs="Segoe UI"/>
        </w:rPr>
        <w:t>-</w:t>
      </w:r>
      <w:r w:rsidRPr="736A6D4F">
        <w:rPr>
          <w:rFonts w:ascii="Segoe UI" w:hAnsi="Segoe UI" w:cs="Segoe UI"/>
        </w:rPr>
        <w:t xml:space="preserve">sector behavior. For example, the </w:t>
      </w:r>
      <w:r w:rsidR="5B12E5EA" w:rsidRPr="736A6D4F">
        <w:rPr>
          <w:rFonts w:ascii="Segoe UI" w:hAnsi="Segoe UI" w:cs="Segoe UI"/>
        </w:rPr>
        <w:t>USPTO</w:t>
      </w:r>
      <w:r w:rsidRPr="736A6D4F">
        <w:rPr>
          <w:rFonts w:ascii="Segoe UI" w:hAnsi="Segoe UI" w:cs="Segoe UI"/>
        </w:rPr>
        <w:t xml:space="preserve"> collects data </w:t>
      </w:r>
      <w:r w:rsidR="58847468" w:rsidRPr="736A6D4F">
        <w:rPr>
          <w:rFonts w:ascii="Segoe UI" w:hAnsi="Segoe UI" w:cs="Segoe UI"/>
        </w:rPr>
        <w:t xml:space="preserve">only </w:t>
      </w:r>
      <w:r w:rsidRPr="736A6D4F">
        <w:rPr>
          <w:rFonts w:ascii="Segoe UI" w:hAnsi="Segoe UI" w:cs="Segoe UI"/>
        </w:rPr>
        <w:t xml:space="preserve">on innovation activity that results in a patent application or other action. Innovative actions that do not result in fees paid to the </w:t>
      </w:r>
      <w:r w:rsidR="5B12E5EA" w:rsidRPr="736A6D4F">
        <w:rPr>
          <w:rFonts w:ascii="Segoe UI" w:hAnsi="Segoe UI" w:cs="Segoe UI"/>
        </w:rPr>
        <w:t>USPTO</w:t>
      </w:r>
      <w:r w:rsidRPr="736A6D4F">
        <w:rPr>
          <w:rFonts w:ascii="Segoe UI" w:hAnsi="Segoe UI" w:cs="Segoe UI"/>
        </w:rPr>
        <w:t xml:space="preserve"> for a defined service are not captured in </w:t>
      </w:r>
      <w:r w:rsidR="58847468" w:rsidRPr="736A6D4F">
        <w:rPr>
          <w:rFonts w:ascii="Segoe UI" w:hAnsi="Segoe UI" w:cs="Segoe UI"/>
        </w:rPr>
        <w:t xml:space="preserve">agency </w:t>
      </w:r>
      <w:r w:rsidRPr="736A6D4F">
        <w:rPr>
          <w:rFonts w:ascii="Segoe UI" w:hAnsi="Segoe UI" w:cs="Segoe UI"/>
        </w:rPr>
        <w:t>databases, thus making it challenging to estimate and forecast the true breadth and depth of the intellectual property (IP) economy for patents. This analysis does not attempt to monetize these costs.</w:t>
      </w:r>
    </w:p>
    <w:p w14:paraId="02AE564C" w14:textId="77777777" w:rsidR="00842368" w:rsidRPr="00CF6436" w:rsidRDefault="00842368" w:rsidP="00CF6436">
      <w:pPr>
        <w:spacing w:line="360" w:lineRule="auto"/>
        <w:rPr>
          <w:rFonts w:ascii="Segoe UI" w:hAnsi="Segoe UI" w:cs="Segoe UI"/>
        </w:rPr>
      </w:pPr>
    </w:p>
    <w:p w14:paraId="75315083" w14:textId="77777777" w:rsidR="00A65357" w:rsidRPr="00CF6436" w:rsidRDefault="006064C7" w:rsidP="00CF6436">
      <w:pPr>
        <w:pStyle w:val="Heading2Number"/>
        <w:spacing w:line="360" w:lineRule="auto"/>
        <w:rPr>
          <w:rFonts w:ascii="Segoe UI" w:hAnsi="Segoe UI" w:cs="Segoe UI"/>
        </w:rPr>
      </w:pPr>
      <w:bookmarkStart w:id="16" w:name="_Toc451951705"/>
      <w:bookmarkStart w:id="17" w:name="_Toc175640417"/>
      <w:r w:rsidRPr="31665127">
        <w:rPr>
          <w:rFonts w:ascii="Segoe UI" w:hAnsi="Segoe UI" w:cs="Segoe UI"/>
        </w:rPr>
        <w:t>Conclusion</w:t>
      </w:r>
      <w:bookmarkEnd w:id="15"/>
      <w:bookmarkEnd w:id="16"/>
      <w:bookmarkEnd w:id="17"/>
    </w:p>
    <w:p w14:paraId="7FEAA68D" w14:textId="31D8A3D3" w:rsidR="00952F44" w:rsidRPr="00CF6436" w:rsidRDefault="4E0DB30E" w:rsidP="643922F3">
      <w:pPr>
        <w:spacing w:line="360" w:lineRule="auto"/>
        <w:ind w:firstLine="450"/>
        <w:rPr>
          <w:rFonts w:ascii="Segoe UI" w:hAnsi="Segoe UI" w:cs="Segoe UI"/>
        </w:rPr>
      </w:pPr>
      <w:r w:rsidRPr="736A6D4F">
        <w:rPr>
          <w:rFonts w:ascii="Segoe UI" w:hAnsi="Segoe UI" w:cs="Segoe UI"/>
        </w:rPr>
        <w:t xml:space="preserve">This RIA concludes that the overall qualitative benefits </w:t>
      </w:r>
      <w:r w:rsidR="0565FAD6" w:rsidRPr="736A6D4F">
        <w:rPr>
          <w:rFonts w:ascii="Segoe UI" w:hAnsi="Segoe UI" w:cs="Segoe UI"/>
        </w:rPr>
        <w:t xml:space="preserve">of Alternative 1, the </w:t>
      </w:r>
      <w:r w:rsidR="00562765">
        <w:rPr>
          <w:rFonts w:ascii="Segoe UI" w:hAnsi="Segoe UI" w:cs="Segoe UI"/>
        </w:rPr>
        <w:t>Final</w:t>
      </w:r>
      <w:r w:rsidR="00562765" w:rsidRPr="736A6D4F">
        <w:rPr>
          <w:rFonts w:ascii="Segoe UI" w:hAnsi="Segoe UI" w:cs="Segoe UI"/>
        </w:rPr>
        <w:t xml:space="preserve"> </w:t>
      </w:r>
      <w:r w:rsidR="0565FAD6" w:rsidRPr="736A6D4F">
        <w:rPr>
          <w:rFonts w:ascii="Segoe UI" w:hAnsi="Segoe UI" w:cs="Segoe UI"/>
        </w:rPr>
        <w:t>Patent Fee Schedule</w:t>
      </w:r>
      <w:r w:rsidR="652EC38B" w:rsidRPr="736A6D4F">
        <w:rPr>
          <w:rFonts w:ascii="Segoe UI" w:hAnsi="Segoe UI" w:cs="Segoe UI"/>
        </w:rPr>
        <w:t>, are significant for</w:t>
      </w:r>
      <w:r w:rsidR="0565FAD6" w:rsidRPr="736A6D4F">
        <w:rPr>
          <w:rFonts w:ascii="Segoe UI" w:hAnsi="Segoe UI" w:cs="Segoe UI"/>
        </w:rPr>
        <w:t xml:space="preserve"> </w:t>
      </w:r>
      <w:r w:rsidR="3D3A4435" w:rsidRPr="736A6D4F">
        <w:rPr>
          <w:rFonts w:ascii="Segoe UI" w:hAnsi="Segoe UI" w:cs="Segoe UI"/>
        </w:rPr>
        <w:t>society,</w:t>
      </w:r>
      <w:r w:rsidRPr="736A6D4F">
        <w:rPr>
          <w:rFonts w:ascii="Segoe UI" w:hAnsi="Segoe UI" w:cs="Segoe UI"/>
        </w:rPr>
        <w:t xml:space="preserve"> patent applicants, patent holders,</w:t>
      </w:r>
      <w:r w:rsidR="3D3A4435" w:rsidRPr="736A6D4F">
        <w:rPr>
          <w:rFonts w:ascii="Segoe UI" w:hAnsi="Segoe UI" w:cs="Segoe UI"/>
        </w:rPr>
        <w:t xml:space="preserve"> and</w:t>
      </w:r>
      <w:r w:rsidRPr="736A6D4F">
        <w:rPr>
          <w:rFonts w:ascii="Segoe UI" w:hAnsi="Segoe UI" w:cs="Segoe UI"/>
        </w:rPr>
        <w:t xml:space="preserve"> other stakeholders</w:t>
      </w:r>
      <w:r w:rsidR="072EE4E8" w:rsidRPr="736A6D4F">
        <w:rPr>
          <w:rFonts w:ascii="Segoe UI" w:hAnsi="Segoe UI" w:cs="Segoe UI"/>
        </w:rPr>
        <w:t>.</w:t>
      </w:r>
      <w:r w:rsidR="32EC5D23" w:rsidRPr="736A6D4F">
        <w:rPr>
          <w:rFonts w:ascii="Segoe UI" w:hAnsi="Segoe UI" w:cs="Segoe UI"/>
        </w:rPr>
        <w:t xml:space="preserve"> </w:t>
      </w:r>
      <w:r w:rsidR="352DD1AE" w:rsidRPr="736A6D4F">
        <w:rPr>
          <w:rFonts w:ascii="Segoe UI" w:hAnsi="Segoe UI" w:cs="Segoe UI"/>
        </w:rPr>
        <w:t>T</w:t>
      </w:r>
      <w:r w:rsidR="56326645" w:rsidRPr="736A6D4F">
        <w:rPr>
          <w:rFonts w:ascii="Segoe UI" w:hAnsi="Segoe UI" w:cs="Segoe UI"/>
        </w:rPr>
        <w:t>h</w:t>
      </w:r>
      <w:r w:rsidR="52403808" w:rsidRPr="736A6D4F">
        <w:rPr>
          <w:rFonts w:ascii="Segoe UI" w:hAnsi="Segoe UI" w:cs="Segoe UI"/>
        </w:rPr>
        <w:t>is alternative</w:t>
      </w:r>
      <w:r w:rsidR="57FE1368" w:rsidRPr="736A6D4F">
        <w:rPr>
          <w:rFonts w:ascii="Segoe UI" w:hAnsi="Segoe UI" w:cs="Segoe UI"/>
        </w:rPr>
        <w:t xml:space="preserve"> has qualitative benefits related to targeted fee changes reflected in the fee schedule design.</w:t>
      </w:r>
      <w:r w:rsidR="32EC5D23" w:rsidRPr="736A6D4F">
        <w:rPr>
          <w:rFonts w:ascii="Segoe UI" w:hAnsi="Segoe UI" w:cs="Segoe UI"/>
        </w:rPr>
        <w:t xml:space="preserve"> </w:t>
      </w:r>
      <w:r w:rsidR="57FE1368" w:rsidRPr="736A6D4F">
        <w:rPr>
          <w:rFonts w:ascii="Segoe UI" w:hAnsi="Segoe UI" w:cs="Segoe UI"/>
        </w:rPr>
        <w:t xml:space="preserve">Moreover, the </w:t>
      </w:r>
      <w:r w:rsidR="00562765">
        <w:rPr>
          <w:rFonts w:ascii="Segoe UI" w:hAnsi="Segoe UI" w:cs="Segoe UI"/>
        </w:rPr>
        <w:t>Final</w:t>
      </w:r>
      <w:r w:rsidR="00562765" w:rsidRPr="736A6D4F">
        <w:rPr>
          <w:rFonts w:ascii="Segoe UI" w:hAnsi="Segoe UI" w:cs="Segoe UI"/>
        </w:rPr>
        <w:t xml:space="preserve"> </w:t>
      </w:r>
      <w:r w:rsidR="623DCE3C" w:rsidRPr="736A6D4F">
        <w:rPr>
          <w:rFonts w:ascii="Segoe UI" w:hAnsi="Segoe UI" w:cs="Segoe UI"/>
        </w:rPr>
        <w:t>Patent</w:t>
      </w:r>
      <w:r w:rsidR="1E801D99" w:rsidRPr="736A6D4F">
        <w:rPr>
          <w:rFonts w:ascii="Segoe UI" w:hAnsi="Segoe UI" w:cs="Segoe UI"/>
        </w:rPr>
        <w:t xml:space="preserve"> Fee Schedule</w:t>
      </w:r>
      <w:r w:rsidR="57FE1368" w:rsidRPr="736A6D4F">
        <w:rPr>
          <w:rFonts w:ascii="Segoe UI" w:hAnsi="Segoe UI" w:cs="Segoe UI"/>
        </w:rPr>
        <w:t xml:space="preserve"> secures </w:t>
      </w:r>
      <w:r w:rsidR="4533518A" w:rsidRPr="736A6D4F">
        <w:rPr>
          <w:rFonts w:ascii="Segoe UI" w:hAnsi="Segoe UI" w:cs="Segoe UI"/>
        </w:rPr>
        <w:t xml:space="preserve">required </w:t>
      </w:r>
      <w:r w:rsidR="57FE1368" w:rsidRPr="736A6D4F">
        <w:rPr>
          <w:rFonts w:ascii="Segoe UI" w:hAnsi="Segoe UI" w:cs="Segoe UI"/>
        </w:rPr>
        <w:t xml:space="preserve">aggregate revenue </w:t>
      </w:r>
      <w:r w:rsidR="75F94F51" w:rsidRPr="736A6D4F">
        <w:rPr>
          <w:rFonts w:ascii="Segoe UI" w:hAnsi="Segoe UI" w:cs="Segoe UI"/>
        </w:rPr>
        <w:t xml:space="preserve">while adhering to </w:t>
      </w:r>
      <w:r w:rsidR="57FE1368" w:rsidRPr="736A6D4F">
        <w:rPr>
          <w:rFonts w:ascii="Segoe UI" w:hAnsi="Segoe UI" w:cs="Segoe UI"/>
        </w:rPr>
        <w:t>the</w:t>
      </w:r>
      <w:r w:rsidR="75F94F51" w:rsidRPr="736A6D4F">
        <w:rPr>
          <w:rFonts w:ascii="Segoe UI" w:hAnsi="Segoe UI" w:cs="Segoe UI"/>
        </w:rPr>
        <w:t xml:space="preserve"> fee setting</w:t>
      </w:r>
      <w:r w:rsidR="57FE1368" w:rsidRPr="736A6D4F">
        <w:rPr>
          <w:rFonts w:ascii="Segoe UI" w:hAnsi="Segoe UI" w:cs="Segoe UI"/>
        </w:rPr>
        <w:t xml:space="preserve"> </w:t>
      </w:r>
      <w:r w:rsidR="1C448DDD" w:rsidRPr="736A6D4F">
        <w:rPr>
          <w:rFonts w:ascii="Segoe UI" w:hAnsi="Segoe UI" w:cs="Segoe UI"/>
        </w:rPr>
        <w:t>goals</w:t>
      </w:r>
      <w:r w:rsidR="47946658" w:rsidRPr="736A6D4F">
        <w:rPr>
          <w:rFonts w:ascii="Segoe UI" w:hAnsi="Segoe UI" w:cs="Segoe UI"/>
        </w:rPr>
        <w:t xml:space="preserve"> described below and in Part IV: Rulemaking Goals and S</w:t>
      </w:r>
      <w:r w:rsidR="57FE1368" w:rsidRPr="736A6D4F">
        <w:rPr>
          <w:rFonts w:ascii="Segoe UI" w:hAnsi="Segoe UI" w:cs="Segoe UI"/>
        </w:rPr>
        <w:t>trate</w:t>
      </w:r>
      <w:r w:rsidR="75F94F51" w:rsidRPr="736A6D4F">
        <w:rPr>
          <w:rFonts w:ascii="Segoe UI" w:hAnsi="Segoe UI" w:cs="Segoe UI"/>
        </w:rPr>
        <w:t>gies</w:t>
      </w:r>
      <w:r w:rsidR="001C36C8">
        <w:rPr>
          <w:rFonts w:ascii="Segoe UI" w:hAnsi="Segoe UI" w:cs="Segoe UI"/>
        </w:rPr>
        <w:t xml:space="preserve"> of the final rule</w:t>
      </w:r>
      <w:r w:rsidR="57FE1368" w:rsidRPr="736A6D4F">
        <w:rPr>
          <w:rFonts w:ascii="Segoe UI" w:hAnsi="Segoe UI" w:cs="Segoe UI"/>
        </w:rPr>
        <w:t>.</w:t>
      </w:r>
      <w:r w:rsidR="32EC5D23" w:rsidRPr="736A6D4F">
        <w:rPr>
          <w:rFonts w:ascii="Segoe UI" w:hAnsi="Segoe UI" w:cs="Segoe UI"/>
        </w:rPr>
        <w:t xml:space="preserve"> </w:t>
      </w:r>
      <w:r w:rsidRPr="736A6D4F">
        <w:rPr>
          <w:rFonts w:ascii="Segoe UI" w:hAnsi="Segoe UI" w:cs="Segoe UI"/>
        </w:rPr>
        <w:t>Patent applicants</w:t>
      </w:r>
      <w:r w:rsidR="57FE1368" w:rsidRPr="736A6D4F">
        <w:rPr>
          <w:rFonts w:ascii="Segoe UI" w:hAnsi="Segoe UI" w:cs="Segoe UI"/>
        </w:rPr>
        <w:t xml:space="preserve"> and holders</w:t>
      </w:r>
      <w:r w:rsidRPr="736A6D4F">
        <w:rPr>
          <w:rFonts w:ascii="Segoe UI" w:hAnsi="Segoe UI" w:cs="Segoe UI"/>
        </w:rPr>
        <w:t xml:space="preserve"> can expect continued progress </w:t>
      </w:r>
      <w:r w:rsidR="072EE4E8" w:rsidRPr="736A6D4F">
        <w:rPr>
          <w:rFonts w:ascii="Segoe UI" w:hAnsi="Segoe UI" w:cs="Segoe UI"/>
        </w:rPr>
        <w:t>toward</w:t>
      </w:r>
      <w:r w:rsidRPr="736A6D4F">
        <w:rPr>
          <w:rFonts w:ascii="Segoe UI" w:hAnsi="Segoe UI" w:cs="Segoe UI"/>
        </w:rPr>
        <w:t xml:space="preserve"> </w:t>
      </w:r>
      <w:r w:rsidR="5A0CCF94" w:rsidRPr="736A6D4F">
        <w:rPr>
          <w:rFonts w:ascii="Segoe UI" w:hAnsi="Segoe UI" w:cs="Segoe UI"/>
        </w:rPr>
        <w:t xml:space="preserve">the </w:t>
      </w:r>
      <w:r w:rsidR="420CA3DC" w:rsidRPr="736A6D4F">
        <w:rPr>
          <w:rFonts w:ascii="Segoe UI" w:hAnsi="Segoe UI" w:cs="Segoe UI"/>
        </w:rPr>
        <w:t xml:space="preserve">USPTO’s </w:t>
      </w:r>
      <w:r w:rsidR="5A0CCF94" w:rsidRPr="736A6D4F">
        <w:rPr>
          <w:rFonts w:ascii="Segoe UI" w:hAnsi="Segoe UI" w:cs="Segoe UI"/>
        </w:rPr>
        <w:t>strategic</w:t>
      </w:r>
      <w:r w:rsidR="6383C49D" w:rsidRPr="736A6D4F">
        <w:rPr>
          <w:rFonts w:ascii="Segoe UI" w:hAnsi="Segoe UI" w:cs="Segoe UI"/>
        </w:rPr>
        <w:t xml:space="preserve"> goals</w:t>
      </w:r>
      <w:r w:rsidR="420CA3DC" w:rsidRPr="736A6D4F">
        <w:rPr>
          <w:rFonts w:ascii="Segoe UI" w:hAnsi="Segoe UI" w:cs="Segoe UI"/>
        </w:rPr>
        <w:t>,</w:t>
      </w:r>
      <w:r w:rsidR="6383C49D" w:rsidRPr="736A6D4F">
        <w:rPr>
          <w:rFonts w:ascii="Segoe UI" w:hAnsi="Segoe UI" w:cs="Segoe UI"/>
        </w:rPr>
        <w:t xml:space="preserve"> as the</w:t>
      </w:r>
      <w:r w:rsidR="5A0CCF94" w:rsidRPr="736A6D4F">
        <w:rPr>
          <w:rFonts w:ascii="Segoe UI" w:hAnsi="Segoe UI" w:cs="Segoe UI"/>
        </w:rPr>
        <w:t xml:space="preserve"> </w:t>
      </w:r>
      <w:r w:rsidR="6383C49D" w:rsidRPr="736A6D4F">
        <w:rPr>
          <w:rFonts w:ascii="Segoe UI" w:hAnsi="Segoe UI" w:cs="Segoe UI"/>
        </w:rPr>
        <w:t>fees will help stabilize</w:t>
      </w:r>
      <w:r w:rsidR="01C14DD7" w:rsidRPr="736A6D4F">
        <w:rPr>
          <w:rFonts w:ascii="Segoe UI" w:hAnsi="Segoe UI" w:cs="Segoe UI"/>
        </w:rPr>
        <w:t xml:space="preserve"> agency </w:t>
      </w:r>
      <w:r w:rsidR="6383C49D" w:rsidRPr="736A6D4F">
        <w:rPr>
          <w:rFonts w:ascii="Segoe UI" w:hAnsi="Segoe UI" w:cs="Segoe UI"/>
        </w:rPr>
        <w:t>finances and grow the patent operating reserve</w:t>
      </w:r>
      <w:r w:rsidR="28753E6A" w:rsidRPr="736A6D4F">
        <w:rPr>
          <w:rFonts w:ascii="Segoe UI" w:hAnsi="Segoe UI" w:cs="Segoe UI"/>
        </w:rPr>
        <w:t>.</w:t>
      </w:r>
      <w:r w:rsidR="6383C49D" w:rsidRPr="736A6D4F">
        <w:rPr>
          <w:rFonts w:ascii="Segoe UI" w:hAnsi="Segoe UI" w:cs="Segoe UI"/>
        </w:rPr>
        <w:t xml:space="preserve"> </w:t>
      </w:r>
      <w:r w:rsidR="58CBA613" w:rsidRPr="736A6D4F">
        <w:rPr>
          <w:rFonts w:ascii="Segoe UI" w:hAnsi="Segoe UI" w:cs="Segoe UI"/>
        </w:rPr>
        <w:t xml:space="preserve">Overall, the </w:t>
      </w:r>
      <w:r w:rsidR="00562765">
        <w:rPr>
          <w:rFonts w:ascii="Segoe UI" w:hAnsi="Segoe UI" w:cs="Segoe UI"/>
        </w:rPr>
        <w:t>Final</w:t>
      </w:r>
      <w:r w:rsidR="00562765" w:rsidRPr="736A6D4F">
        <w:rPr>
          <w:rFonts w:ascii="Segoe UI" w:hAnsi="Segoe UI" w:cs="Segoe UI"/>
        </w:rPr>
        <w:t xml:space="preserve"> </w:t>
      </w:r>
      <w:r w:rsidR="58CBA613" w:rsidRPr="736A6D4F">
        <w:rPr>
          <w:rFonts w:ascii="Segoe UI" w:hAnsi="Segoe UI" w:cs="Segoe UI"/>
        </w:rPr>
        <w:t xml:space="preserve">Patent Fee Schedule will </w:t>
      </w:r>
      <w:r w:rsidR="5089785B" w:rsidRPr="736A6D4F">
        <w:rPr>
          <w:rFonts w:ascii="Segoe UI" w:hAnsi="Segoe UI" w:cs="Segoe UI"/>
        </w:rPr>
        <w:t>enable</w:t>
      </w:r>
      <w:r w:rsidR="6383C49D" w:rsidRPr="736A6D4F">
        <w:rPr>
          <w:rFonts w:ascii="Segoe UI" w:hAnsi="Segoe UI" w:cs="Segoe UI"/>
        </w:rPr>
        <w:t xml:space="preserve"> the </w:t>
      </w:r>
      <w:r w:rsidR="5FE55F53" w:rsidRPr="736A6D4F">
        <w:rPr>
          <w:rFonts w:ascii="Segoe UI" w:hAnsi="Segoe UI" w:cs="Segoe UI"/>
        </w:rPr>
        <w:t>USPTO</w:t>
      </w:r>
      <w:r w:rsidR="6383C49D" w:rsidRPr="736A6D4F">
        <w:rPr>
          <w:rFonts w:ascii="Segoe UI" w:hAnsi="Segoe UI" w:cs="Segoe UI"/>
        </w:rPr>
        <w:t xml:space="preserve"> to deliver reliable and predictable service levels, while positioning </w:t>
      </w:r>
      <w:r w:rsidR="7B1B2A5C" w:rsidRPr="736A6D4F">
        <w:rPr>
          <w:rFonts w:ascii="Segoe UI" w:hAnsi="Segoe UI" w:cs="Segoe UI"/>
        </w:rPr>
        <w:t>the</w:t>
      </w:r>
      <w:r w:rsidR="0EB6D286" w:rsidRPr="736A6D4F">
        <w:rPr>
          <w:rFonts w:ascii="Segoe UI" w:hAnsi="Segoe UI" w:cs="Segoe UI"/>
        </w:rPr>
        <w:t xml:space="preserve"> agency</w:t>
      </w:r>
      <w:r w:rsidR="6383C49D" w:rsidRPr="736A6D4F">
        <w:rPr>
          <w:rFonts w:ascii="Segoe UI" w:hAnsi="Segoe UI" w:cs="Segoe UI"/>
        </w:rPr>
        <w:t xml:space="preserve"> to undertake initiatives that encourage participation in the innovation ecosystem.</w:t>
      </w:r>
    </w:p>
    <w:p w14:paraId="680474D1" w14:textId="77777777" w:rsidR="00DF416D" w:rsidRPr="00CF6436" w:rsidRDefault="00DF416D" w:rsidP="00CF6436">
      <w:pPr>
        <w:spacing w:line="360" w:lineRule="auto"/>
        <w:rPr>
          <w:rFonts w:ascii="Segoe UI" w:hAnsi="Segoe UI" w:cs="Segoe UI"/>
        </w:rPr>
      </w:pPr>
    </w:p>
    <w:p w14:paraId="4397B12E" w14:textId="77777777" w:rsidR="001C36C8" w:rsidRDefault="001C36C8">
      <w:pPr>
        <w:spacing w:after="200" w:line="276" w:lineRule="auto"/>
        <w:rPr>
          <w:rFonts w:ascii="Segoe UI" w:eastAsiaTheme="majorEastAsia" w:hAnsi="Segoe UI" w:cs="Segoe UI"/>
          <w:b/>
          <w:bCs/>
          <w:color w:val="4F81BD" w:themeColor="accent1"/>
          <w:sz w:val="26"/>
          <w:szCs w:val="26"/>
        </w:rPr>
      </w:pPr>
      <w:bookmarkStart w:id="18" w:name="_Toc451951706"/>
      <w:r>
        <w:rPr>
          <w:rFonts w:ascii="Segoe UI" w:hAnsi="Segoe UI" w:cs="Segoe UI"/>
        </w:rPr>
        <w:br w:type="page"/>
      </w:r>
    </w:p>
    <w:p w14:paraId="0E027109" w14:textId="5F11A945" w:rsidR="00952F44" w:rsidRPr="00CF6436" w:rsidRDefault="00952F44" w:rsidP="00CF6436">
      <w:pPr>
        <w:pStyle w:val="Heading2Number"/>
        <w:spacing w:line="360" w:lineRule="auto"/>
        <w:rPr>
          <w:rFonts w:ascii="Segoe UI" w:hAnsi="Segoe UI" w:cs="Segoe UI"/>
        </w:rPr>
      </w:pPr>
      <w:bookmarkStart w:id="19" w:name="_Toc175640418"/>
      <w:r w:rsidRPr="31665127">
        <w:rPr>
          <w:rFonts w:ascii="Segoe UI" w:hAnsi="Segoe UI" w:cs="Segoe UI"/>
        </w:rPr>
        <w:lastRenderedPageBreak/>
        <w:t>Points of Contact</w:t>
      </w:r>
      <w:bookmarkEnd w:id="18"/>
      <w:bookmarkEnd w:id="19"/>
    </w:p>
    <w:p w14:paraId="5726B413" w14:textId="3ED45A89" w:rsidR="0C375D48" w:rsidRPr="00A86B17" w:rsidRDefault="16A91992" w:rsidP="00CF6436">
      <w:pPr>
        <w:pStyle w:val="ListParagraph"/>
        <w:numPr>
          <w:ilvl w:val="1"/>
          <w:numId w:val="1"/>
        </w:numPr>
        <w:spacing w:line="360" w:lineRule="auto"/>
        <w:ind w:left="720"/>
        <w:rPr>
          <w:rFonts w:ascii="Segoe UI" w:eastAsia="Segoe UI" w:hAnsi="Segoe UI" w:cs="Segoe UI"/>
          <w:color w:val="000000" w:themeColor="text1"/>
        </w:rPr>
      </w:pPr>
      <w:r w:rsidRPr="00CF6436">
        <w:rPr>
          <w:rFonts w:ascii="Segoe UI" w:hAnsi="Segoe UI" w:cs="Segoe UI"/>
          <w:b/>
          <w:bCs/>
        </w:rPr>
        <w:t>Infor</w:t>
      </w:r>
      <w:r w:rsidRPr="4196D2B1">
        <w:rPr>
          <w:rFonts w:ascii="Segoe UI" w:eastAsia="Segoe UI" w:hAnsi="Segoe UI" w:cs="Segoe UI"/>
          <w:b/>
          <w:bCs/>
        </w:rPr>
        <w:t>mation:</w:t>
      </w:r>
      <w:r w:rsidR="076FC9C8" w:rsidRPr="4196D2B1">
        <w:rPr>
          <w:rFonts w:ascii="Segoe UI" w:eastAsia="Segoe UI" w:hAnsi="Segoe UI" w:cs="Segoe UI"/>
          <w:b/>
          <w:bCs/>
        </w:rPr>
        <w:t xml:space="preserve"> </w:t>
      </w:r>
      <w:r w:rsidR="2D9CAA76" w:rsidRPr="4196D2B1">
        <w:rPr>
          <w:rStyle w:val="normaltextrun"/>
          <w:rFonts w:ascii="Segoe UI" w:eastAsia="Segoe UI" w:hAnsi="Segoe UI" w:cs="Segoe UI"/>
          <w:color w:val="000000"/>
          <w:shd w:val="clear" w:color="auto" w:fill="FFFFFF"/>
        </w:rPr>
        <w:t xml:space="preserve">Brendan Hourigan, Director, Office of Planning and Budget, at 571–272–8966, or at </w:t>
      </w:r>
      <w:hyperlink r:id="rId20" w:history="1">
        <w:r w:rsidR="00306100" w:rsidRPr="00D15186">
          <w:rPr>
            <w:rStyle w:val="Hyperlink"/>
            <w:rFonts w:ascii="Segoe UI" w:eastAsia="Segoe UI" w:hAnsi="Segoe UI" w:cs="Segoe UI"/>
            <w:shd w:val="clear" w:color="auto" w:fill="FFFFFF"/>
          </w:rPr>
          <w:t>Brendan.Hourigan@uspto.gov</w:t>
        </w:r>
      </w:hyperlink>
      <w:r w:rsidR="1ADC2C7E" w:rsidRPr="4196D2B1">
        <w:rPr>
          <w:rStyle w:val="normaltextrun"/>
          <w:rFonts w:ascii="Segoe UI" w:eastAsia="Segoe UI" w:hAnsi="Segoe UI" w:cs="Segoe UI"/>
          <w:color w:val="000000" w:themeColor="text1"/>
        </w:rPr>
        <w:t xml:space="preserve">; </w:t>
      </w:r>
      <w:r w:rsidR="2D9CAA76" w:rsidRPr="4196D2B1">
        <w:rPr>
          <w:rStyle w:val="normaltextrun"/>
          <w:rFonts w:ascii="Segoe UI" w:eastAsia="Segoe UI" w:hAnsi="Segoe UI" w:cs="Segoe UI"/>
          <w:color w:val="000000"/>
          <w:shd w:val="clear" w:color="auto" w:fill="FFFFFF"/>
        </w:rPr>
        <w:t xml:space="preserve">or </w:t>
      </w:r>
      <w:r w:rsidR="00061339">
        <w:rPr>
          <w:rStyle w:val="normaltextrun"/>
          <w:rFonts w:ascii="Segoe UI" w:eastAsia="Segoe UI" w:hAnsi="Segoe UI" w:cs="Segoe UI"/>
          <w:color w:val="000000"/>
          <w:shd w:val="clear" w:color="auto" w:fill="FFFFFF"/>
        </w:rPr>
        <w:t>C. Brett Lockard</w:t>
      </w:r>
      <w:r w:rsidR="2D9CAA76" w:rsidRPr="4196D2B1">
        <w:rPr>
          <w:rStyle w:val="normaltextrun"/>
          <w:rFonts w:ascii="Segoe UI" w:eastAsia="Segoe UI" w:hAnsi="Segoe UI" w:cs="Segoe UI"/>
          <w:color w:val="000000"/>
          <w:shd w:val="clear" w:color="auto" w:fill="FFFFFF"/>
        </w:rPr>
        <w:t>, Director, Forecasting and Analysis Division, at 571–272–</w:t>
      </w:r>
      <w:r w:rsidR="00061339">
        <w:rPr>
          <w:rStyle w:val="normaltextrun"/>
          <w:rFonts w:ascii="Segoe UI" w:eastAsia="Segoe UI" w:hAnsi="Segoe UI" w:cs="Segoe UI"/>
          <w:color w:val="000000"/>
          <w:shd w:val="clear" w:color="auto" w:fill="FFFFFF"/>
        </w:rPr>
        <w:t>0928</w:t>
      </w:r>
      <w:r w:rsidR="2D9CAA76" w:rsidRPr="4196D2B1">
        <w:rPr>
          <w:rStyle w:val="normaltextrun"/>
          <w:rFonts w:ascii="Segoe UI" w:eastAsia="Segoe UI" w:hAnsi="Segoe UI" w:cs="Segoe UI"/>
          <w:color w:val="000000"/>
          <w:shd w:val="clear" w:color="auto" w:fill="FFFFFF"/>
        </w:rPr>
        <w:t xml:space="preserve">, or at </w:t>
      </w:r>
      <w:hyperlink r:id="rId21" w:history="1">
        <w:r w:rsidR="00A86B17" w:rsidRPr="007867A9">
          <w:rPr>
            <w:rStyle w:val="Hyperlink"/>
            <w:rFonts w:ascii="Segoe UI" w:eastAsia="Segoe UI" w:hAnsi="Segoe UI" w:cs="Segoe UI"/>
            <w:shd w:val="clear" w:color="auto" w:fill="FFFFFF"/>
          </w:rPr>
          <w:t>Christopher.Lockard@uspto.gov</w:t>
        </w:r>
      </w:hyperlink>
      <w:r w:rsidR="00A86B17">
        <w:rPr>
          <w:rStyle w:val="normaltextrun"/>
          <w:rFonts w:ascii="Segoe UI" w:eastAsia="Segoe UI" w:hAnsi="Segoe UI" w:cs="Segoe UI"/>
          <w:color w:val="000000"/>
          <w:shd w:val="clear" w:color="auto" w:fill="FFFFFF"/>
        </w:rPr>
        <w:t xml:space="preserve">. </w:t>
      </w:r>
    </w:p>
    <w:p w14:paraId="23E48939" w14:textId="77777777" w:rsidR="00084BA8" w:rsidRPr="00CF6436" w:rsidRDefault="007A4585" w:rsidP="00EA247B">
      <w:pPr>
        <w:pStyle w:val="Heading1"/>
        <w:numPr>
          <w:ilvl w:val="0"/>
          <w:numId w:val="7"/>
        </w:numPr>
        <w:spacing w:before="0" w:line="360" w:lineRule="auto"/>
        <w:rPr>
          <w:rFonts w:ascii="Segoe UI" w:hAnsi="Segoe UI" w:cs="Segoe UI"/>
        </w:rPr>
      </w:pPr>
      <w:bookmarkStart w:id="20" w:name="_Toc451951707"/>
      <w:bookmarkStart w:id="21" w:name="_Toc344064274"/>
      <w:bookmarkStart w:id="22" w:name="_Toc442357719"/>
      <w:bookmarkStart w:id="23" w:name="_Toc451951708"/>
      <w:bookmarkStart w:id="24" w:name="_Toc175640419"/>
      <w:bookmarkStart w:id="25" w:name="_Toc320784963"/>
      <w:bookmarkStart w:id="26" w:name="_Toc321263718"/>
      <w:bookmarkStart w:id="27" w:name="_Toc324165131"/>
      <w:bookmarkEnd w:id="20"/>
      <w:bookmarkEnd w:id="21"/>
      <w:r w:rsidRPr="31665127">
        <w:rPr>
          <w:rFonts w:ascii="Segoe UI" w:hAnsi="Segoe UI" w:cs="Segoe UI"/>
        </w:rPr>
        <w:lastRenderedPageBreak/>
        <w:t>GENERAL INFORMATION</w:t>
      </w:r>
      <w:bookmarkEnd w:id="22"/>
      <w:bookmarkEnd w:id="23"/>
      <w:bookmarkEnd w:id="24"/>
    </w:p>
    <w:p w14:paraId="11710476" w14:textId="77777777" w:rsidR="001152B6" w:rsidRPr="00CF6436" w:rsidRDefault="001152B6" w:rsidP="00EA247B">
      <w:pPr>
        <w:pStyle w:val="Heading2Number"/>
        <w:numPr>
          <w:ilvl w:val="1"/>
          <w:numId w:val="16"/>
        </w:numPr>
        <w:spacing w:line="360" w:lineRule="auto"/>
        <w:rPr>
          <w:rFonts w:ascii="Segoe UI" w:hAnsi="Segoe UI" w:cs="Segoe UI"/>
        </w:rPr>
      </w:pPr>
      <w:bookmarkStart w:id="28" w:name="_Toc450579069"/>
      <w:bookmarkStart w:id="29" w:name="_Toc450669454"/>
      <w:bookmarkStart w:id="30" w:name="_Toc325554066"/>
      <w:bookmarkStart w:id="31" w:name="_Toc442357716"/>
      <w:bookmarkStart w:id="32" w:name="_Toc451951709"/>
      <w:bookmarkStart w:id="33" w:name="_Toc175640420"/>
      <w:bookmarkStart w:id="34" w:name="_Toc320784959"/>
      <w:bookmarkStart w:id="35" w:name="_Toc321263714"/>
      <w:bookmarkStart w:id="36" w:name="_Toc324165127"/>
      <w:bookmarkStart w:id="37" w:name="_Toc324525685"/>
      <w:bookmarkStart w:id="38" w:name="_Toc324932298"/>
      <w:bookmarkStart w:id="39" w:name="_Toc325554068"/>
      <w:bookmarkStart w:id="40" w:name="_Toc442357720"/>
      <w:bookmarkEnd w:id="28"/>
      <w:bookmarkEnd w:id="29"/>
      <w:r w:rsidRPr="31665127">
        <w:rPr>
          <w:rFonts w:ascii="Segoe UI" w:hAnsi="Segoe UI" w:cs="Segoe UI"/>
        </w:rPr>
        <w:t>Statement of Need for Action</w:t>
      </w:r>
      <w:bookmarkEnd w:id="30"/>
      <w:bookmarkEnd w:id="31"/>
      <w:bookmarkEnd w:id="32"/>
      <w:bookmarkEnd w:id="33"/>
    </w:p>
    <w:p w14:paraId="3E7F90C4" w14:textId="49193E3E" w:rsidR="0002124C" w:rsidRPr="00CF6436" w:rsidRDefault="1E7B9FF2" w:rsidP="781DBA16">
      <w:pPr>
        <w:spacing w:line="360" w:lineRule="auto"/>
        <w:ind w:firstLine="450"/>
        <w:rPr>
          <w:rFonts w:ascii="Segoe UI" w:hAnsi="Segoe UI" w:cs="Segoe UI"/>
        </w:rPr>
      </w:pPr>
      <w:r w:rsidRPr="524BF87A">
        <w:rPr>
          <w:rFonts w:ascii="Segoe UI" w:hAnsi="Segoe UI" w:cs="Segoe UI"/>
        </w:rPr>
        <w:t xml:space="preserve">Per the fee setting authority </w:t>
      </w:r>
      <w:r w:rsidR="62B9DCBC" w:rsidRPr="524BF87A">
        <w:rPr>
          <w:rFonts w:ascii="Segoe UI" w:hAnsi="Segoe UI" w:cs="Segoe UI"/>
        </w:rPr>
        <w:t>authorized</w:t>
      </w:r>
      <w:r w:rsidR="0AB31565" w:rsidRPr="524BF87A">
        <w:rPr>
          <w:rFonts w:ascii="Segoe UI" w:hAnsi="Segoe UI" w:cs="Segoe UI"/>
        </w:rPr>
        <w:t xml:space="preserve"> </w:t>
      </w:r>
      <w:r w:rsidR="67A46999" w:rsidRPr="524BF87A">
        <w:rPr>
          <w:rFonts w:ascii="Segoe UI" w:hAnsi="Segoe UI" w:cs="Segoe UI"/>
        </w:rPr>
        <w:t>under</w:t>
      </w:r>
      <w:r w:rsidRPr="524BF87A">
        <w:rPr>
          <w:rFonts w:ascii="Segoe UI" w:hAnsi="Segoe UI" w:cs="Segoe UI"/>
        </w:rPr>
        <w:t xml:space="preserve"> </w:t>
      </w:r>
      <w:r w:rsidR="29CD9A15" w:rsidRPr="524BF87A">
        <w:rPr>
          <w:rFonts w:ascii="Segoe UI" w:hAnsi="Segoe UI" w:cs="Segoe UI"/>
        </w:rPr>
        <w:t>s</w:t>
      </w:r>
      <w:r w:rsidR="0D7E79B6" w:rsidRPr="524BF87A">
        <w:rPr>
          <w:rFonts w:ascii="Segoe UI" w:hAnsi="Segoe UI" w:cs="Segoe UI"/>
        </w:rPr>
        <w:t xml:space="preserve">ection </w:t>
      </w:r>
      <w:r w:rsidRPr="524BF87A">
        <w:rPr>
          <w:rFonts w:ascii="Segoe UI" w:hAnsi="Segoe UI" w:cs="Segoe UI"/>
        </w:rPr>
        <w:t>10 of the AIA,</w:t>
      </w:r>
      <w:r w:rsidR="2D66EF3A" w:rsidRPr="524BF87A">
        <w:rPr>
          <w:rFonts w:ascii="Segoe UI" w:hAnsi="Segoe UI" w:cs="Segoe UI"/>
        </w:rPr>
        <w:t xml:space="preserve"> as amended by the SUCCESS Act,</w:t>
      </w:r>
      <w:r w:rsidRPr="524BF87A">
        <w:rPr>
          <w:rFonts w:ascii="Segoe UI" w:hAnsi="Segoe UI" w:cs="Segoe UI"/>
        </w:rPr>
        <w:t xml:space="preserve"> t</w:t>
      </w:r>
      <w:r w:rsidR="0B8655BD" w:rsidRPr="524BF87A">
        <w:rPr>
          <w:rFonts w:ascii="Segoe UI" w:hAnsi="Segoe UI" w:cs="Segoe UI"/>
        </w:rPr>
        <w:t xml:space="preserve">he USPTO is </w:t>
      </w:r>
      <w:r w:rsidR="0B8655BD" w:rsidRPr="524BF87A">
        <w:rPr>
          <w:rFonts w:ascii="Segoe UI" w:hAnsi="Segoe UI" w:cs="Segoe UI"/>
          <w:color w:val="000000" w:themeColor="text1"/>
        </w:rPr>
        <w:t>issuing</w:t>
      </w:r>
      <w:r w:rsidR="0B8655BD" w:rsidRPr="524BF87A">
        <w:rPr>
          <w:rFonts w:ascii="Segoe UI" w:hAnsi="Segoe UI" w:cs="Segoe UI"/>
        </w:rPr>
        <w:t xml:space="preserve"> a</w:t>
      </w:r>
      <w:r w:rsidR="007D1279">
        <w:rPr>
          <w:rFonts w:ascii="Segoe UI" w:hAnsi="Segoe UI" w:cs="Segoe UI"/>
        </w:rPr>
        <w:t xml:space="preserve"> final rule</w:t>
      </w:r>
      <w:r w:rsidR="0B8655BD" w:rsidRPr="524BF87A">
        <w:rPr>
          <w:rFonts w:ascii="Segoe UI" w:hAnsi="Segoe UI" w:cs="Segoe UI"/>
        </w:rPr>
        <w:t xml:space="preserve"> to set or adjust patent fees to secure sufficient aggregate revenue </w:t>
      </w:r>
      <w:r w:rsidR="2DCEAA42" w:rsidRPr="524BF87A">
        <w:rPr>
          <w:rFonts w:ascii="Segoe UI" w:hAnsi="Segoe UI" w:cs="Segoe UI"/>
        </w:rPr>
        <w:t xml:space="preserve">to support projected aggregate costs </w:t>
      </w:r>
      <w:r w:rsidR="6CD5F9C6" w:rsidRPr="524BF87A">
        <w:rPr>
          <w:rFonts w:ascii="Segoe UI" w:hAnsi="Segoe UI" w:cs="Segoe UI"/>
        </w:rPr>
        <w:t xml:space="preserve">(based on </w:t>
      </w:r>
      <w:r w:rsidR="151AA73C" w:rsidRPr="524BF87A">
        <w:rPr>
          <w:rFonts w:ascii="Segoe UI" w:hAnsi="Segoe UI" w:cs="Segoe UI"/>
        </w:rPr>
        <w:t>assumptions and estimates found in the</w:t>
      </w:r>
      <w:r w:rsidR="007D1279">
        <w:rPr>
          <w:rFonts w:ascii="Segoe UI" w:hAnsi="Segoe UI" w:cs="Segoe UI"/>
        </w:rPr>
        <w:t xml:space="preserve"> final rule</w:t>
      </w:r>
      <w:r w:rsidR="151AA73C" w:rsidRPr="524BF87A">
        <w:rPr>
          <w:rFonts w:ascii="Segoe UI" w:hAnsi="Segoe UI" w:cs="Segoe UI"/>
        </w:rPr>
        <w:t xml:space="preserve"> and the FY </w:t>
      </w:r>
      <w:r w:rsidR="35B838E0" w:rsidRPr="524BF87A">
        <w:rPr>
          <w:rFonts w:ascii="Segoe UI" w:hAnsi="Segoe UI" w:cs="Segoe UI"/>
        </w:rPr>
        <w:t>2025 Budget</w:t>
      </w:r>
      <w:r w:rsidR="6CD5F9C6" w:rsidRPr="524BF87A">
        <w:rPr>
          <w:rFonts w:ascii="Segoe UI" w:hAnsi="Segoe UI" w:cs="Segoe UI"/>
        </w:rPr>
        <w:t>)</w:t>
      </w:r>
      <w:r w:rsidRPr="524BF87A">
        <w:rPr>
          <w:rFonts w:ascii="Segoe UI" w:hAnsi="Segoe UI" w:cs="Segoe UI"/>
        </w:rPr>
        <w:t>.</w:t>
      </w:r>
      <w:r w:rsidR="32EC5D23" w:rsidRPr="524BF87A">
        <w:rPr>
          <w:rFonts w:ascii="Segoe UI" w:hAnsi="Segoe UI" w:cs="Segoe UI"/>
        </w:rPr>
        <w:t xml:space="preserve"> </w:t>
      </w:r>
      <w:r w:rsidRPr="524BF87A">
        <w:rPr>
          <w:rFonts w:ascii="Segoe UI" w:hAnsi="Segoe UI" w:cs="Segoe UI"/>
        </w:rPr>
        <w:t>The fee schedule in the</w:t>
      </w:r>
      <w:r w:rsidR="007D1279">
        <w:rPr>
          <w:rFonts w:ascii="Segoe UI" w:hAnsi="Segoe UI" w:cs="Segoe UI"/>
        </w:rPr>
        <w:t xml:space="preserve"> final rule</w:t>
      </w:r>
      <w:r w:rsidRPr="524BF87A">
        <w:rPr>
          <w:rFonts w:ascii="Segoe UI" w:hAnsi="Segoe UI" w:cs="Segoe UI"/>
        </w:rPr>
        <w:t xml:space="preserve"> will recover the aggregate estimated costs of patent operations while achieving the strategic goals detailed in the Strategic Plan</w:t>
      </w:r>
      <w:r w:rsidR="708C9D40" w:rsidRPr="524BF87A">
        <w:rPr>
          <w:rFonts w:ascii="Segoe UI" w:hAnsi="Segoe UI" w:cs="Segoe UI"/>
        </w:rPr>
        <w:t>, which defines the USPTO’s mission, vision</w:t>
      </w:r>
      <w:r w:rsidR="093786FC" w:rsidRPr="524BF87A">
        <w:rPr>
          <w:rFonts w:ascii="Segoe UI" w:hAnsi="Segoe UI" w:cs="Segoe UI"/>
        </w:rPr>
        <w:t>,</w:t>
      </w:r>
      <w:r w:rsidR="708C9D40" w:rsidRPr="524BF87A">
        <w:rPr>
          <w:rFonts w:ascii="Segoe UI" w:hAnsi="Segoe UI" w:cs="Segoe UI"/>
        </w:rPr>
        <w:t xml:space="preserve"> and long-term goals and </w:t>
      </w:r>
      <w:r w:rsidR="671FCB66" w:rsidRPr="524BF87A">
        <w:rPr>
          <w:rFonts w:ascii="Segoe UI" w:hAnsi="Segoe UI" w:cs="Segoe UI"/>
        </w:rPr>
        <w:t xml:space="preserve">outlines </w:t>
      </w:r>
      <w:r w:rsidR="52B8B43E" w:rsidRPr="524BF87A">
        <w:rPr>
          <w:rFonts w:ascii="Segoe UI" w:hAnsi="Segoe UI" w:cs="Segoe UI"/>
        </w:rPr>
        <w:t>actions</w:t>
      </w:r>
      <w:r w:rsidR="708C9D40" w:rsidRPr="524BF87A">
        <w:rPr>
          <w:rFonts w:ascii="Segoe UI" w:hAnsi="Segoe UI" w:cs="Segoe UI"/>
        </w:rPr>
        <w:t xml:space="preserve"> the </w:t>
      </w:r>
      <w:r w:rsidR="1A16E4A3" w:rsidRPr="524BF87A">
        <w:rPr>
          <w:rFonts w:ascii="Segoe UI" w:hAnsi="Segoe UI" w:cs="Segoe UI"/>
        </w:rPr>
        <w:t>agency</w:t>
      </w:r>
      <w:r w:rsidR="708C9D40" w:rsidRPr="524BF87A">
        <w:rPr>
          <w:rFonts w:ascii="Segoe UI" w:hAnsi="Segoe UI" w:cs="Segoe UI"/>
        </w:rPr>
        <w:t xml:space="preserve"> will take to realize th</w:t>
      </w:r>
      <w:r w:rsidR="671FCB66" w:rsidRPr="524BF87A">
        <w:rPr>
          <w:rFonts w:ascii="Segoe UI" w:hAnsi="Segoe UI" w:cs="Segoe UI"/>
        </w:rPr>
        <w:t xml:space="preserve">em. </w:t>
      </w:r>
      <w:r w:rsidRPr="524BF87A">
        <w:rPr>
          <w:rFonts w:ascii="Segoe UI" w:hAnsi="Segoe UI" w:cs="Segoe UI"/>
        </w:rPr>
        <w:t>Th</w:t>
      </w:r>
      <w:r w:rsidR="708C9D40" w:rsidRPr="524BF87A">
        <w:rPr>
          <w:rFonts w:ascii="Segoe UI" w:hAnsi="Segoe UI" w:cs="Segoe UI"/>
        </w:rPr>
        <w:t xml:space="preserve">e </w:t>
      </w:r>
      <w:r w:rsidR="00562765">
        <w:rPr>
          <w:rFonts w:ascii="Segoe UI" w:hAnsi="Segoe UI" w:cs="Segoe UI"/>
        </w:rPr>
        <w:t>Final</w:t>
      </w:r>
      <w:r w:rsidR="00562765" w:rsidRPr="524BF87A">
        <w:rPr>
          <w:rFonts w:ascii="Segoe UI" w:hAnsi="Segoe UI" w:cs="Segoe UI"/>
        </w:rPr>
        <w:t xml:space="preserve"> </w:t>
      </w:r>
      <w:r w:rsidR="5FE55F53" w:rsidRPr="524BF87A">
        <w:rPr>
          <w:rFonts w:ascii="Segoe UI" w:hAnsi="Segoe UI" w:cs="Segoe UI"/>
        </w:rPr>
        <w:t>Patent Fee Schedule</w:t>
      </w:r>
      <w:r w:rsidR="708C9D40" w:rsidRPr="524BF87A">
        <w:rPr>
          <w:rFonts w:ascii="Segoe UI" w:hAnsi="Segoe UI" w:cs="Segoe UI"/>
        </w:rPr>
        <w:t xml:space="preserve"> </w:t>
      </w:r>
      <w:r w:rsidRPr="524BF87A">
        <w:rPr>
          <w:rFonts w:ascii="Segoe UI" w:hAnsi="Segoe UI" w:cs="Segoe UI"/>
        </w:rPr>
        <w:t>supports the patent</w:t>
      </w:r>
      <w:r w:rsidR="48585A61" w:rsidRPr="524BF87A">
        <w:rPr>
          <w:rFonts w:ascii="Segoe UI" w:hAnsi="Segoe UI" w:cs="Segoe UI"/>
        </w:rPr>
        <w:t>-related</w:t>
      </w:r>
      <w:r w:rsidRPr="524BF87A">
        <w:rPr>
          <w:rFonts w:ascii="Segoe UI" w:hAnsi="Segoe UI" w:cs="Segoe UI"/>
        </w:rPr>
        <w:t xml:space="preserve"> strategic goal </w:t>
      </w:r>
      <w:r w:rsidR="5D426EB3" w:rsidRPr="524BF87A">
        <w:rPr>
          <w:rFonts w:ascii="Segoe UI" w:hAnsi="Segoe UI" w:cs="Segoe UI"/>
        </w:rPr>
        <w:t xml:space="preserve">of promoting the </w:t>
      </w:r>
      <w:r w:rsidR="3B4C964B" w:rsidRPr="524BF87A">
        <w:rPr>
          <w:rFonts w:ascii="Segoe UI" w:hAnsi="Segoe UI" w:cs="Segoe UI"/>
        </w:rPr>
        <w:t>efficient</w:t>
      </w:r>
      <w:r w:rsidR="5420522C" w:rsidRPr="524BF87A">
        <w:rPr>
          <w:rFonts w:ascii="Segoe UI" w:hAnsi="Segoe UI" w:cs="Segoe UI"/>
        </w:rPr>
        <w:t xml:space="preserve"> delivery of reliable</w:t>
      </w:r>
      <w:r w:rsidR="088C1C5E" w:rsidRPr="524BF87A">
        <w:rPr>
          <w:rFonts w:ascii="Segoe UI" w:hAnsi="Segoe UI" w:cs="Segoe UI"/>
        </w:rPr>
        <w:t xml:space="preserve"> </w:t>
      </w:r>
      <w:r w:rsidR="5420522C" w:rsidRPr="524BF87A">
        <w:rPr>
          <w:rFonts w:ascii="Segoe UI" w:hAnsi="Segoe UI" w:cs="Segoe UI"/>
        </w:rPr>
        <w:t>IP rights</w:t>
      </w:r>
      <w:r w:rsidRPr="524BF87A">
        <w:rPr>
          <w:rFonts w:ascii="Segoe UI" w:hAnsi="Segoe UI" w:cs="Segoe UI"/>
        </w:rPr>
        <w:t xml:space="preserve"> </w:t>
      </w:r>
      <w:r w:rsidR="6CD5F9C6" w:rsidRPr="524BF87A">
        <w:rPr>
          <w:rFonts w:ascii="Segoe UI" w:hAnsi="Segoe UI" w:cs="Segoe UI"/>
        </w:rPr>
        <w:t xml:space="preserve">and will pay for all patent-related costs, </w:t>
      </w:r>
      <w:r w:rsidR="78E5CA87" w:rsidRPr="524BF87A">
        <w:rPr>
          <w:rFonts w:ascii="Segoe UI" w:hAnsi="Segoe UI" w:cs="Segoe UI"/>
        </w:rPr>
        <w:t>including</w:t>
      </w:r>
      <w:r w:rsidR="5420522C" w:rsidRPr="524BF87A">
        <w:rPr>
          <w:rFonts w:ascii="Segoe UI" w:hAnsi="Segoe UI" w:cs="Segoe UI"/>
        </w:rPr>
        <w:t xml:space="preserve"> the protection of IP against new and persistent threats</w:t>
      </w:r>
      <w:r w:rsidR="6CD5F9C6" w:rsidRPr="524BF87A">
        <w:rPr>
          <w:rFonts w:ascii="Segoe UI" w:hAnsi="Segoe UI" w:cs="Segoe UI"/>
        </w:rPr>
        <w:t xml:space="preserve">, </w:t>
      </w:r>
      <w:r w:rsidR="5420522C" w:rsidRPr="524BF87A">
        <w:rPr>
          <w:rFonts w:ascii="Segoe UI" w:hAnsi="Segoe UI" w:cs="Segoe UI"/>
        </w:rPr>
        <w:t>bringing innovation to impact</w:t>
      </w:r>
      <w:r w:rsidR="5FE55F53" w:rsidRPr="524BF87A">
        <w:rPr>
          <w:rFonts w:ascii="Segoe UI" w:hAnsi="Segoe UI" w:cs="Segoe UI"/>
        </w:rPr>
        <w:t xml:space="preserve"> </w:t>
      </w:r>
      <w:r w:rsidR="5420522C" w:rsidRPr="524BF87A">
        <w:rPr>
          <w:rFonts w:ascii="Segoe UI" w:hAnsi="Segoe UI" w:cs="Segoe UI"/>
        </w:rPr>
        <w:t>for the public good, and</w:t>
      </w:r>
      <w:r w:rsidR="561DC669" w:rsidRPr="524BF87A">
        <w:rPr>
          <w:rFonts w:ascii="Segoe UI" w:hAnsi="Segoe UI" w:cs="Segoe UI"/>
        </w:rPr>
        <w:t xml:space="preserve"> </w:t>
      </w:r>
      <w:r w:rsidR="5707D08C" w:rsidRPr="524BF87A">
        <w:rPr>
          <w:rFonts w:ascii="Segoe UI" w:hAnsi="Segoe UI" w:cs="Segoe UI"/>
        </w:rPr>
        <w:t>generat</w:t>
      </w:r>
      <w:r w:rsidR="0DC25F89" w:rsidRPr="524BF87A">
        <w:rPr>
          <w:rFonts w:ascii="Segoe UI" w:hAnsi="Segoe UI" w:cs="Segoe UI"/>
        </w:rPr>
        <w:t>ing</w:t>
      </w:r>
      <w:r w:rsidR="5420522C" w:rsidRPr="524BF87A">
        <w:rPr>
          <w:rFonts w:ascii="Segoe UI" w:hAnsi="Segoe UI" w:cs="Segoe UI"/>
        </w:rPr>
        <w:t xml:space="preserve"> impactful employee and customer experiences by maximizing agency operations</w:t>
      </w:r>
      <w:r w:rsidRPr="524BF87A">
        <w:rPr>
          <w:rFonts w:ascii="Segoe UI" w:hAnsi="Segoe UI" w:cs="Segoe UI"/>
        </w:rPr>
        <w:t>.</w:t>
      </w:r>
    </w:p>
    <w:p w14:paraId="2BEE1E58" w14:textId="0F13EE47" w:rsidR="0008717A" w:rsidRPr="00CF6436" w:rsidRDefault="300F35FE" w:rsidP="781DBA16">
      <w:pPr>
        <w:spacing w:line="360" w:lineRule="auto"/>
        <w:ind w:firstLine="450"/>
        <w:rPr>
          <w:rFonts w:ascii="Segoe UI" w:hAnsi="Segoe UI" w:cs="Segoe UI"/>
        </w:rPr>
      </w:pPr>
      <w:r w:rsidRPr="736A6D4F">
        <w:rPr>
          <w:rFonts w:ascii="Segoe UI" w:hAnsi="Segoe UI" w:cs="Segoe UI"/>
        </w:rPr>
        <w:t xml:space="preserve">From 1982 until passage of the AIA in 2011, the patent fees that generate most patent revenue (e.g., filing, search, examination, issue, and maintenance fees) were set by statute, and could </w:t>
      </w:r>
      <w:r w:rsidR="11593268" w:rsidRPr="736A6D4F">
        <w:rPr>
          <w:rFonts w:ascii="Segoe UI" w:hAnsi="Segoe UI" w:cs="Segoe UI"/>
        </w:rPr>
        <w:t>be</w:t>
      </w:r>
      <w:r w:rsidRPr="736A6D4F">
        <w:rPr>
          <w:rFonts w:ascii="Segoe UI" w:hAnsi="Segoe UI" w:cs="Segoe UI"/>
        </w:rPr>
        <w:t xml:space="preserve"> adjust</w:t>
      </w:r>
      <w:r w:rsidR="11593268" w:rsidRPr="736A6D4F">
        <w:rPr>
          <w:rFonts w:ascii="Segoe UI" w:hAnsi="Segoe UI" w:cs="Segoe UI"/>
        </w:rPr>
        <w:t>ed</w:t>
      </w:r>
      <w:r w:rsidRPr="736A6D4F">
        <w:rPr>
          <w:rFonts w:ascii="Segoe UI" w:hAnsi="Segoe UI" w:cs="Segoe UI"/>
        </w:rPr>
        <w:t xml:space="preserve"> </w:t>
      </w:r>
      <w:r w:rsidR="0A896D8F" w:rsidRPr="736A6D4F">
        <w:rPr>
          <w:rFonts w:ascii="Segoe UI" w:hAnsi="Segoe UI" w:cs="Segoe UI"/>
        </w:rPr>
        <w:t xml:space="preserve">only </w:t>
      </w:r>
      <w:r w:rsidRPr="736A6D4F">
        <w:rPr>
          <w:rFonts w:ascii="Segoe UI" w:hAnsi="Segoe UI" w:cs="Segoe UI"/>
        </w:rPr>
        <w:t>to reflect changes in the</w:t>
      </w:r>
      <w:r w:rsidR="25809B82" w:rsidRPr="736A6D4F">
        <w:rPr>
          <w:rFonts w:ascii="Segoe UI" w:hAnsi="Segoe UI" w:cs="Segoe UI"/>
        </w:rPr>
        <w:t xml:space="preserve"> Consumer Price Index for All Urban Consumers</w:t>
      </w:r>
      <w:r w:rsidR="6A13992E" w:rsidRPr="736A6D4F">
        <w:rPr>
          <w:rFonts w:ascii="Segoe UI" w:hAnsi="Segoe UI" w:cs="Segoe UI"/>
        </w:rPr>
        <w:t xml:space="preserve"> (CPI-U)</w:t>
      </w:r>
      <w:r w:rsidR="25809B82" w:rsidRPr="736A6D4F">
        <w:rPr>
          <w:rFonts w:ascii="Segoe UI" w:hAnsi="Segoe UI" w:cs="Segoe UI"/>
        </w:rPr>
        <w:t xml:space="preserve">, as determined by the </w:t>
      </w:r>
      <w:r w:rsidR="2E8371AF" w:rsidRPr="736A6D4F">
        <w:rPr>
          <w:rFonts w:ascii="Segoe UI" w:hAnsi="Segoe UI" w:cs="Segoe UI"/>
        </w:rPr>
        <w:t>Department of Labor</w:t>
      </w:r>
      <w:r w:rsidRPr="736A6D4F">
        <w:rPr>
          <w:rFonts w:ascii="Segoe UI" w:hAnsi="Segoe UI" w:cs="Segoe UI"/>
        </w:rPr>
        <w:t>.</w:t>
      </w:r>
      <w:r w:rsidR="6558CFEB" w:rsidRPr="736A6D4F">
        <w:rPr>
          <w:rFonts w:ascii="Segoe UI" w:hAnsi="Segoe UI" w:cs="Segoe UI"/>
        </w:rPr>
        <w:t xml:space="preserve"> </w:t>
      </w:r>
      <w:r w:rsidR="68B344F5" w:rsidRPr="736A6D4F">
        <w:rPr>
          <w:rFonts w:ascii="Segoe UI" w:hAnsi="Segoe UI" w:cs="Segoe UI"/>
        </w:rPr>
        <w:t xml:space="preserve">Since </w:t>
      </w:r>
      <w:r w:rsidRPr="736A6D4F">
        <w:rPr>
          <w:rFonts w:ascii="Segoe UI" w:hAnsi="Segoe UI" w:cs="Segoe UI"/>
        </w:rPr>
        <w:t>these fees were set by statute, the USPTO could not realign or adjust fees to effectively respond to market demand or changes in processing costs</w:t>
      </w:r>
      <w:r w:rsidR="5273F4F1" w:rsidRPr="736A6D4F">
        <w:rPr>
          <w:rFonts w:ascii="Segoe UI" w:hAnsi="Segoe UI" w:cs="Segoe UI"/>
        </w:rPr>
        <w:t>,</w:t>
      </w:r>
      <w:r w:rsidRPr="736A6D4F">
        <w:rPr>
          <w:rFonts w:ascii="Segoe UI" w:hAnsi="Segoe UI" w:cs="Segoe UI"/>
        </w:rPr>
        <w:t xml:space="preserve"> other than for the CPI</w:t>
      </w:r>
      <w:r w:rsidR="07DC6084" w:rsidRPr="736A6D4F">
        <w:rPr>
          <w:rFonts w:ascii="Segoe UI" w:hAnsi="Segoe UI" w:cs="Segoe UI"/>
        </w:rPr>
        <w:t>-U</w:t>
      </w:r>
      <w:r w:rsidRPr="736A6D4F">
        <w:rPr>
          <w:rFonts w:ascii="Segoe UI" w:hAnsi="Segoe UI" w:cs="Segoe UI"/>
        </w:rPr>
        <w:t>.</w:t>
      </w:r>
    </w:p>
    <w:p w14:paraId="7A3E4A75" w14:textId="6A7B9637" w:rsidR="00DC624F" w:rsidRPr="00CF6436" w:rsidRDefault="4B7F50E0" w:rsidP="781DBA16">
      <w:pPr>
        <w:spacing w:line="360" w:lineRule="auto"/>
        <w:ind w:firstLine="450"/>
        <w:rPr>
          <w:rFonts w:ascii="Segoe UI" w:hAnsi="Segoe UI" w:cs="Segoe UI"/>
        </w:rPr>
      </w:pPr>
      <w:r w:rsidRPr="736A6D4F">
        <w:rPr>
          <w:rFonts w:ascii="Segoe UI" w:hAnsi="Segoe UI" w:cs="Segoe UI"/>
        </w:rPr>
        <w:t>Section 10 of the AIA changed the fee setting model and authorized the USPTO to set or adjust patent fees within the regulatory process</w:t>
      </w:r>
      <w:r w:rsidR="6A9BCE6E" w:rsidRPr="736A6D4F">
        <w:rPr>
          <w:rFonts w:ascii="Segoe UI" w:hAnsi="Segoe UI" w:cs="Segoe UI"/>
        </w:rPr>
        <w:t xml:space="preserve">, better equipping the agency to </w:t>
      </w:r>
      <w:r w:rsidRPr="736A6D4F">
        <w:rPr>
          <w:rFonts w:ascii="Segoe UI" w:hAnsi="Segoe UI" w:cs="Segoe UI"/>
        </w:rPr>
        <w:t>respond t</w:t>
      </w:r>
      <w:r w:rsidR="0106D171" w:rsidRPr="736A6D4F">
        <w:rPr>
          <w:rFonts w:ascii="Segoe UI" w:hAnsi="Segoe UI" w:cs="Segoe UI"/>
        </w:rPr>
        <w:t xml:space="preserve">o </w:t>
      </w:r>
      <w:r w:rsidR="54BF5486" w:rsidRPr="736A6D4F">
        <w:rPr>
          <w:rFonts w:ascii="Segoe UI" w:hAnsi="Segoe UI" w:cs="Segoe UI"/>
        </w:rPr>
        <w:t>changing</w:t>
      </w:r>
      <w:r w:rsidR="0106D171" w:rsidRPr="736A6D4F">
        <w:rPr>
          <w:rFonts w:ascii="Segoe UI" w:hAnsi="Segoe UI" w:cs="Segoe UI"/>
        </w:rPr>
        <w:t xml:space="preserve"> </w:t>
      </w:r>
      <w:r w:rsidR="54BF5486" w:rsidRPr="736A6D4F">
        <w:rPr>
          <w:rFonts w:ascii="Segoe UI" w:hAnsi="Segoe UI" w:cs="Segoe UI"/>
        </w:rPr>
        <w:t>circumstances</w:t>
      </w:r>
      <w:r w:rsidR="71192E5E" w:rsidRPr="736A6D4F">
        <w:rPr>
          <w:rFonts w:ascii="Segoe UI" w:hAnsi="Segoe UI" w:cs="Segoe UI"/>
        </w:rPr>
        <w:t xml:space="preserve"> like </w:t>
      </w:r>
      <w:r w:rsidR="39ACFBCD" w:rsidRPr="736A6D4F">
        <w:rPr>
          <w:rFonts w:ascii="Segoe UI" w:hAnsi="Segoe UI" w:cs="Segoe UI"/>
        </w:rPr>
        <w:t>fluctuations in demand for patent products and services or emerging legal requirements</w:t>
      </w:r>
      <w:r w:rsidR="0106D171" w:rsidRPr="736A6D4F">
        <w:rPr>
          <w:rFonts w:ascii="Segoe UI" w:hAnsi="Segoe UI" w:cs="Segoe UI"/>
        </w:rPr>
        <w:t>.</w:t>
      </w:r>
      <w:r w:rsidR="6558CFEB" w:rsidRPr="736A6D4F">
        <w:rPr>
          <w:rFonts w:ascii="Segoe UI" w:hAnsi="Segoe UI" w:cs="Segoe UI"/>
        </w:rPr>
        <w:t xml:space="preserve"> </w:t>
      </w:r>
      <w:r w:rsidR="0387AA25" w:rsidRPr="736A6D4F">
        <w:rPr>
          <w:rFonts w:ascii="Segoe UI" w:hAnsi="Segoe UI" w:cs="Segoe UI"/>
        </w:rPr>
        <w:t xml:space="preserve">This </w:t>
      </w:r>
      <w:r w:rsidR="6E75E39A" w:rsidRPr="736A6D4F">
        <w:rPr>
          <w:rFonts w:ascii="Segoe UI" w:hAnsi="Segoe UI" w:cs="Segoe UI"/>
        </w:rPr>
        <w:t xml:space="preserve">fee setting authority was set to expire after </w:t>
      </w:r>
      <w:r w:rsidR="3279BF1C" w:rsidRPr="736A6D4F">
        <w:rPr>
          <w:rFonts w:ascii="Segoe UI" w:hAnsi="Segoe UI" w:cs="Segoe UI"/>
        </w:rPr>
        <w:t xml:space="preserve">seven </w:t>
      </w:r>
      <w:r w:rsidR="6E75E39A" w:rsidRPr="736A6D4F">
        <w:rPr>
          <w:rFonts w:ascii="Segoe UI" w:hAnsi="Segoe UI" w:cs="Segoe UI"/>
        </w:rPr>
        <w:t xml:space="preserve">years, </w:t>
      </w:r>
      <w:r w:rsidR="0387AA25" w:rsidRPr="736A6D4F">
        <w:rPr>
          <w:rFonts w:ascii="Segoe UI" w:hAnsi="Segoe UI" w:cs="Segoe UI"/>
        </w:rPr>
        <w:t xml:space="preserve">but </w:t>
      </w:r>
      <w:r w:rsidR="3279BF1C" w:rsidRPr="736A6D4F">
        <w:rPr>
          <w:rFonts w:ascii="Segoe UI" w:hAnsi="Segoe UI" w:cs="Segoe UI"/>
        </w:rPr>
        <w:t>s</w:t>
      </w:r>
      <w:r w:rsidR="6E75E39A" w:rsidRPr="736A6D4F">
        <w:rPr>
          <w:rFonts w:ascii="Segoe UI" w:hAnsi="Segoe UI" w:cs="Segoe UI"/>
        </w:rPr>
        <w:t xml:space="preserve">ection 4 of the SUCCESS Act amended </w:t>
      </w:r>
      <w:r w:rsidR="3279BF1C" w:rsidRPr="736A6D4F">
        <w:rPr>
          <w:rFonts w:ascii="Segoe UI" w:hAnsi="Segoe UI" w:cs="Segoe UI"/>
        </w:rPr>
        <w:t>s</w:t>
      </w:r>
      <w:r w:rsidR="6E75E39A" w:rsidRPr="736A6D4F">
        <w:rPr>
          <w:rFonts w:ascii="Segoe UI" w:hAnsi="Segoe UI" w:cs="Segoe UI"/>
        </w:rPr>
        <w:t xml:space="preserve">ection </w:t>
      </w:r>
      <w:r w:rsidR="6E75E39A" w:rsidRPr="736A6D4F">
        <w:rPr>
          <w:rFonts w:ascii="Segoe UI" w:hAnsi="Segoe UI" w:cs="Segoe UI"/>
        </w:rPr>
        <w:lastRenderedPageBreak/>
        <w:t>10 of the AIA by striking “7-year” and inserting “15-year” in reference to</w:t>
      </w:r>
      <w:r w:rsidR="5BEE9340" w:rsidRPr="736A6D4F">
        <w:rPr>
          <w:rFonts w:ascii="Segoe UI" w:hAnsi="Segoe UI" w:cs="Segoe UI"/>
        </w:rPr>
        <w:t xml:space="preserve"> the authority’s </w:t>
      </w:r>
      <w:r w:rsidR="6E75E39A" w:rsidRPr="736A6D4F">
        <w:rPr>
          <w:rFonts w:ascii="Segoe UI" w:hAnsi="Segoe UI" w:cs="Segoe UI"/>
        </w:rPr>
        <w:t>expiration.</w:t>
      </w:r>
      <w:r w:rsidR="6558CFEB" w:rsidRPr="736A6D4F">
        <w:rPr>
          <w:rFonts w:ascii="Segoe UI" w:hAnsi="Segoe UI" w:cs="Segoe UI"/>
        </w:rPr>
        <w:t xml:space="preserve"> </w:t>
      </w:r>
      <w:r w:rsidR="6E75E39A" w:rsidRPr="736A6D4F">
        <w:rPr>
          <w:rFonts w:ascii="Segoe UI" w:hAnsi="Segoe UI" w:cs="Segoe UI"/>
        </w:rPr>
        <w:t>This</w:t>
      </w:r>
      <w:r w:rsidR="245496B4" w:rsidRPr="736A6D4F">
        <w:rPr>
          <w:rFonts w:ascii="Segoe UI" w:hAnsi="Segoe UI" w:cs="Segoe UI"/>
        </w:rPr>
        <w:t xml:space="preserve"> amendment</w:t>
      </w:r>
      <w:r w:rsidR="6E75E39A" w:rsidRPr="736A6D4F">
        <w:rPr>
          <w:rFonts w:ascii="Segoe UI" w:hAnsi="Segoe UI" w:cs="Segoe UI"/>
        </w:rPr>
        <w:t xml:space="preserve"> </w:t>
      </w:r>
      <w:r w:rsidR="72F7275C" w:rsidRPr="736A6D4F">
        <w:rPr>
          <w:rFonts w:ascii="Segoe UI" w:hAnsi="Segoe UI" w:cs="Segoe UI"/>
        </w:rPr>
        <w:t>extends</w:t>
      </w:r>
      <w:r w:rsidR="6E75E39A" w:rsidRPr="736A6D4F">
        <w:rPr>
          <w:rFonts w:ascii="Segoe UI" w:hAnsi="Segoe UI" w:cs="Segoe UI"/>
        </w:rPr>
        <w:t xml:space="preserve"> the </w:t>
      </w:r>
      <w:r w:rsidR="7889C6DA" w:rsidRPr="736A6D4F">
        <w:rPr>
          <w:rFonts w:ascii="Segoe UI" w:hAnsi="Segoe UI" w:cs="Segoe UI"/>
        </w:rPr>
        <w:t>USPTO’s</w:t>
      </w:r>
      <w:r w:rsidR="6E75E39A" w:rsidRPr="736A6D4F">
        <w:rPr>
          <w:rFonts w:ascii="Segoe UI" w:hAnsi="Segoe UI" w:cs="Segoe UI"/>
        </w:rPr>
        <w:t xml:space="preserve"> </w:t>
      </w:r>
      <w:r w:rsidR="41557303" w:rsidRPr="736A6D4F">
        <w:rPr>
          <w:rFonts w:ascii="Segoe UI" w:hAnsi="Segoe UI" w:cs="Segoe UI"/>
        </w:rPr>
        <w:t>authority to set</w:t>
      </w:r>
      <w:r w:rsidR="6E75E39A" w:rsidRPr="736A6D4F">
        <w:rPr>
          <w:rFonts w:ascii="Segoe UI" w:hAnsi="Segoe UI" w:cs="Segoe UI"/>
        </w:rPr>
        <w:t xml:space="preserve"> fees to further organizational goals and improve services</w:t>
      </w:r>
      <w:r w:rsidR="0612F1D5" w:rsidRPr="736A6D4F">
        <w:rPr>
          <w:rFonts w:ascii="Segoe UI" w:hAnsi="Segoe UI" w:cs="Segoe UI"/>
        </w:rPr>
        <w:t xml:space="preserve"> through September 16, 2026</w:t>
      </w:r>
      <w:r w:rsidR="6E75E39A" w:rsidRPr="736A6D4F">
        <w:rPr>
          <w:rFonts w:ascii="Segoe UI" w:hAnsi="Segoe UI" w:cs="Segoe UI"/>
        </w:rPr>
        <w:t>.</w:t>
      </w:r>
    </w:p>
    <w:p w14:paraId="1E09949B" w14:textId="5B666DE1" w:rsidR="0C375D48" w:rsidRPr="00CF6436" w:rsidRDefault="0C375D48" w:rsidP="3E055338">
      <w:pPr>
        <w:spacing w:line="360" w:lineRule="auto"/>
        <w:ind w:firstLine="720"/>
        <w:rPr>
          <w:rFonts w:ascii="Segoe UI" w:hAnsi="Segoe UI" w:cs="Segoe UI"/>
        </w:rPr>
      </w:pPr>
    </w:p>
    <w:p w14:paraId="768ACCBD" w14:textId="77777777" w:rsidR="001152B6" w:rsidRPr="00CF6436" w:rsidRDefault="001152B6" w:rsidP="00CF6436">
      <w:pPr>
        <w:pStyle w:val="Heading2Number"/>
        <w:spacing w:line="360" w:lineRule="auto"/>
        <w:rPr>
          <w:rFonts w:ascii="Segoe UI" w:hAnsi="Segoe UI" w:cs="Segoe UI"/>
        </w:rPr>
      </w:pPr>
      <w:bookmarkStart w:id="41" w:name="_Toc450579072"/>
      <w:bookmarkStart w:id="42" w:name="_Toc450669457"/>
      <w:bookmarkStart w:id="43" w:name="_Toc450579074"/>
      <w:bookmarkStart w:id="44" w:name="_Toc450669459"/>
      <w:bookmarkStart w:id="45" w:name="_Toc450579076"/>
      <w:bookmarkStart w:id="46" w:name="_Toc450669461"/>
      <w:bookmarkStart w:id="47" w:name="_Toc450579077"/>
      <w:bookmarkStart w:id="48" w:name="_Toc450669462"/>
      <w:bookmarkStart w:id="49" w:name="_Toc450579078"/>
      <w:bookmarkStart w:id="50" w:name="_Toc450669463"/>
      <w:bookmarkStart w:id="51" w:name="_Toc450579079"/>
      <w:bookmarkStart w:id="52" w:name="_Toc450669464"/>
      <w:bookmarkStart w:id="53" w:name="_Toc450579080"/>
      <w:bookmarkStart w:id="54" w:name="_Toc450669465"/>
      <w:bookmarkStart w:id="55" w:name="_Toc450579082"/>
      <w:bookmarkStart w:id="56" w:name="_Toc450669467"/>
      <w:bookmarkStart w:id="57" w:name="_Toc320784958"/>
      <w:bookmarkStart w:id="58" w:name="_Toc321263713"/>
      <w:bookmarkStart w:id="59" w:name="_Toc324165126"/>
      <w:bookmarkStart w:id="60" w:name="_Toc324525684"/>
      <w:bookmarkStart w:id="61" w:name="_Toc324932297"/>
      <w:bookmarkStart w:id="62" w:name="_Toc325554067"/>
      <w:bookmarkStart w:id="63" w:name="_Toc442357717"/>
      <w:bookmarkStart w:id="64" w:name="_Toc451951710"/>
      <w:bookmarkStart w:id="65" w:name="_Toc175640421"/>
      <w:bookmarkStart w:id="66" w:name="_Toc324491282"/>
      <w:bookmarkStart w:id="67" w:name="_Toc324525690"/>
      <w:bookmarkStart w:id="68" w:name="_Toc324932303"/>
      <w:bookmarkStart w:id="69" w:name="_Toc325554073"/>
      <w:bookmarkStart w:id="70" w:name="_Toc442357721"/>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31665127">
        <w:rPr>
          <w:rFonts w:ascii="Segoe UI" w:hAnsi="Segoe UI" w:cs="Segoe UI"/>
        </w:rPr>
        <w:t>Scope</w:t>
      </w:r>
      <w:bookmarkEnd w:id="57"/>
      <w:bookmarkEnd w:id="58"/>
      <w:bookmarkEnd w:id="59"/>
      <w:bookmarkEnd w:id="60"/>
      <w:bookmarkEnd w:id="61"/>
      <w:bookmarkEnd w:id="62"/>
      <w:bookmarkEnd w:id="63"/>
      <w:bookmarkEnd w:id="64"/>
      <w:bookmarkEnd w:id="65"/>
    </w:p>
    <w:p w14:paraId="57B14B89" w14:textId="03804CB3" w:rsidR="001152B6" w:rsidRPr="00CF6436" w:rsidRDefault="367293B8" w:rsidP="781DBA16">
      <w:pPr>
        <w:spacing w:line="360" w:lineRule="auto"/>
        <w:ind w:firstLine="450"/>
        <w:rPr>
          <w:rFonts w:ascii="Segoe UI" w:hAnsi="Segoe UI" w:cs="Segoe UI"/>
        </w:rPr>
      </w:pPr>
      <w:r w:rsidRPr="00CF6436">
        <w:rPr>
          <w:rFonts w:ascii="Segoe UI" w:hAnsi="Segoe UI" w:cs="Segoe UI"/>
        </w:rPr>
        <w:t>The</w:t>
      </w:r>
      <w:r w:rsidR="007D1279">
        <w:rPr>
          <w:rFonts w:ascii="Segoe UI" w:hAnsi="Segoe UI" w:cs="Segoe UI"/>
        </w:rPr>
        <w:t xml:space="preserve"> final rule</w:t>
      </w:r>
      <w:r w:rsidRPr="00CF6436">
        <w:rPr>
          <w:rFonts w:ascii="Segoe UI" w:hAnsi="Segoe UI" w:cs="Segoe UI"/>
        </w:rPr>
        <w:t xml:space="preserve"> </w:t>
      </w:r>
      <w:r w:rsidR="0BC50D27">
        <w:rPr>
          <w:rFonts w:ascii="Segoe UI" w:hAnsi="Segoe UI" w:cs="Segoe UI"/>
        </w:rPr>
        <w:t>sets or adjust</w:t>
      </w:r>
      <w:r w:rsidR="435BCD46">
        <w:rPr>
          <w:rFonts w:ascii="Segoe UI" w:hAnsi="Segoe UI" w:cs="Segoe UI"/>
        </w:rPr>
        <w:t>s</w:t>
      </w:r>
      <w:r w:rsidR="465E7824" w:rsidRPr="00CF6436">
        <w:rPr>
          <w:rFonts w:ascii="Segoe UI" w:hAnsi="Segoe UI" w:cs="Segoe UI"/>
        </w:rPr>
        <w:t xml:space="preserve"> patent fees that are established, authorized, or charged under Title 35 of the U.S.C.</w:t>
      </w:r>
      <w:r w:rsidR="6558CFEB" w:rsidRPr="00CF6436">
        <w:rPr>
          <w:rFonts w:ascii="Segoe UI" w:hAnsi="Segoe UI" w:cs="Segoe UI"/>
        </w:rPr>
        <w:t xml:space="preserve"> </w:t>
      </w:r>
      <w:r w:rsidR="4139313E" w:rsidRPr="00CF6436">
        <w:rPr>
          <w:rFonts w:ascii="Segoe UI" w:hAnsi="Segoe UI" w:cs="Segoe UI"/>
        </w:rPr>
        <w:t xml:space="preserve">Using </w:t>
      </w:r>
      <w:r w:rsidR="276D4671" w:rsidRPr="00CF6436">
        <w:rPr>
          <w:rFonts w:ascii="Segoe UI" w:hAnsi="Segoe UI" w:cs="Segoe UI"/>
        </w:rPr>
        <w:t>s</w:t>
      </w:r>
      <w:r w:rsidR="4139313E" w:rsidRPr="00CF6436">
        <w:rPr>
          <w:rFonts w:ascii="Segoe UI" w:hAnsi="Segoe UI" w:cs="Segoe UI"/>
        </w:rPr>
        <w:t>ection 10 of the AIA,</w:t>
      </w:r>
      <w:r w:rsidR="0226F907" w:rsidRPr="00CF6436">
        <w:rPr>
          <w:rFonts w:ascii="Segoe UI" w:hAnsi="Segoe UI" w:cs="Segoe UI"/>
        </w:rPr>
        <w:t xml:space="preserve"> as amended by the SUCCESS Act,</w:t>
      </w:r>
      <w:r w:rsidR="4139313E" w:rsidRPr="00CF6436">
        <w:rPr>
          <w:rFonts w:ascii="Segoe UI" w:hAnsi="Segoe UI" w:cs="Segoe UI"/>
        </w:rPr>
        <w:t xml:space="preserve"> the USPTO </w:t>
      </w:r>
      <w:r w:rsidR="6EBE9F11" w:rsidRPr="00CF6436">
        <w:rPr>
          <w:rFonts w:ascii="Segoe UI" w:hAnsi="Segoe UI" w:cs="Segoe UI"/>
        </w:rPr>
        <w:t>is</w:t>
      </w:r>
      <w:r w:rsidR="6EBE9F11" w:rsidRPr="00CA3C7E">
        <w:rPr>
          <w:rFonts w:ascii="Segoe UI" w:hAnsi="Segoe UI" w:cs="Segoe UI"/>
        </w:rPr>
        <w:t xml:space="preserve"> </w:t>
      </w:r>
      <w:r w:rsidR="4139313E" w:rsidRPr="00CA3C7E">
        <w:rPr>
          <w:rFonts w:ascii="Segoe UI" w:hAnsi="Segoe UI" w:cs="Segoe UI"/>
        </w:rPr>
        <w:t>adjust</w:t>
      </w:r>
      <w:r w:rsidR="003102A3">
        <w:rPr>
          <w:rFonts w:ascii="Segoe UI" w:hAnsi="Segoe UI" w:cs="Segoe UI"/>
        </w:rPr>
        <w:t>ing</w:t>
      </w:r>
      <w:r w:rsidR="4139313E" w:rsidRPr="00CA3C7E">
        <w:rPr>
          <w:rFonts w:ascii="Segoe UI" w:hAnsi="Segoe UI" w:cs="Segoe UI"/>
        </w:rPr>
        <w:t xml:space="preserve"> </w:t>
      </w:r>
      <w:r w:rsidR="00A86B17">
        <w:rPr>
          <w:rFonts w:ascii="Segoe UI" w:eastAsia="Times New Roman" w:hAnsi="Segoe UI" w:cs="Segoe UI"/>
          <w:color w:val="000000"/>
        </w:rPr>
        <w:t>433</w:t>
      </w:r>
      <w:r w:rsidR="5B771FBE" w:rsidRPr="00CA3C7E">
        <w:rPr>
          <w:rFonts w:ascii="Segoe UI" w:eastAsia="Times New Roman" w:hAnsi="Segoe UI" w:cs="Segoe UI"/>
          <w:color w:val="000000"/>
        </w:rPr>
        <w:t xml:space="preserve"> </w:t>
      </w:r>
      <w:r w:rsidR="4139313E" w:rsidRPr="00CA3C7E">
        <w:rPr>
          <w:rFonts w:ascii="Segoe UI" w:eastAsia="Times New Roman" w:hAnsi="Segoe UI" w:cs="Segoe UI"/>
          <w:color w:val="000000"/>
        </w:rPr>
        <w:t>patent fees</w:t>
      </w:r>
      <w:r w:rsidR="611872C4" w:rsidRPr="00CA3C7E">
        <w:rPr>
          <w:rFonts w:ascii="Segoe UI" w:eastAsia="Times New Roman" w:hAnsi="Segoe UI" w:cs="Segoe UI"/>
          <w:color w:val="000000"/>
        </w:rPr>
        <w:t xml:space="preserve"> and set</w:t>
      </w:r>
      <w:r w:rsidR="003102A3">
        <w:rPr>
          <w:rFonts w:ascii="Segoe UI" w:eastAsia="Times New Roman" w:hAnsi="Segoe UI" w:cs="Segoe UI"/>
          <w:color w:val="000000"/>
        </w:rPr>
        <w:t>ting</w:t>
      </w:r>
      <w:r w:rsidR="00CA3C7E">
        <w:rPr>
          <w:rFonts w:ascii="Segoe UI" w:eastAsia="Times New Roman" w:hAnsi="Segoe UI" w:cs="Segoe UI"/>
          <w:color w:val="000000"/>
        </w:rPr>
        <w:t xml:space="preserve"> </w:t>
      </w:r>
      <w:r w:rsidR="00A86B17">
        <w:rPr>
          <w:rStyle w:val="normaltextrun"/>
          <w:rFonts w:ascii="Segoe UI" w:hAnsi="Segoe UI" w:cs="Segoe UI"/>
          <w:color w:val="000000"/>
        </w:rPr>
        <w:t>52</w:t>
      </w:r>
      <w:r w:rsidR="3676A929" w:rsidRPr="000F20DC">
        <w:rPr>
          <w:rStyle w:val="normaltextrun"/>
          <w:rFonts w:ascii="Segoe UI" w:hAnsi="Segoe UI" w:cs="Segoe UI"/>
          <w:color w:val="000000"/>
        </w:rPr>
        <w:t xml:space="preserve"> </w:t>
      </w:r>
      <w:r w:rsidR="3676A929" w:rsidRPr="00CA3C7E">
        <w:rPr>
          <w:rStyle w:val="normaltextrun"/>
          <w:rFonts w:ascii="Segoe UI" w:hAnsi="Segoe UI" w:cs="Segoe UI"/>
          <w:color w:val="000000"/>
          <w:shd w:val="clear" w:color="auto" w:fill="FFFFFF"/>
        </w:rPr>
        <w:t>new</w:t>
      </w:r>
      <w:r w:rsidR="3676A929" w:rsidRPr="00CF6436">
        <w:rPr>
          <w:rStyle w:val="normaltextrun"/>
          <w:rFonts w:ascii="Segoe UI" w:hAnsi="Segoe UI" w:cs="Segoe UI"/>
          <w:color w:val="000000"/>
          <w:shd w:val="clear" w:color="auto" w:fill="FFFFFF"/>
        </w:rPr>
        <w:t xml:space="preserve"> fees</w:t>
      </w:r>
      <w:r w:rsidR="53AFD3AB" w:rsidRPr="00CF6436">
        <w:rPr>
          <w:rFonts w:ascii="Segoe UI" w:eastAsia="Times New Roman" w:hAnsi="Segoe UI" w:cs="Segoe UI"/>
          <w:color w:val="000000"/>
        </w:rPr>
        <w:t>.</w:t>
      </w:r>
    </w:p>
    <w:p w14:paraId="20179D02" w14:textId="76322551" w:rsidR="00BE4D4D" w:rsidRPr="00CF6436" w:rsidRDefault="23453CB3" w:rsidP="781DBA16">
      <w:pPr>
        <w:spacing w:line="360" w:lineRule="auto"/>
        <w:ind w:firstLine="450"/>
        <w:rPr>
          <w:rFonts w:ascii="Segoe UI" w:hAnsi="Segoe UI" w:cs="Segoe UI"/>
        </w:rPr>
      </w:pPr>
      <w:r w:rsidRPr="736A6D4F">
        <w:rPr>
          <w:rFonts w:ascii="Segoe UI" w:hAnsi="Segoe UI" w:cs="Segoe UI"/>
        </w:rPr>
        <w:t>C</w:t>
      </w:r>
      <w:r w:rsidR="0B8655BD" w:rsidRPr="736A6D4F">
        <w:rPr>
          <w:rFonts w:ascii="Segoe UI" w:hAnsi="Segoe UI" w:cs="Segoe UI"/>
        </w:rPr>
        <w:t xml:space="preserve">onsistent with OMB Circular A-4, as discussed further below, the OIRA considers </w:t>
      </w:r>
      <w:r w:rsidR="6F9A0BB9" w:rsidRPr="736A6D4F">
        <w:rPr>
          <w:rFonts w:ascii="Segoe UI" w:hAnsi="Segoe UI" w:cs="Segoe UI"/>
        </w:rPr>
        <w:t xml:space="preserve">fees charged under </w:t>
      </w:r>
      <w:r w:rsidR="0B8655BD" w:rsidRPr="736A6D4F">
        <w:rPr>
          <w:rFonts w:ascii="Segoe UI" w:hAnsi="Segoe UI" w:cs="Segoe UI"/>
        </w:rPr>
        <w:t xml:space="preserve">the </w:t>
      </w:r>
      <w:r w:rsidR="007D1279">
        <w:rPr>
          <w:rFonts w:ascii="Segoe UI" w:hAnsi="Segoe UI" w:cs="Segoe UI"/>
        </w:rPr>
        <w:t>final rule</w:t>
      </w:r>
      <w:r w:rsidR="007D1279" w:rsidRPr="736A6D4F">
        <w:rPr>
          <w:rFonts w:ascii="Segoe UI" w:hAnsi="Segoe UI" w:cs="Segoe UI"/>
        </w:rPr>
        <w:t xml:space="preserve"> </w:t>
      </w:r>
      <w:r w:rsidR="0734C731" w:rsidRPr="736A6D4F">
        <w:rPr>
          <w:rFonts w:ascii="Segoe UI" w:hAnsi="Segoe UI" w:cs="Segoe UI"/>
        </w:rPr>
        <w:t>as</w:t>
      </w:r>
      <w:r w:rsidR="0B8655BD" w:rsidRPr="736A6D4F">
        <w:rPr>
          <w:rFonts w:ascii="Segoe UI" w:hAnsi="Segoe UI" w:cs="Segoe UI"/>
        </w:rPr>
        <w:t xml:space="preserve"> transfer payment</w:t>
      </w:r>
      <w:r w:rsidR="07D9584B" w:rsidRPr="736A6D4F">
        <w:rPr>
          <w:rFonts w:ascii="Segoe UI" w:hAnsi="Segoe UI" w:cs="Segoe UI"/>
        </w:rPr>
        <w:t>s</w:t>
      </w:r>
      <w:r w:rsidR="0B8655BD" w:rsidRPr="736A6D4F">
        <w:rPr>
          <w:rFonts w:ascii="Segoe UI" w:hAnsi="Segoe UI" w:cs="Segoe UI"/>
        </w:rPr>
        <w:t xml:space="preserve"> from one group to another</w:t>
      </w:r>
      <w:r w:rsidR="36C3920A" w:rsidRPr="736A6D4F">
        <w:rPr>
          <w:rFonts w:ascii="Segoe UI" w:hAnsi="Segoe UI" w:cs="Segoe UI"/>
        </w:rPr>
        <w:t xml:space="preserve">. As such, these fees </w:t>
      </w:r>
      <w:r w:rsidR="0B8655BD" w:rsidRPr="736A6D4F">
        <w:rPr>
          <w:rFonts w:ascii="Segoe UI" w:hAnsi="Segoe UI" w:cs="Segoe UI"/>
        </w:rPr>
        <w:t xml:space="preserve">do not affect total resources available to society and do not trigger a detailed analysis of monetized costs and benefits within the meaning of Executive Order </w:t>
      </w:r>
      <w:r w:rsidR="1BA07A86" w:rsidRPr="736A6D4F">
        <w:rPr>
          <w:rFonts w:ascii="Segoe UI" w:hAnsi="Segoe UI" w:cs="Segoe UI"/>
        </w:rPr>
        <w:t xml:space="preserve">12866 </w:t>
      </w:r>
      <w:r w:rsidR="0B8655BD" w:rsidRPr="736A6D4F">
        <w:rPr>
          <w:rFonts w:ascii="Segoe UI" w:hAnsi="Segoe UI" w:cs="Segoe UI"/>
        </w:rPr>
        <w:t>and related directives.</w:t>
      </w:r>
      <w:r w:rsidR="32EC5D23" w:rsidRPr="736A6D4F">
        <w:rPr>
          <w:rFonts w:ascii="Segoe UI" w:hAnsi="Segoe UI" w:cs="Segoe UI"/>
        </w:rPr>
        <w:t xml:space="preserve"> </w:t>
      </w:r>
      <w:r w:rsidR="681CE5CF" w:rsidRPr="736A6D4F">
        <w:rPr>
          <w:rFonts w:ascii="Segoe UI" w:hAnsi="Segoe UI" w:cs="Segoe UI"/>
        </w:rPr>
        <w:t xml:space="preserve">The </w:t>
      </w:r>
      <w:r w:rsidR="0B8655BD" w:rsidRPr="736A6D4F">
        <w:rPr>
          <w:rFonts w:ascii="Segoe UI" w:hAnsi="Segoe UI" w:cs="Segoe UI"/>
        </w:rPr>
        <w:t>OIRA also concluded that it is very difficult</w:t>
      </w:r>
      <w:r w:rsidR="19101332" w:rsidRPr="736A6D4F">
        <w:rPr>
          <w:rFonts w:ascii="Segoe UI" w:hAnsi="Segoe UI" w:cs="Segoe UI"/>
        </w:rPr>
        <w:t xml:space="preserve"> for agencies</w:t>
      </w:r>
      <w:r w:rsidR="0B8655BD" w:rsidRPr="736A6D4F">
        <w:rPr>
          <w:rFonts w:ascii="Segoe UI" w:hAnsi="Segoe UI" w:cs="Segoe UI"/>
        </w:rPr>
        <w:t xml:space="preserve"> to precisely monetize and quantify costs and benefits in a transfer rule </w:t>
      </w:r>
      <w:r w:rsidR="681CE5CF" w:rsidRPr="736A6D4F">
        <w:rPr>
          <w:rFonts w:ascii="Segoe UI" w:hAnsi="Segoe UI" w:cs="Segoe UI"/>
        </w:rPr>
        <w:t>like</w:t>
      </w:r>
      <w:r w:rsidR="0B8655BD" w:rsidRPr="736A6D4F">
        <w:rPr>
          <w:rFonts w:ascii="Segoe UI" w:hAnsi="Segoe UI" w:cs="Segoe UI"/>
        </w:rPr>
        <w:t xml:space="preserve"> the</w:t>
      </w:r>
      <w:r w:rsidR="007D1279">
        <w:rPr>
          <w:rFonts w:ascii="Segoe UI" w:hAnsi="Segoe UI" w:cs="Segoe UI"/>
        </w:rPr>
        <w:t xml:space="preserve"> final rule</w:t>
      </w:r>
      <w:r w:rsidR="0B8655BD" w:rsidRPr="736A6D4F">
        <w:rPr>
          <w:rFonts w:ascii="Segoe UI" w:hAnsi="Segoe UI" w:cs="Segoe UI"/>
        </w:rPr>
        <w:t>.</w:t>
      </w:r>
      <w:r w:rsidR="32EC5D23" w:rsidRPr="736A6D4F">
        <w:rPr>
          <w:rFonts w:ascii="Segoe UI" w:hAnsi="Segoe UI" w:cs="Segoe UI"/>
        </w:rPr>
        <w:t xml:space="preserve"> </w:t>
      </w:r>
      <w:r w:rsidR="46A62EB7" w:rsidRPr="736A6D4F">
        <w:rPr>
          <w:rFonts w:ascii="Segoe UI" w:hAnsi="Segoe UI" w:cs="Segoe UI"/>
        </w:rPr>
        <w:t xml:space="preserve">In such cases when monetization of benefits and costs is not easily accomplished, OMB </w:t>
      </w:r>
      <w:r w:rsidR="0EAB5E94" w:rsidRPr="736A6D4F">
        <w:rPr>
          <w:rFonts w:ascii="Segoe UI" w:hAnsi="Segoe UI" w:cs="Segoe UI"/>
        </w:rPr>
        <w:t xml:space="preserve">Circular </w:t>
      </w:r>
      <w:r w:rsidR="46A62EB7" w:rsidRPr="736A6D4F">
        <w:rPr>
          <w:rFonts w:ascii="Segoe UI" w:hAnsi="Segoe UI" w:cs="Segoe UI"/>
        </w:rPr>
        <w:t>A-4 advises that agencies should “still describe the benefit or cost qualitatively.”</w:t>
      </w:r>
      <w:r w:rsidR="32EC5D23" w:rsidRPr="736A6D4F">
        <w:rPr>
          <w:rFonts w:ascii="Segoe UI" w:hAnsi="Segoe UI" w:cs="Segoe UI"/>
        </w:rPr>
        <w:t xml:space="preserve"> </w:t>
      </w:r>
      <w:r w:rsidR="0B8655BD" w:rsidRPr="736A6D4F">
        <w:rPr>
          <w:rFonts w:ascii="Segoe UI" w:hAnsi="Segoe UI" w:cs="Segoe UI"/>
        </w:rPr>
        <w:t xml:space="preserve">Thus, </w:t>
      </w:r>
      <w:r w:rsidR="46A62EB7" w:rsidRPr="736A6D4F">
        <w:rPr>
          <w:rFonts w:ascii="Segoe UI" w:hAnsi="Segoe UI" w:cs="Segoe UI"/>
        </w:rPr>
        <w:t xml:space="preserve">the scope of this </w:t>
      </w:r>
      <w:r w:rsidR="0B8655BD" w:rsidRPr="736A6D4F">
        <w:rPr>
          <w:rFonts w:ascii="Segoe UI" w:hAnsi="Segoe UI" w:cs="Segoe UI"/>
        </w:rPr>
        <w:t xml:space="preserve">RIA outlines transfer </w:t>
      </w:r>
      <w:r w:rsidR="59BAC48E" w:rsidRPr="736A6D4F">
        <w:rPr>
          <w:rFonts w:ascii="Segoe UI" w:hAnsi="Segoe UI" w:cs="Segoe UI"/>
        </w:rPr>
        <w:t xml:space="preserve">payments </w:t>
      </w:r>
      <w:r w:rsidR="0B8655BD" w:rsidRPr="736A6D4F">
        <w:rPr>
          <w:rFonts w:ascii="Segoe UI" w:hAnsi="Segoe UI" w:cs="Segoe UI"/>
        </w:rPr>
        <w:t xml:space="preserve">and assesses the qualitative </w:t>
      </w:r>
      <w:r w:rsidR="4CD6B2B0" w:rsidRPr="736A6D4F">
        <w:rPr>
          <w:rFonts w:ascii="Segoe UI" w:hAnsi="Segoe UI" w:cs="Segoe UI"/>
        </w:rPr>
        <w:t xml:space="preserve">costs and </w:t>
      </w:r>
      <w:r w:rsidR="0B8655BD" w:rsidRPr="736A6D4F">
        <w:rPr>
          <w:rFonts w:ascii="Segoe UI" w:hAnsi="Segoe UI" w:cs="Segoe UI"/>
        </w:rPr>
        <w:t>benefits that accrue to patent applicants, patent holders, and other sta</w:t>
      </w:r>
      <w:r w:rsidR="56125D41" w:rsidRPr="736A6D4F">
        <w:rPr>
          <w:rFonts w:ascii="Segoe UI" w:hAnsi="Segoe UI" w:cs="Segoe UI"/>
        </w:rPr>
        <w:t>keholders in the United States.</w:t>
      </w:r>
    </w:p>
    <w:p w14:paraId="3380510B" w14:textId="10237F53" w:rsidR="001152B6" w:rsidRPr="00CF6436" w:rsidRDefault="001152B6" w:rsidP="001A0F19">
      <w:pPr>
        <w:pStyle w:val="ParagraphSpace"/>
        <w:spacing w:line="360" w:lineRule="auto"/>
        <w:ind w:firstLine="720"/>
        <w:rPr>
          <w:rFonts w:ascii="Segoe UI" w:hAnsi="Segoe UI" w:cs="Segoe UI"/>
        </w:rPr>
      </w:pPr>
    </w:p>
    <w:p w14:paraId="5CB1D262" w14:textId="26E75E0E" w:rsidR="00084BA8" w:rsidRPr="00CF6436" w:rsidRDefault="00084BA8" w:rsidP="00CF6436">
      <w:pPr>
        <w:pStyle w:val="Heading2Number"/>
        <w:spacing w:line="360" w:lineRule="auto"/>
        <w:rPr>
          <w:rFonts w:ascii="Segoe UI" w:hAnsi="Segoe UI" w:cs="Segoe UI"/>
        </w:rPr>
      </w:pPr>
      <w:bookmarkStart w:id="71" w:name="_Toc450579090"/>
      <w:bookmarkStart w:id="72" w:name="_Toc450669475"/>
      <w:bookmarkStart w:id="73" w:name="_Toc327257162"/>
      <w:bookmarkStart w:id="74" w:name="_Toc327257164"/>
      <w:bookmarkStart w:id="75" w:name="_Toc327257166"/>
      <w:bookmarkStart w:id="76" w:name="_Toc324491287"/>
      <w:bookmarkStart w:id="77" w:name="_Toc324525694"/>
      <w:bookmarkStart w:id="78" w:name="_Toc324932307"/>
      <w:bookmarkStart w:id="79" w:name="_Toc325554076"/>
      <w:bookmarkStart w:id="80" w:name="_Toc442357724"/>
      <w:bookmarkStart w:id="81" w:name="_Toc451951711"/>
      <w:bookmarkStart w:id="82" w:name="_Toc175640422"/>
      <w:bookmarkEnd w:id="66"/>
      <w:bookmarkEnd w:id="67"/>
      <w:bookmarkEnd w:id="68"/>
      <w:bookmarkEnd w:id="69"/>
      <w:bookmarkEnd w:id="70"/>
      <w:bookmarkEnd w:id="71"/>
      <w:bookmarkEnd w:id="72"/>
      <w:bookmarkEnd w:id="73"/>
      <w:bookmarkEnd w:id="74"/>
      <w:bookmarkEnd w:id="75"/>
      <w:r w:rsidRPr="31665127">
        <w:rPr>
          <w:rFonts w:ascii="Segoe UI" w:hAnsi="Segoe UI" w:cs="Segoe UI"/>
        </w:rPr>
        <w:t>Assumptions and Constraints</w:t>
      </w:r>
      <w:bookmarkEnd w:id="76"/>
      <w:bookmarkEnd w:id="77"/>
      <w:bookmarkEnd w:id="78"/>
      <w:bookmarkEnd w:id="79"/>
      <w:bookmarkEnd w:id="80"/>
      <w:bookmarkEnd w:id="81"/>
      <w:bookmarkEnd w:id="82"/>
    </w:p>
    <w:p w14:paraId="2CE0ED11" w14:textId="77777777" w:rsidR="00084BA8" w:rsidRPr="00CF6436" w:rsidRDefault="00084BA8" w:rsidP="00EA247B">
      <w:pPr>
        <w:pStyle w:val="Heading3Numbering"/>
        <w:numPr>
          <w:ilvl w:val="2"/>
          <w:numId w:val="7"/>
        </w:numPr>
        <w:spacing w:line="360" w:lineRule="auto"/>
        <w:rPr>
          <w:rFonts w:ascii="Segoe UI" w:hAnsi="Segoe UI" w:cs="Segoe UI"/>
        </w:rPr>
      </w:pPr>
      <w:r w:rsidRPr="00CF6436">
        <w:rPr>
          <w:rFonts w:ascii="Segoe UI" w:hAnsi="Segoe UI" w:cs="Segoe UI"/>
        </w:rPr>
        <w:t>Assumptions</w:t>
      </w:r>
    </w:p>
    <w:p w14:paraId="4BF37B7E" w14:textId="6894BE98" w:rsidR="00291E41" w:rsidRPr="00CF6436" w:rsidRDefault="00291E41" w:rsidP="00EA247B">
      <w:pPr>
        <w:pStyle w:val="ListParagraph"/>
        <w:numPr>
          <w:ilvl w:val="0"/>
          <w:numId w:val="3"/>
        </w:numPr>
        <w:tabs>
          <w:tab w:val="left" w:pos="450"/>
        </w:tabs>
        <w:spacing w:line="360" w:lineRule="auto"/>
        <w:rPr>
          <w:rFonts w:ascii="Segoe UI" w:hAnsi="Segoe UI" w:cs="Segoe UI"/>
        </w:rPr>
      </w:pPr>
      <w:r w:rsidRPr="0202C7C0">
        <w:rPr>
          <w:rFonts w:ascii="Segoe UI" w:hAnsi="Segoe UI" w:cs="Segoe UI"/>
        </w:rPr>
        <w:t>The time horizon for th</w:t>
      </w:r>
      <w:r w:rsidR="003F60ED" w:rsidRPr="0202C7C0">
        <w:rPr>
          <w:rFonts w:ascii="Segoe UI" w:hAnsi="Segoe UI" w:cs="Segoe UI"/>
        </w:rPr>
        <w:t>is</w:t>
      </w:r>
      <w:r w:rsidRPr="0202C7C0">
        <w:rPr>
          <w:rFonts w:ascii="Segoe UI" w:hAnsi="Segoe UI" w:cs="Segoe UI"/>
        </w:rPr>
        <w:t xml:space="preserve"> analysis is FY 20</w:t>
      </w:r>
      <w:r w:rsidR="00755EBC" w:rsidRPr="0202C7C0">
        <w:rPr>
          <w:rFonts w:ascii="Segoe UI" w:hAnsi="Segoe UI" w:cs="Segoe UI"/>
        </w:rPr>
        <w:t>2</w:t>
      </w:r>
      <w:r w:rsidR="00214FB9" w:rsidRPr="0202C7C0">
        <w:rPr>
          <w:rFonts w:ascii="Segoe UI" w:hAnsi="Segoe UI" w:cs="Segoe UI"/>
        </w:rPr>
        <w:t>5</w:t>
      </w:r>
      <w:r w:rsidR="00FD4371" w:rsidRPr="0202C7C0">
        <w:rPr>
          <w:rFonts w:ascii="Segoe UI" w:hAnsi="Segoe UI" w:cs="Segoe UI"/>
        </w:rPr>
        <w:t>–</w:t>
      </w:r>
      <w:r w:rsidRPr="0202C7C0">
        <w:rPr>
          <w:rFonts w:ascii="Segoe UI" w:hAnsi="Segoe UI" w:cs="Segoe UI"/>
        </w:rPr>
        <w:t>FY 202</w:t>
      </w:r>
      <w:r w:rsidR="00214FB9" w:rsidRPr="0202C7C0">
        <w:rPr>
          <w:rFonts w:ascii="Segoe UI" w:hAnsi="Segoe UI" w:cs="Segoe UI"/>
        </w:rPr>
        <w:t>9</w:t>
      </w:r>
      <w:r w:rsidRPr="0202C7C0">
        <w:rPr>
          <w:rFonts w:ascii="Segoe UI" w:hAnsi="Segoe UI" w:cs="Segoe UI"/>
        </w:rPr>
        <w:t>.</w:t>
      </w:r>
    </w:p>
    <w:p w14:paraId="56D57434" w14:textId="26C24C57" w:rsidR="008D3F6E" w:rsidRPr="00CF6436" w:rsidRDefault="00237CDF" w:rsidP="00EA247B">
      <w:pPr>
        <w:pStyle w:val="ListParagraph"/>
        <w:numPr>
          <w:ilvl w:val="0"/>
          <w:numId w:val="3"/>
        </w:numPr>
        <w:spacing w:line="360" w:lineRule="auto"/>
        <w:rPr>
          <w:rFonts w:ascii="Segoe UI" w:hAnsi="Segoe UI" w:cs="Segoe UI"/>
        </w:rPr>
      </w:pPr>
      <w:r>
        <w:rPr>
          <w:rFonts w:ascii="Segoe UI" w:hAnsi="Segoe UI" w:cs="Segoe UI"/>
        </w:rPr>
        <w:t>T</w:t>
      </w:r>
      <w:r w:rsidR="00994C56">
        <w:rPr>
          <w:rFonts w:ascii="Segoe UI" w:hAnsi="Segoe UI" w:cs="Segoe UI"/>
        </w:rPr>
        <w:t xml:space="preserve">he USPTO bases its </w:t>
      </w:r>
      <w:r w:rsidR="00994C56" w:rsidRPr="0202C7C0">
        <w:rPr>
          <w:rFonts w:ascii="Segoe UI" w:hAnsi="Segoe UI" w:cs="Segoe UI"/>
        </w:rPr>
        <w:t>p</w:t>
      </w:r>
      <w:r w:rsidR="00F67C0D" w:rsidRPr="0202C7C0">
        <w:rPr>
          <w:rFonts w:ascii="Segoe UI" w:hAnsi="Segoe UI" w:cs="Segoe UI"/>
        </w:rPr>
        <w:t>rojections</w:t>
      </w:r>
      <w:r w:rsidR="00F67C0D" w:rsidRPr="00CF6436">
        <w:rPr>
          <w:rFonts w:ascii="Segoe UI" w:hAnsi="Segoe UI" w:cs="Segoe UI"/>
        </w:rPr>
        <w:t xml:space="preserve"> of aggregate revenues on point-in-time estimates, and the circumstances surrounding these assumptions </w:t>
      </w:r>
      <w:r w:rsidR="00994C56" w:rsidRPr="0202C7C0">
        <w:rPr>
          <w:rFonts w:ascii="Segoe UI" w:hAnsi="Segoe UI" w:cs="Segoe UI"/>
        </w:rPr>
        <w:t>may</w:t>
      </w:r>
      <w:r w:rsidR="00F67C0D" w:rsidRPr="00CF6436">
        <w:rPr>
          <w:rFonts w:ascii="Segoe UI" w:hAnsi="Segoe UI" w:cs="Segoe UI"/>
        </w:rPr>
        <w:t xml:space="preserve"> change quickly.</w:t>
      </w:r>
    </w:p>
    <w:p w14:paraId="55D7CA27" w14:textId="3A36ADF4" w:rsidR="00E21202" w:rsidRPr="00CF6436" w:rsidRDefault="00D516D0" w:rsidP="00EA247B">
      <w:pPr>
        <w:pStyle w:val="ListParagraph"/>
        <w:numPr>
          <w:ilvl w:val="0"/>
          <w:numId w:val="3"/>
        </w:numPr>
        <w:spacing w:line="360" w:lineRule="auto"/>
        <w:rPr>
          <w:rFonts w:ascii="Segoe UI" w:hAnsi="Segoe UI" w:cs="Segoe UI"/>
          <w:color w:val="000000" w:themeColor="text1"/>
        </w:rPr>
      </w:pPr>
      <w:r>
        <w:rPr>
          <w:rFonts w:ascii="Segoe UI" w:hAnsi="Segoe UI" w:cs="Segoe UI"/>
        </w:rPr>
        <w:lastRenderedPageBreak/>
        <w:t>In</w:t>
      </w:r>
      <w:r w:rsidR="00BD3FDA" w:rsidRPr="00CF6436">
        <w:rPr>
          <w:rFonts w:ascii="Segoe UI" w:hAnsi="Segoe UI" w:cs="Segoe UI"/>
        </w:rPr>
        <w:t xml:space="preserve"> the FY </w:t>
      </w:r>
      <w:r w:rsidR="00D82D74" w:rsidRPr="00CF6436">
        <w:rPr>
          <w:rFonts w:ascii="Segoe UI" w:hAnsi="Segoe UI" w:cs="Segoe UI"/>
        </w:rPr>
        <w:t>2025 Budget</w:t>
      </w:r>
      <w:r w:rsidR="00BD3FDA" w:rsidRPr="00CF6436">
        <w:rPr>
          <w:rFonts w:ascii="Segoe UI" w:hAnsi="Segoe UI" w:cs="Segoe UI"/>
        </w:rPr>
        <w:t>, the patent operating reserve balance at the end of FY 20</w:t>
      </w:r>
      <w:r w:rsidR="00214FB9" w:rsidRPr="00CF6436">
        <w:rPr>
          <w:rFonts w:ascii="Segoe UI" w:hAnsi="Segoe UI" w:cs="Segoe UI"/>
        </w:rPr>
        <w:t>2</w:t>
      </w:r>
      <w:r w:rsidR="0043030D" w:rsidRPr="00CF6436">
        <w:rPr>
          <w:rFonts w:ascii="Segoe UI" w:hAnsi="Segoe UI" w:cs="Segoe UI"/>
        </w:rPr>
        <w:t>4</w:t>
      </w:r>
      <w:r w:rsidR="00BD3FDA" w:rsidRPr="00CF6436">
        <w:rPr>
          <w:rFonts w:ascii="Segoe UI" w:hAnsi="Segoe UI" w:cs="Segoe UI"/>
        </w:rPr>
        <w:t xml:space="preserve"> </w:t>
      </w:r>
      <w:r w:rsidR="0043030D" w:rsidRPr="00CF6436">
        <w:rPr>
          <w:rFonts w:ascii="Segoe UI" w:hAnsi="Segoe UI" w:cs="Segoe UI"/>
        </w:rPr>
        <w:t>is expected to be</w:t>
      </w:r>
      <w:r w:rsidR="00BD3FDA" w:rsidRPr="00CF6436">
        <w:rPr>
          <w:rFonts w:ascii="Segoe UI" w:hAnsi="Segoe UI" w:cs="Segoe UI"/>
        </w:rPr>
        <w:t xml:space="preserve"> $</w:t>
      </w:r>
      <w:r w:rsidR="00CA3C7E">
        <w:rPr>
          <w:rFonts w:ascii="Segoe UI" w:hAnsi="Segoe UI" w:cs="Segoe UI"/>
        </w:rPr>
        <w:t>793</w:t>
      </w:r>
      <w:r w:rsidR="00214FB9" w:rsidRPr="00CF6436">
        <w:rPr>
          <w:rFonts w:ascii="Segoe UI" w:hAnsi="Segoe UI" w:cs="Segoe UI"/>
        </w:rPr>
        <w:t xml:space="preserve"> </w:t>
      </w:r>
      <w:r w:rsidR="00BD3FDA" w:rsidRPr="00CF6436">
        <w:rPr>
          <w:rFonts w:ascii="Segoe UI" w:hAnsi="Segoe UI" w:cs="Segoe UI"/>
        </w:rPr>
        <w:t>million</w:t>
      </w:r>
      <w:r w:rsidR="00E21202" w:rsidRPr="00CF6436">
        <w:rPr>
          <w:rFonts w:ascii="Segoe UI" w:hAnsi="Segoe UI" w:cs="Segoe UI"/>
          <w:color w:val="000000" w:themeColor="text1"/>
        </w:rPr>
        <w:t>.</w:t>
      </w:r>
    </w:p>
    <w:p w14:paraId="52731D26" w14:textId="1C445D99" w:rsidR="00CF4A76" w:rsidRPr="00CF6436" w:rsidRDefault="00CF4A76" w:rsidP="00EA247B">
      <w:pPr>
        <w:pStyle w:val="ListParagraph"/>
        <w:numPr>
          <w:ilvl w:val="0"/>
          <w:numId w:val="3"/>
        </w:numPr>
        <w:spacing w:line="360" w:lineRule="auto"/>
        <w:rPr>
          <w:rFonts w:ascii="Segoe UI" w:hAnsi="Segoe UI" w:cs="Segoe UI"/>
        </w:rPr>
      </w:pPr>
      <w:r w:rsidRPr="31665127">
        <w:rPr>
          <w:rFonts w:ascii="Segoe UI" w:hAnsi="Segoe UI" w:cs="Segoe UI"/>
        </w:rPr>
        <w:t xml:space="preserve">The budgetary requirements contained in the FY </w:t>
      </w:r>
      <w:r w:rsidR="00D82D74" w:rsidRPr="31665127">
        <w:rPr>
          <w:rFonts w:ascii="Segoe UI" w:hAnsi="Segoe UI" w:cs="Segoe UI"/>
        </w:rPr>
        <w:t>2025 Budget</w:t>
      </w:r>
      <w:r w:rsidRPr="31665127">
        <w:rPr>
          <w:rFonts w:ascii="Segoe UI" w:hAnsi="Segoe UI" w:cs="Segoe UI"/>
        </w:rPr>
        <w:t xml:space="preserve">, </w:t>
      </w:r>
      <w:r w:rsidR="009F2085" w:rsidRPr="31665127">
        <w:rPr>
          <w:rFonts w:ascii="Segoe UI" w:hAnsi="Segoe UI" w:cs="Segoe UI"/>
        </w:rPr>
        <w:t xml:space="preserve">along with </w:t>
      </w:r>
      <w:r w:rsidR="00C17B0A" w:rsidRPr="31665127">
        <w:rPr>
          <w:rFonts w:ascii="Segoe UI" w:hAnsi="Segoe UI" w:cs="Segoe UI"/>
        </w:rPr>
        <w:t xml:space="preserve">operating reserve deposits to achieve </w:t>
      </w:r>
      <w:r w:rsidR="009F2085" w:rsidRPr="31665127">
        <w:rPr>
          <w:rFonts w:ascii="Segoe UI" w:hAnsi="Segoe UI" w:cs="Segoe UI"/>
        </w:rPr>
        <w:t xml:space="preserve">target operating reserve levels, </w:t>
      </w:r>
      <w:r w:rsidRPr="31665127">
        <w:rPr>
          <w:rFonts w:ascii="Segoe UI" w:hAnsi="Segoe UI" w:cs="Segoe UI"/>
        </w:rPr>
        <w:t xml:space="preserve">represent aggregate </w:t>
      </w:r>
      <w:r w:rsidR="00F979B1" w:rsidRPr="31665127">
        <w:rPr>
          <w:rFonts w:ascii="Segoe UI" w:hAnsi="Segoe UI" w:cs="Segoe UI"/>
        </w:rPr>
        <w:t>cost</w:t>
      </w:r>
      <w:r w:rsidR="00B451A5">
        <w:rPr>
          <w:rFonts w:ascii="Segoe UI" w:hAnsi="Segoe UI" w:cs="Segoe UI"/>
        </w:rPr>
        <w:t>s</w:t>
      </w:r>
      <w:r w:rsidRPr="31665127">
        <w:rPr>
          <w:rFonts w:ascii="Segoe UI" w:hAnsi="Segoe UI" w:cs="Segoe UI"/>
        </w:rPr>
        <w:t xml:space="preserve"> over the stated time horizon.</w:t>
      </w:r>
    </w:p>
    <w:p w14:paraId="47315543" w14:textId="5C94E04B" w:rsidR="00822ADC" w:rsidRPr="00CF6436" w:rsidRDefault="0FA2A338" w:rsidP="00EA247B">
      <w:pPr>
        <w:pStyle w:val="ListParagraph"/>
        <w:numPr>
          <w:ilvl w:val="0"/>
          <w:numId w:val="3"/>
        </w:numPr>
        <w:tabs>
          <w:tab w:val="left" w:pos="450"/>
        </w:tabs>
        <w:spacing w:line="360" w:lineRule="auto"/>
        <w:rPr>
          <w:rFonts w:ascii="Segoe UI" w:hAnsi="Segoe UI" w:cs="Segoe UI"/>
        </w:rPr>
      </w:pPr>
      <w:r w:rsidRPr="293D3C50">
        <w:rPr>
          <w:rFonts w:ascii="Segoe UI" w:hAnsi="Segoe UI" w:cs="Segoe UI"/>
        </w:rPr>
        <w:t xml:space="preserve">The </w:t>
      </w:r>
      <w:r w:rsidR="5C745E6C" w:rsidRPr="293D3C50">
        <w:rPr>
          <w:rFonts w:ascii="Segoe UI" w:hAnsi="Segoe UI" w:cs="Segoe UI"/>
        </w:rPr>
        <w:t xml:space="preserve">USPTO </w:t>
      </w:r>
      <w:r w:rsidRPr="293D3C50">
        <w:rPr>
          <w:rFonts w:ascii="Segoe UI" w:hAnsi="Segoe UI" w:cs="Segoe UI"/>
        </w:rPr>
        <w:t xml:space="preserve">estimated aggregate revenue generated by the </w:t>
      </w:r>
      <w:r w:rsidR="00573A64">
        <w:rPr>
          <w:rFonts w:ascii="Segoe UI" w:hAnsi="Segoe UI" w:cs="Segoe UI"/>
        </w:rPr>
        <w:t>Final</w:t>
      </w:r>
      <w:r w:rsidR="00573A64" w:rsidRPr="293D3C50">
        <w:rPr>
          <w:rFonts w:ascii="Segoe UI" w:hAnsi="Segoe UI" w:cs="Segoe UI"/>
        </w:rPr>
        <w:t xml:space="preserve"> </w:t>
      </w:r>
      <w:r w:rsidR="6394BA14" w:rsidRPr="293D3C50">
        <w:rPr>
          <w:rFonts w:ascii="Segoe UI" w:hAnsi="Segoe UI" w:cs="Segoe UI"/>
        </w:rPr>
        <w:t>Pat</w:t>
      </w:r>
      <w:r w:rsidR="07DC1BF2" w:rsidRPr="293D3C50">
        <w:rPr>
          <w:rFonts w:ascii="Segoe UI" w:hAnsi="Segoe UI" w:cs="Segoe UI"/>
        </w:rPr>
        <w:t>en</w:t>
      </w:r>
      <w:r w:rsidR="6394BA14" w:rsidRPr="293D3C50">
        <w:rPr>
          <w:rFonts w:ascii="Segoe UI" w:hAnsi="Segoe UI" w:cs="Segoe UI"/>
        </w:rPr>
        <w:t xml:space="preserve">t </w:t>
      </w:r>
      <w:r w:rsidR="00235884" w:rsidRPr="293D3C50">
        <w:rPr>
          <w:rFonts w:ascii="Segoe UI" w:hAnsi="Segoe UI" w:cs="Segoe UI"/>
        </w:rPr>
        <w:t>F</w:t>
      </w:r>
      <w:r w:rsidRPr="293D3C50">
        <w:rPr>
          <w:rFonts w:ascii="Segoe UI" w:hAnsi="Segoe UI" w:cs="Segoe UI"/>
        </w:rPr>
        <w:t>ee</w:t>
      </w:r>
      <w:r w:rsidR="00235884" w:rsidRPr="293D3C50">
        <w:rPr>
          <w:rFonts w:ascii="Segoe UI" w:hAnsi="Segoe UI" w:cs="Segoe UI"/>
        </w:rPr>
        <w:t xml:space="preserve"> Schedule</w:t>
      </w:r>
      <w:r w:rsidRPr="293D3C50">
        <w:rPr>
          <w:rFonts w:ascii="Segoe UI" w:hAnsi="Segoe UI" w:cs="Segoe UI"/>
        </w:rPr>
        <w:t xml:space="preserve"> using the estimated fee workloads displayed in the </w:t>
      </w:r>
      <w:r w:rsidR="32C4F94E" w:rsidRPr="293D3C50">
        <w:rPr>
          <w:rFonts w:ascii="Segoe UI" w:eastAsia="Segoe UI" w:hAnsi="Segoe UI" w:cs="Segoe UI"/>
          <w:color w:val="000000" w:themeColor="text1"/>
        </w:rPr>
        <w:t>“Setting and Adjusting Patent Fe</w:t>
      </w:r>
      <w:r w:rsidR="32C4F94E" w:rsidRPr="293D3C50">
        <w:rPr>
          <w:rFonts w:ascii="Segoe UI" w:eastAsia="Segoe UI" w:hAnsi="Segoe UI" w:cs="Segoe UI"/>
        </w:rPr>
        <w:t>e</w:t>
      </w:r>
      <w:r w:rsidR="32C4F94E" w:rsidRPr="293D3C50">
        <w:rPr>
          <w:rFonts w:ascii="Segoe UI" w:eastAsia="Segoe UI" w:hAnsi="Segoe UI" w:cs="Segoe UI"/>
          <w:color w:val="000000" w:themeColor="text1"/>
        </w:rPr>
        <w:t xml:space="preserve">s </w:t>
      </w:r>
      <w:r w:rsidR="03FF726C" w:rsidRPr="293D3C50">
        <w:rPr>
          <w:rFonts w:ascii="Segoe UI" w:eastAsia="Segoe UI" w:hAnsi="Segoe UI" w:cs="Segoe UI"/>
          <w:color w:val="000000" w:themeColor="text1"/>
        </w:rPr>
        <w:t>D</w:t>
      </w:r>
      <w:r w:rsidR="32C4F94E" w:rsidRPr="293D3C50">
        <w:rPr>
          <w:rFonts w:ascii="Segoe UI" w:eastAsia="Segoe UI" w:hAnsi="Segoe UI" w:cs="Segoe UI"/>
          <w:color w:val="000000" w:themeColor="text1"/>
        </w:rPr>
        <w:t>uring Fiscal Year 2025—Aggregate Revenue Tables</w:t>
      </w:r>
      <w:r w:rsidR="26861E8C" w:rsidRPr="293D3C50">
        <w:rPr>
          <w:rFonts w:ascii="Segoe UI" w:hAnsi="Segoe UI" w:cs="Segoe UI"/>
        </w:rPr>
        <w:t>”</w:t>
      </w:r>
      <w:r w:rsidR="1C40655B" w:rsidRPr="293D3C50">
        <w:rPr>
          <w:rFonts w:ascii="Segoe UI" w:hAnsi="Segoe UI" w:cs="Segoe UI"/>
        </w:rPr>
        <w:t xml:space="preserve"> </w:t>
      </w:r>
      <w:r w:rsidR="26861E8C" w:rsidRPr="293D3C50">
        <w:rPr>
          <w:rFonts w:ascii="Segoe UI" w:hAnsi="Segoe UI" w:cs="Segoe UI"/>
        </w:rPr>
        <w:t xml:space="preserve">available on the </w:t>
      </w:r>
      <w:hyperlink r:id="rId22">
        <w:r w:rsidR="26861E8C" w:rsidRPr="293D3C50">
          <w:rPr>
            <w:rStyle w:val="Hyperlink"/>
            <w:rFonts w:ascii="Segoe UI" w:hAnsi="Segoe UI" w:cs="Segoe UI"/>
          </w:rPr>
          <w:t>fee setting section of the USPTO website</w:t>
        </w:r>
      </w:hyperlink>
      <w:r w:rsidR="26861E8C" w:rsidRPr="293D3C50">
        <w:rPr>
          <w:rFonts w:ascii="Segoe UI" w:hAnsi="Segoe UI" w:cs="Segoe UI"/>
        </w:rPr>
        <w:t>.</w:t>
      </w:r>
      <w:r w:rsidR="24E88C17" w:rsidRPr="293D3C50">
        <w:rPr>
          <w:rFonts w:ascii="Segoe UI" w:hAnsi="Segoe UI" w:cs="Segoe UI"/>
        </w:rPr>
        <w:t xml:space="preserve"> </w:t>
      </w:r>
      <w:r w:rsidRPr="293D3C50">
        <w:rPr>
          <w:rFonts w:ascii="Segoe UI" w:hAnsi="Segoe UI" w:cs="Segoe UI"/>
        </w:rPr>
        <w:t xml:space="preserve">These workloads reflect assumptions about future economic conditions, service demand, and productivity as described in the FY </w:t>
      </w:r>
      <w:r w:rsidR="79336416" w:rsidRPr="293D3C50">
        <w:rPr>
          <w:rFonts w:ascii="Segoe UI" w:hAnsi="Segoe UI" w:cs="Segoe UI"/>
        </w:rPr>
        <w:t>2025 Budget</w:t>
      </w:r>
      <w:r w:rsidRPr="293D3C50">
        <w:rPr>
          <w:rFonts w:ascii="Segoe UI" w:hAnsi="Segoe UI" w:cs="Segoe UI"/>
        </w:rPr>
        <w:t>.</w:t>
      </w:r>
    </w:p>
    <w:p w14:paraId="2996C5F3" w14:textId="3383323C" w:rsidR="00DB0563" w:rsidRPr="00CF6436" w:rsidRDefault="00FF667C" w:rsidP="00EA247B">
      <w:pPr>
        <w:pStyle w:val="ListParagraph"/>
        <w:numPr>
          <w:ilvl w:val="0"/>
          <w:numId w:val="3"/>
        </w:numPr>
        <w:tabs>
          <w:tab w:val="left" w:pos="450"/>
        </w:tabs>
        <w:spacing w:line="360" w:lineRule="auto"/>
        <w:rPr>
          <w:rFonts w:ascii="Segoe UI" w:hAnsi="Segoe UI" w:cs="Segoe UI"/>
          <w:szCs w:val="24"/>
        </w:rPr>
      </w:pPr>
      <w:r w:rsidRPr="4C9282A1">
        <w:rPr>
          <w:rFonts w:ascii="Segoe UI" w:hAnsi="Segoe UI" w:cs="Segoe UI"/>
        </w:rPr>
        <w:t>Totals shown in the tables of this document may differ due to rounding.</w:t>
      </w:r>
    </w:p>
    <w:p w14:paraId="2532129F" w14:textId="193A7811" w:rsidR="00952F44" w:rsidRPr="00CF6436" w:rsidRDefault="7101ED84" w:rsidP="00EA247B">
      <w:pPr>
        <w:pStyle w:val="ListParagraph"/>
        <w:numPr>
          <w:ilvl w:val="0"/>
          <w:numId w:val="3"/>
        </w:numPr>
        <w:tabs>
          <w:tab w:val="left" w:pos="450"/>
        </w:tabs>
        <w:spacing w:line="360" w:lineRule="auto"/>
        <w:rPr>
          <w:rFonts w:ascii="Segoe UI" w:hAnsi="Segoe UI" w:cs="Segoe UI"/>
        </w:rPr>
      </w:pPr>
      <w:r w:rsidRPr="26A8B252">
        <w:rPr>
          <w:rFonts w:ascii="Segoe UI" w:hAnsi="Segoe UI" w:cs="Segoe UI"/>
        </w:rPr>
        <w:t xml:space="preserve">Applying the guidance in OMB </w:t>
      </w:r>
      <w:r w:rsidR="2457C331" w:rsidRPr="26A8B252">
        <w:rPr>
          <w:rFonts w:ascii="Segoe UI" w:hAnsi="Segoe UI" w:cs="Segoe UI"/>
        </w:rPr>
        <w:t xml:space="preserve">Circular </w:t>
      </w:r>
      <w:r w:rsidRPr="26A8B252">
        <w:rPr>
          <w:rFonts w:ascii="Segoe UI" w:hAnsi="Segoe UI" w:cs="Segoe UI"/>
        </w:rPr>
        <w:t xml:space="preserve">A-4 and from </w:t>
      </w:r>
      <w:r w:rsidR="008D5C36">
        <w:rPr>
          <w:rFonts w:ascii="Segoe UI" w:hAnsi="Segoe UI" w:cs="Segoe UI"/>
        </w:rPr>
        <w:t xml:space="preserve">the </w:t>
      </w:r>
      <w:r w:rsidRPr="26A8B252">
        <w:rPr>
          <w:rFonts w:ascii="Segoe UI" w:hAnsi="Segoe UI" w:cs="Segoe UI"/>
        </w:rPr>
        <w:t>OIRA</w:t>
      </w:r>
      <w:r w:rsidR="27FD9E98" w:rsidRPr="26A8B252">
        <w:rPr>
          <w:rFonts w:ascii="Segoe UI" w:hAnsi="Segoe UI" w:cs="Segoe UI"/>
        </w:rPr>
        <w:t>,</w:t>
      </w:r>
      <w:r w:rsidRPr="26A8B252">
        <w:rPr>
          <w:rFonts w:ascii="Segoe UI" w:hAnsi="Segoe UI" w:cs="Segoe UI"/>
        </w:rPr>
        <w:t xml:space="preserve"> the </w:t>
      </w:r>
      <w:r w:rsidR="51C355D7" w:rsidRPr="26A8B252">
        <w:rPr>
          <w:rFonts w:ascii="Segoe UI" w:hAnsi="Segoe UI" w:cs="Segoe UI"/>
        </w:rPr>
        <w:t>USPTO</w:t>
      </w:r>
      <w:r w:rsidRPr="26A8B252">
        <w:rPr>
          <w:rFonts w:ascii="Segoe UI" w:hAnsi="Segoe UI" w:cs="Segoe UI"/>
        </w:rPr>
        <w:t xml:space="preserve"> concluded</w:t>
      </w:r>
      <w:r w:rsidR="65E92982" w:rsidRPr="26A8B252">
        <w:rPr>
          <w:rFonts w:ascii="Segoe UI" w:hAnsi="Segoe UI" w:cs="Segoe UI"/>
        </w:rPr>
        <w:t xml:space="preserve"> </w:t>
      </w:r>
      <w:r w:rsidR="3796199E" w:rsidRPr="26A8B252">
        <w:rPr>
          <w:rFonts w:ascii="Segoe UI" w:hAnsi="Segoe UI" w:cs="Segoe UI"/>
        </w:rPr>
        <w:t xml:space="preserve">that the payment of fees </w:t>
      </w:r>
      <w:r w:rsidR="008F0E4F" w:rsidRPr="26A8B252">
        <w:rPr>
          <w:rFonts w:ascii="Segoe UI" w:hAnsi="Segoe UI" w:cs="Segoe UI"/>
        </w:rPr>
        <w:t xml:space="preserve">included in </w:t>
      </w:r>
      <w:r w:rsidR="3796199E" w:rsidRPr="26A8B252">
        <w:rPr>
          <w:rFonts w:ascii="Segoe UI" w:hAnsi="Segoe UI" w:cs="Segoe UI"/>
        </w:rPr>
        <w:t>the</w:t>
      </w:r>
      <w:r w:rsidR="007D1279">
        <w:rPr>
          <w:rFonts w:ascii="Segoe UI" w:hAnsi="Segoe UI" w:cs="Segoe UI"/>
        </w:rPr>
        <w:t xml:space="preserve"> final rule</w:t>
      </w:r>
      <w:r w:rsidR="3796199E" w:rsidRPr="26A8B252">
        <w:rPr>
          <w:rFonts w:ascii="Segoe UI" w:hAnsi="Segoe UI" w:cs="Segoe UI"/>
        </w:rPr>
        <w:t xml:space="preserve"> </w:t>
      </w:r>
      <w:r w:rsidR="0360EA0C" w:rsidRPr="26A8B252">
        <w:rPr>
          <w:rFonts w:ascii="Segoe UI" w:hAnsi="Segoe UI" w:cs="Segoe UI"/>
        </w:rPr>
        <w:t>are</w:t>
      </w:r>
      <w:r w:rsidR="65E92982" w:rsidRPr="26A8B252">
        <w:rPr>
          <w:rFonts w:ascii="Segoe UI" w:hAnsi="Segoe UI" w:cs="Segoe UI"/>
        </w:rPr>
        <w:t xml:space="preserve"> transfer</w:t>
      </w:r>
      <w:r w:rsidR="1E7AA7D7" w:rsidRPr="26A8B252">
        <w:rPr>
          <w:rFonts w:ascii="Segoe UI" w:hAnsi="Segoe UI" w:cs="Segoe UI"/>
        </w:rPr>
        <w:t xml:space="preserve"> payments</w:t>
      </w:r>
      <w:r w:rsidR="65E92982" w:rsidRPr="26A8B252">
        <w:rPr>
          <w:rFonts w:ascii="Segoe UI" w:hAnsi="Segoe UI" w:cs="Segoe UI"/>
        </w:rPr>
        <w:t xml:space="preserve"> from one group to another that do not affect total resources available to society</w:t>
      </w:r>
      <w:r w:rsidR="3796199E" w:rsidRPr="26A8B252">
        <w:rPr>
          <w:rFonts w:ascii="Segoe UI" w:hAnsi="Segoe UI" w:cs="Segoe UI"/>
        </w:rPr>
        <w:t>.</w:t>
      </w:r>
      <w:r w:rsidR="103B38C4" w:rsidRPr="26A8B252">
        <w:rPr>
          <w:rFonts w:ascii="Segoe UI" w:hAnsi="Segoe UI" w:cs="Segoe UI"/>
        </w:rPr>
        <w:t xml:space="preserve"> </w:t>
      </w:r>
      <w:r w:rsidR="3796199E" w:rsidRPr="26A8B252">
        <w:rPr>
          <w:rFonts w:ascii="Segoe UI" w:hAnsi="Segoe UI" w:cs="Segoe UI"/>
        </w:rPr>
        <w:t>Therefore, all analyses of costs and benefits discussed in this RIA are qualitative (rather than monetized).</w:t>
      </w:r>
    </w:p>
    <w:p w14:paraId="02126861" w14:textId="63404926" w:rsidR="00291E41" w:rsidRPr="00CF6436" w:rsidRDefault="00151FF9" w:rsidP="00EA247B">
      <w:pPr>
        <w:pStyle w:val="ListParagraph"/>
        <w:numPr>
          <w:ilvl w:val="0"/>
          <w:numId w:val="3"/>
        </w:numPr>
        <w:tabs>
          <w:tab w:val="left" w:pos="450"/>
        </w:tabs>
        <w:spacing w:line="360" w:lineRule="auto"/>
        <w:rPr>
          <w:rFonts w:ascii="Segoe UI" w:hAnsi="Segoe UI" w:cs="Segoe UI"/>
        </w:rPr>
      </w:pPr>
      <w:r w:rsidRPr="26A8B252">
        <w:rPr>
          <w:rFonts w:ascii="Segoe UI" w:hAnsi="Segoe UI" w:cs="Segoe UI"/>
        </w:rPr>
        <w:t xml:space="preserve">Although </w:t>
      </w:r>
      <w:r w:rsidRPr="779152AD">
        <w:rPr>
          <w:rFonts w:ascii="Segoe UI" w:hAnsi="Segoe UI" w:cs="Segoe UI"/>
        </w:rPr>
        <w:t>th</w:t>
      </w:r>
      <w:r w:rsidR="00C53774" w:rsidRPr="779152AD">
        <w:rPr>
          <w:rFonts w:ascii="Segoe UI" w:hAnsi="Segoe UI" w:cs="Segoe UI"/>
        </w:rPr>
        <w:t>is</w:t>
      </w:r>
      <w:r w:rsidRPr="26A8B252">
        <w:rPr>
          <w:rFonts w:ascii="Segoe UI" w:hAnsi="Segoe UI" w:cs="Segoe UI"/>
        </w:rPr>
        <w:t xml:space="preserve"> analysis is quali</w:t>
      </w:r>
      <w:r w:rsidR="00DA648B" w:rsidRPr="26A8B252">
        <w:rPr>
          <w:rFonts w:ascii="Segoe UI" w:hAnsi="Segoe UI" w:cs="Segoe UI"/>
        </w:rPr>
        <w:t>tative,</w:t>
      </w:r>
      <w:r w:rsidRPr="26A8B252">
        <w:rPr>
          <w:rFonts w:ascii="Segoe UI" w:hAnsi="Segoe UI" w:cs="Segoe UI"/>
        </w:rPr>
        <w:t xml:space="preserve"> </w:t>
      </w:r>
      <w:r w:rsidR="00DA648B" w:rsidRPr="26A8B252">
        <w:rPr>
          <w:rFonts w:ascii="Segoe UI" w:hAnsi="Segoe UI" w:cs="Segoe UI"/>
        </w:rPr>
        <w:t>t</w:t>
      </w:r>
      <w:r w:rsidR="0B58425A" w:rsidRPr="26A8B252">
        <w:rPr>
          <w:rFonts w:ascii="Segoe UI" w:hAnsi="Segoe UI" w:cs="Segoe UI"/>
        </w:rPr>
        <w:t xml:space="preserve">he </w:t>
      </w:r>
      <w:r w:rsidR="3057AC52" w:rsidRPr="26A8B252">
        <w:rPr>
          <w:rFonts w:ascii="Segoe UI" w:hAnsi="Segoe UI" w:cs="Segoe UI"/>
        </w:rPr>
        <w:t>USPTO</w:t>
      </w:r>
      <w:r w:rsidR="0B58425A" w:rsidRPr="26A8B252">
        <w:rPr>
          <w:rFonts w:ascii="Segoe UI" w:hAnsi="Segoe UI" w:cs="Segoe UI"/>
        </w:rPr>
        <w:t xml:space="preserve"> estimates the amount of transfer payments from patent applicants and patent holders (</w:t>
      </w:r>
      <w:r w:rsidR="0B58425A" w:rsidRPr="781DBA16">
        <w:rPr>
          <w:rFonts w:ascii="Segoe UI" w:hAnsi="Segoe UI" w:cs="Segoe UI"/>
        </w:rPr>
        <w:t>see</w:t>
      </w:r>
      <w:r w:rsidR="0B58425A" w:rsidRPr="26A8B252">
        <w:rPr>
          <w:rFonts w:ascii="Segoe UI" w:hAnsi="Segoe UI" w:cs="Segoe UI"/>
        </w:rPr>
        <w:t xml:space="preserve"> Tables </w:t>
      </w:r>
      <w:r w:rsidR="6CC9FA49" w:rsidRPr="26A8B252">
        <w:rPr>
          <w:rFonts w:ascii="Segoe UI" w:hAnsi="Segoe UI" w:cs="Segoe UI"/>
        </w:rPr>
        <w:t>3</w:t>
      </w:r>
      <w:r w:rsidR="6BC7F1EF" w:rsidRPr="26A8B252" w:rsidDel="000F412C">
        <w:rPr>
          <w:rFonts w:ascii="Segoe UI" w:hAnsi="Segoe UI" w:cs="Segoe UI"/>
        </w:rPr>
        <w:t>-</w:t>
      </w:r>
      <w:r w:rsidR="6BC7F1EF" w:rsidRPr="26A8B252">
        <w:rPr>
          <w:rFonts w:ascii="Segoe UI" w:hAnsi="Segoe UI" w:cs="Segoe UI"/>
        </w:rPr>
        <w:t>6</w:t>
      </w:r>
      <w:r w:rsidR="0B58425A" w:rsidRPr="26A8B252">
        <w:rPr>
          <w:rFonts w:ascii="Segoe UI" w:hAnsi="Segoe UI" w:cs="Segoe UI"/>
        </w:rPr>
        <w:t xml:space="preserve">, </w:t>
      </w:r>
      <w:r w:rsidR="6CC9FA49" w:rsidRPr="26A8B252">
        <w:rPr>
          <w:rFonts w:ascii="Segoe UI" w:hAnsi="Segoe UI" w:cs="Segoe UI"/>
        </w:rPr>
        <w:t>3</w:t>
      </w:r>
      <w:r w:rsidR="6BC7F1EF" w:rsidRPr="26A8B252" w:rsidDel="000F412C">
        <w:rPr>
          <w:rFonts w:ascii="Segoe UI" w:hAnsi="Segoe UI" w:cs="Segoe UI"/>
        </w:rPr>
        <w:t>-</w:t>
      </w:r>
      <w:r w:rsidR="6BC7F1EF" w:rsidRPr="26A8B252">
        <w:rPr>
          <w:rFonts w:ascii="Segoe UI" w:hAnsi="Segoe UI" w:cs="Segoe UI"/>
        </w:rPr>
        <w:t>7</w:t>
      </w:r>
      <w:r w:rsidR="0B58425A" w:rsidRPr="26A8B252">
        <w:rPr>
          <w:rFonts w:ascii="Segoe UI" w:hAnsi="Segoe UI" w:cs="Segoe UI"/>
        </w:rPr>
        <w:t xml:space="preserve">, and </w:t>
      </w:r>
      <w:r w:rsidR="6CC9FA49" w:rsidRPr="26A8B252">
        <w:rPr>
          <w:rFonts w:ascii="Segoe UI" w:hAnsi="Segoe UI" w:cs="Segoe UI"/>
        </w:rPr>
        <w:t>3</w:t>
      </w:r>
      <w:r w:rsidR="6BC7F1EF" w:rsidRPr="26A8B252" w:rsidDel="000F412C">
        <w:rPr>
          <w:rFonts w:ascii="Segoe UI" w:hAnsi="Segoe UI" w:cs="Segoe UI"/>
        </w:rPr>
        <w:t>-</w:t>
      </w:r>
      <w:r w:rsidR="6BC7F1EF" w:rsidRPr="26A8B252">
        <w:rPr>
          <w:rFonts w:ascii="Segoe UI" w:hAnsi="Segoe UI" w:cs="Segoe UI"/>
        </w:rPr>
        <w:t>8</w:t>
      </w:r>
      <w:r w:rsidR="0B58425A" w:rsidRPr="26A8B252">
        <w:rPr>
          <w:rFonts w:ascii="Segoe UI" w:hAnsi="Segoe UI" w:cs="Segoe UI"/>
        </w:rPr>
        <w:t>).</w:t>
      </w:r>
      <w:r w:rsidR="4374C7E2" w:rsidRPr="26A8B252">
        <w:rPr>
          <w:rFonts w:ascii="Segoe UI" w:hAnsi="Segoe UI" w:cs="Segoe UI"/>
        </w:rPr>
        <w:t xml:space="preserve"> </w:t>
      </w:r>
      <w:r w:rsidR="66B41868" w:rsidRPr="26A8B252">
        <w:rPr>
          <w:rFonts w:ascii="Segoe UI" w:hAnsi="Segoe UI" w:cs="Segoe UI"/>
        </w:rPr>
        <w:t>T</w:t>
      </w:r>
      <w:r w:rsidR="5D777745" w:rsidRPr="26A8B252">
        <w:rPr>
          <w:rFonts w:ascii="Segoe UI" w:hAnsi="Segoe UI" w:cs="Segoe UI"/>
        </w:rPr>
        <w:t xml:space="preserve">he </w:t>
      </w:r>
      <w:r w:rsidR="2A953F3C" w:rsidRPr="26A8B252">
        <w:rPr>
          <w:rFonts w:ascii="Segoe UI" w:hAnsi="Segoe UI" w:cs="Segoe UI"/>
        </w:rPr>
        <w:t>USPTO</w:t>
      </w:r>
      <w:r w:rsidR="66B41868" w:rsidRPr="26A8B252">
        <w:rPr>
          <w:rFonts w:ascii="Segoe UI" w:hAnsi="Segoe UI" w:cs="Segoe UI"/>
        </w:rPr>
        <w:t xml:space="preserve"> also</w:t>
      </w:r>
      <w:r w:rsidR="5D777745" w:rsidRPr="26A8B252">
        <w:rPr>
          <w:rFonts w:ascii="Segoe UI" w:hAnsi="Segoe UI" w:cs="Segoe UI"/>
        </w:rPr>
        <w:t xml:space="preserve"> follows the guidance in OMB </w:t>
      </w:r>
      <w:r w:rsidR="3F5177C3" w:rsidRPr="26A8B252">
        <w:rPr>
          <w:rFonts w:ascii="Segoe UI" w:hAnsi="Segoe UI" w:cs="Segoe UI"/>
        </w:rPr>
        <w:t xml:space="preserve">Circular </w:t>
      </w:r>
      <w:r w:rsidR="5D777745" w:rsidRPr="26A8B252">
        <w:rPr>
          <w:rFonts w:ascii="Segoe UI" w:hAnsi="Segoe UI" w:cs="Segoe UI"/>
        </w:rPr>
        <w:t xml:space="preserve">A-4 as a </w:t>
      </w:r>
      <w:r w:rsidR="5D777745" w:rsidRPr="000E20E9">
        <w:rPr>
          <w:rFonts w:ascii="Segoe UI" w:hAnsi="Segoe UI" w:cs="Segoe UI"/>
          <w:szCs w:val="24"/>
        </w:rPr>
        <w:t>methodology for discounting transfers, including selecting appropriate discount rates</w:t>
      </w:r>
      <w:r w:rsidR="5D777745" w:rsidRPr="000E20E9" w:rsidDel="006C0145">
        <w:rPr>
          <w:rFonts w:ascii="Segoe UI" w:hAnsi="Segoe UI" w:cs="Segoe UI"/>
          <w:szCs w:val="24"/>
        </w:rPr>
        <w:t>.</w:t>
      </w:r>
      <w:r w:rsidR="4374C7E2" w:rsidRPr="000E20E9">
        <w:rPr>
          <w:rFonts w:ascii="Segoe UI" w:hAnsi="Segoe UI" w:cs="Segoe UI"/>
          <w:szCs w:val="24"/>
        </w:rPr>
        <w:t xml:space="preserve"> </w:t>
      </w:r>
      <w:hyperlink r:id="rId23" w:history="1">
        <w:r w:rsidRPr="001C36C8">
          <w:rPr>
            <w:rStyle w:val="Hyperlink"/>
            <w:rFonts w:ascii="Segoe UI" w:hAnsi="Segoe UI" w:cs="Segoe UI"/>
            <w:szCs w:val="24"/>
          </w:rPr>
          <w:t>https://www.whitehouse.gov/wp-content/uploads/legacy_drupal_files/omb/circulars/A4/a-4.pdf</w:t>
        </w:r>
      </w:hyperlink>
      <w:r w:rsidR="000E20E9">
        <w:rPr>
          <w:rStyle w:val="Hyperlink"/>
          <w:rFonts w:ascii="Segoe UI" w:hAnsi="Segoe UI" w:cs="Segoe UI"/>
          <w:szCs w:val="24"/>
        </w:rPr>
        <w:t xml:space="preserve">. </w:t>
      </w:r>
      <w:r w:rsidR="0A6944C2" w:rsidRPr="000E20E9">
        <w:rPr>
          <w:rFonts w:ascii="Segoe UI" w:hAnsi="Segoe UI" w:cs="Segoe UI"/>
          <w:szCs w:val="24"/>
        </w:rPr>
        <w:t xml:space="preserve">As found in the FY </w:t>
      </w:r>
      <w:r w:rsidR="415CE5A0" w:rsidRPr="000E20E9">
        <w:rPr>
          <w:rFonts w:ascii="Segoe UI" w:hAnsi="Segoe UI" w:cs="Segoe UI"/>
          <w:szCs w:val="24"/>
        </w:rPr>
        <w:t>2025 Budget</w:t>
      </w:r>
      <w:r w:rsidR="0A6944C2" w:rsidRPr="000E20E9">
        <w:rPr>
          <w:rFonts w:ascii="Segoe UI" w:hAnsi="Segoe UI" w:cs="Segoe UI"/>
          <w:szCs w:val="24"/>
        </w:rPr>
        <w:t xml:space="preserve">, </w:t>
      </w:r>
      <w:r w:rsidR="000F412C" w:rsidRPr="000E20E9">
        <w:rPr>
          <w:rFonts w:ascii="Segoe UI" w:hAnsi="Segoe UI" w:cs="Segoe UI"/>
          <w:szCs w:val="24"/>
        </w:rPr>
        <w:t xml:space="preserve">the USPTO projects </w:t>
      </w:r>
      <w:r w:rsidR="009E3B25" w:rsidRPr="000E20E9">
        <w:rPr>
          <w:rFonts w:ascii="Segoe UI" w:hAnsi="Segoe UI" w:cs="Segoe UI"/>
          <w:szCs w:val="24"/>
        </w:rPr>
        <w:t xml:space="preserve">the </w:t>
      </w:r>
      <w:r w:rsidR="71B98BA6" w:rsidRPr="00367605">
        <w:rPr>
          <w:rFonts w:ascii="Segoe UI" w:hAnsi="Segoe UI" w:cs="Segoe UI"/>
          <w:szCs w:val="24"/>
        </w:rPr>
        <w:t xml:space="preserve">average </w:t>
      </w:r>
      <w:r w:rsidR="19C3E6EC" w:rsidRPr="00367605">
        <w:rPr>
          <w:rFonts w:ascii="Segoe UI" w:hAnsi="Segoe UI" w:cs="Segoe UI"/>
          <w:szCs w:val="24"/>
        </w:rPr>
        <w:t xml:space="preserve">annual </w:t>
      </w:r>
      <w:r w:rsidR="71B98BA6" w:rsidRPr="00367605">
        <w:rPr>
          <w:rFonts w:ascii="Segoe UI" w:hAnsi="Segoe UI" w:cs="Segoe UI"/>
          <w:szCs w:val="24"/>
        </w:rPr>
        <w:t xml:space="preserve">growth of </w:t>
      </w:r>
      <w:r w:rsidR="256DDC6B" w:rsidRPr="00367605">
        <w:rPr>
          <w:rFonts w:ascii="Segoe UI" w:hAnsi="Segoe UI" w:cs="Segoe UI"/>
          <w:szCs w:val="24"/>
        </w:rPr>
        <w:t>serialized</w:t>
      </w:r>
      <w:r w:rsidR="256DDC6B" w:rsidRPr="26A8B252">
        <w:rPr>
          <w:rFonts w:ascii="Segoe UI" w:hAnsi="Segoe UI" w:cs="Segoe UI"/>
        </w:rPr>
        <w:t xml:space="preserve"> </w:t>
      </w:r>
      <w:r w:rsidR="71B98BA6" w:rsidRPr="26A8B252">
        <w:rPr>
          <w:rFonts w:ascii="Segoe UI" w:hAnsi="Segoe UI" w:cs="Segoe UI"/>
        </w:rPr>
        <w:t xml:space="preserve">patent application filings </w:t>
      </w:r>
      <w:r w:rsidR="0B8F2022" w:rsidRPr="16EA9C32">
        <w:rPr>
          <w:rFonts w:ascii="Segoe UI" w:hAnsi="Segoe UI" w:cs="Segoe UI"/>
        </w:rPr>
        <w:t>at</w:t>
      </w:r>
      <w:r w:rsidR="71B98BA6" w:rsidRPr="26A8B252">
        <w:rPr>
          <w:rFonts w:ascii="Segoe UI" w:hAnsi="Segoe UI" w:cs="Segoe UI"/>
        </w:rPr>
        <w:t xml:space="preserve"> </w:t>
      </w:r>
      <w:r w:rsidR="00C635A7">
        <w:rPr>
          <w:rFonts w:ascii="Segoe UI" w:hAnsi="Segoe UI" w:cs="Segoe UI"/>
        </w:rPr>
        <w:t>1.</w:t>
      </w:r>
      <w:r w:rsidR="00C635A7" w:rsidRPr="007B67CC">
        <w:rPr>
          <w:rFonts w:ascii="Segoe UI" w:hAnsi="Segoe UI" w:cs="Segoe UI"/>
        </w:rPr>
        <w:t>1</w:t>
      </w:r>
      <w:r w:rsidR="2CCB4D10" w:rsidRPr="26A8B252">
        <w:rPr>
          <w:rFonts w:ascii="Segoe UI" w:hAnsi="Segoe UI" w:cs="Segoe UI"/>
        </w:rPr>
        <w:t>%</w:t>
      </w:r>
      <w:r w:rsidR="71B98BA6" w:rsidRPr="26A8B252">
        <w:rPr>
          <w:rFonts w:ascii="Segoe UI" w:hAnsi="Segoe UI" w:cs="Segoe UI"/>
        </w:rPr>
        <w:t xml:space="preserve"> over the period from FY </w:t>
      </w:r>
      <w:r w:rsidR="7B74B251" w:rsidRPr="26A8B252">
        <w:rPr>
          <w:rFonts w:ascii="Segoe UI" w:hAnsi="Segoe UI" w:cs="Segoe UI"/>
        </w:rPr>
        <w:t>202</w:t>
      </w:r>
      <w:r w:rsidR="23BE0D46" w:rsidRPr="26A8B252">
        <w:rPr>
          <w:rFonts w:ascii="Segoe UI" w:hAnsi="Segoe UI" w:cs="Segoe UI"/>
        </w:rPr>
        <w:t>5</w:t>
      </w:r>
      <w:r w:rsidR="7B74B251" w:rsidRPr="26A8B252">
        <w:rPr>
          <w:rFonts w:ascii="Segoe UI" w:hAnsi="Segoe UI" w:cs="Segoe UI"/>
        </w:rPr>
        <w:t xml:space="preserve"> </w:t>
      </w:r>
      <w:r w:rsidR="71B98BA6" w:rsidRPr="26A8B252">
        <w:rPr>
          <w:rFonts w:ascii="Segoe UI" w:hAnsi="Segoe UI" w:cs="Segoe UI"/>
        </w:rPr>
        <w:t>through FY 202</w:t>
      </w:r>
      <w:r w:rsidR="26911495" w:rsidRPr="26A8B252">
        <w:rPr>
          <w:rFonts w:ascii="Segoe UI" w:hAnsi="Segoe UI" w:cs="Segoe UI"/>
        </w:rPr>
        <w:t>9</w:t>
      </w:r>
      <w:r w:rsidR="71B98BA6" w:rsidRPr="26A8B252">
        <w:rPr>
          <w:rFonts w:ascii="Segoe UI" w:hAnsi="Segoe UI" w:cs="Segoe UI"/>
        </w:rPr>
        <w:t>.</w:t>
      </w:r>
      <w:r w:rsidR="7C6C0D9F" w:rsidRPr="26A8B252">
        <w:rPr>
          <w:rFonts w:ascii="Segoe UI" w:hAnsi="Segoe UI" w:cs="Segoe UI"/>
        </w:rPr>
        <w:t xml:space="preserve"> </w:t>
      </w:r>
      <w:r w:rsidR="71B98BA6" w:rsidRPr="26A8B252">
        <w:rPr>
          <w:rFonts w:ascii="Segoe UI" w:hAnsi="Segoe UI" w:cs="Segoe UI"/>
        </w:rPr>
        <w:t xml:space="preserve">The </w:t>
      </w:r>
      <w:r w:rsidR="00416F98">
        <w:rPr>
          <w:rFonts w:ascii="Segoe UI" w:hAnsi="Segoe UI" w:cs="Segoe UI"/>
        </w:rPr>
        <w:t xml:space="preserve">agency estimated this </w:t>
      </w:r>
      <w:r w:rsidR="71B98BA6" w:rsidRPr="26A8B252">
        <w:rPr>
          <w:rFonts w:ascii="Segoe UI" w:hAnsi="Segoe UI" w:cs="Segoe UI"/>
        </w:rPr>
        <w:t>growth in application filings</w:t>
      </w:r>
      <w:r w:rsidR="60D69609" w:rsidRPr="26A8B252" w:rsidDel="00416F98">
        <w:rPr>
          <w:rFonts w:ascii="Segoe UI" w:hAnsi="Segoe UI" w:cs="Segoe UI"/>
        </w:rPr>
        <w:t xml:space="preserve"> </w:t>
      </w:r>
      <w:r w:rsidR="71B98BA6" w:rsidRPr="26A8B252">
        <w:rPr>
          <w:rFonts w:ascii="Segoe UI" w:hAnsi="Segoe UI" w:cs="Segoe UI"/>
        </w:rPr>
        <w:t xml:space="preserve">using a regression model with </w:t>
      </w:r>
      <w:r w:rsidR="3C9292C3" w:rsidRPr="26A8B252">
        <w:rPr>
          <w:rFonts w:ascii="Segoe UI" w:hAnsi="Segoe UI" w:cs="Segoe UI"/>
        </w:rPr>
        <w:t xml:space="preserve">real gross domestic product (RGDP) </w:t>
      </w:r>
      <w:r w:rsidR="71B98BA6" w:rsidRPr="26A8B252">
        <w:rPr>
          <w:rFonts w:ascii="Segoe UI" w:hAnsi="Segoe UI" w:cs="Segoe UI"/>
        </w:rPr>
        <w:t xml:space="preserve">controls </w:t>
      </w:r>
      <w:r w:rsidR="71B98BA6" w:rsidRPr="26A8B252">
        <w:rPr>
          <w:rFonts w:ascii="Segoe UI" w:hAnsi="Segoe UI" w:cs="Segoe UI"/>
        </w:rPr>
        <w:lastRenderedPageBreak/>
        <w:t xml:space="preserve">derived from </w:t>
      </w:r>
      <w:hyperlink r:id="rId24">
        <w:r w:rsidR="6B71A2F9" w:rsidRPr="26A8B252">
          <w:rPr>
            <w:rStyle w:val="Hyperlink"/>
            <w:rFonts w:ascii="Segoe UI" w:hAnsi="Segoe UI" w:cs="Segoe UI"/>
          </w:rPr>
          <w:t xml:space="preserve">budget and economic data from the </w:t>
        </w:r>
        <w:r w:rsidR="71B98BA6" w:rsidRPr="26A8B252">
          <w:rPr>
            <w:rStyle w:val="Hyperlink"/>
            <w:rFonts w:ascii="Segoe UI" w:hAnsi="Segoe UI" w:cs="Segoe UI"/>
          </w:rPr>
          <w:t xml:space="preserve">Congressional Budget </w:t>
        </w:r>
        <w:r w:rsidR="128F1B14" w:rsidRPr="26A8B252">
          <w:rPr>
            <w:rStyle w:val="Hyperlink"/>
            <w:rFonts w:ascii="Segoe UI" w:hAnsi="Segoe UI" w:cs="Segoe UI"/>
          </w:rPr>
          <w:t>Office</w:t>
        </w:r>
        <w:r w:rsidR="26D2632D" w:rsidRPr="26A8B252">
          <w:rPr>
            <w:rStyle w:val="Hyperlink"/>
            <w:rFonts w:ascii="Segoe UI" w:hAnsi="Segoe UI" w:cs="Segoe UI"/>
          </w:rPr>
          <w:t xml:space="preserve"> (CBO)</w:t>
        </w:r>
      </w:hyperlink>
      <w:r w:rsidR="1B81A26D" w:rsidRPr="77C8196B">
        <w:rPr>
          <w:rFonts w:ascii="Segoe UI" w:hAnsi="Segoe UI" w:cs="Segoe UI"/>
        </w:rPr>
        <w:t>,</w:t>
      </w:r>
      <w:r w:rsidR="71B98BA6" w:rsidRPr="26A8B252">
        <w:rPr>
          <w:rFonts w:ascii="Segoe UI" w:hAnsi="Segoe UI" w:cs="Segoe UI"/>
        </w:rPr>
        <w:t xml:space="preserve"> based on </w:t>
      </w:r>
      <w:r w:rsidR="00F3339B">
        <w:rPr>
          <w:rFonts w:ascii="Segoe UI" w:hAnsi="Segoe UI" w:cs="Segoe UI"/>
        </w:rPr>
        <w:t xml:space="preserve">the </w:t>
      </w:r>
      <w:r w:rsidR="71B98BA6" w:rsidRPr="26A8B252">
        <w:rPr>
          <w:rFonts w:ascii="Segoe UI" w:hAnsi="Segoe UI" w:cs="Segoe UI"/>
        </w:rPr>
        <w:t xml:space="preserve">CBO’s </w:t>
      </w:r>
      <w:r w:rsidR="00AB1F72" w:rsidRPr="00AB1F72">
        <w:rPr>
          <w:rFonts w:ascii="Segoe UI" w:hAnsi="Segoe UI" w:cs="Segoe UI"/>
        </w:rPr>
        <w:t>July</w:t>
      </w:r>
      <w:r w:rsidR="71B98BA6" w:rsidRPr="00AB1F72">
        <w:rPr>
          <w:rFonts w:ascii="Segoe UI" w:hAnsi="Segoe UI" w:cs="Segoe UI"/>
        </w:rPr>
        <w:t xml:space="preserve"> 20</w:t>
      </w:r>
      <w:r w:rsidR="26911495" w:rsidRPr="00AB1F72">
        <w:rPr>
          <w:rFonts w:ascii="Segoe UI" w:hAnsi="Segoe UI" w:cs="Segoe UI"/>
        </w:rPr>
        <w:t>23</w:t>
      </w:r>
      <w:r w:rsidR="71B98BA6" w:rsidRPr="26A8B252">
        <w:rPr>
          <w:rFonts w:ascii="Segoe UI" w:hAnsi="Segoe UI" w:cs="Segoe UI"/>
        </w:rPr>
        <w:t xml:space="preserve"> estimates.</w:t>
      </w:r>
    </w:p>
    <w:p w14:paraId="3C90639D" w14:textId="60E335B8" w:rsidR="009A10C6" w:rsidRDefault="24811BFC" w:rsidP="00EA247B">
      <w:pPr>
        <w:pStyle w:val="ListParagraph"/>
        <w:numPr>
          <w:ilvl w:val="0"/>
          <w:numId w:val="3"/>
        </w:numPr>
        <w:tabs>
          <w:tab w:val="left" w:pos="450"/>
        </w:tabs>
        <w:spacing w:line="360" w:lineRule="auto"/>
        <w:rPr>
          <w:rFonts w:ascii="Segoe UI" w:hAnsi="Segoe UI" w:cs="Segoe UI"/>
        </w:rPr>
      </w:pPr>
      <w:r w:rsidRPr="26A8B252">
        <w:rPr>
          <w:rFonts w:ascii="Segoe UI" w:hAnsi="Segoe UI" w:cs="Segoe UI"/>
        </w:rPr>
        <w:t xml:space="preserve">All dollar values in this document are in nominal terms, except those </w:t>
      </w:r>
      <w:r w:rsidRPr="005005CE">
        <w:rPr>
          <w:rFonts w:ascii="Segoe UI" w:hAnsi="Segoe UI" w:cs="Segoe UI"/>
        </w:rPr>
        <w:t>specifically identified otherwise (see Tables 3-6, 3-7, and 3-8).</w:t>
      </w:r>
      <w:r w:rsidR="076FC9C8" w:rsidRPr="005005CE">
        <w:rPr>
          <w:rFonts w:ascii="Segoe UI" w:hAnsi="Segoe UI" w:cs="Segoe UI"/>
        </w:rPr>
        <w:t xml:space="preserve"> </w:t>
      </w:r>
      <w:r w:rsidRPr="005005CE">
        <w:rPr>
          <w:rFonts w:ascii="Segoe UI" w:hAnsi="Segoe UI" w:cs="Segoe UI"/>
        </w:rPr>
        <w:t xml:space="preserve">To calculate constant year </w:t>
      </w:r>
      <w:r w:rsidR="04A89292" w:rsidRPr="005005CE">
        <w:rPr>
          <w:rFonts w:ascii="Segoe UI" w:hAnsi="Segoe UI" w:cs="Segoe UI"/>
        </w:rPr>
        <w:t xml:space="preserve">(real) </w:t>
      </w:r>
      <w:r w:rsidRPr="005005CE">
        <w:rPr>
          <w:rFonts w:ascii="Segoe UI" w:hAnsi="Segoe UI" w:cs="Segoe UI"/>
        </w:rPr>
        <w:t xml:space="preserve">estimates for FY </w:t>
      </w:r>
      <w:r w:rsidR="377EEE96" w:rsidRPr="005005CE">
        <w:rPr>
          <w:rFonts w:ascii="Segoe UI" w:hAnsi="Segoe UI" w:cs="Segoe UI"/>
        </w:rPr>
        <w:t>202</w:t>
      </w:r>
      <w:r w:rsidR="14720D21" w:rsidRPr="005005CE">
        <w:rPr>
          <w:rFonts w:ascii="Segoe UI" w:hAnsi="Segoe UI" w:cs="Segoe UI"/>
        </w:rPr>
        <w:t>5</w:t>
      </w:r>
      <w:r w:rsidR="377EEE96" w:rsidRPr="005005CE">
        <w:rPr>
          <w:rFonts w:ascii="Segoe UI" w:hAnsi="Segoe UI" w:cs="Segoe UI"/>
        </w:rPr>
        <w:t xml:space="preserve"> </w:t>
      </w:r>
      <w:r w:rsidRPr="005005CE">
        <w:rPr>
          <w:rFonts w:ascii="Segoe UI" w:hAnsi="Segoe UI" w:cs="Segoe UI"/>
        </w:rPr>
        <w:t>through FY 202</w:t>
      </w:r>
      <w:r w:rsidR="435A62B9" w:rsidRPr="005005CE">
        <w:rPr>
          <w:rFonts w:ascii="Segoe UI" w:hAnsi="Segoe UI" w:cs="Segoe UI"/>
        </w:rPr>
        <w:t>9</w:t>
      </w:r>
      <w:r w:rsidRPr="005005CE">
        <w:rPr>
          <w:rFonts w:ascii="Segoe UI" w:hAnsi="Segoe UI" w:cs="Segoe UI"/>
        </w:rPr>
        <w:t xml:space="preserve"> (Base Year 20</w:t>
      </w:r>
      <w:r w:rsidR="778954DC" w:rsidRPr="005005CE">
        <w:rPr>
          <w:rFonts w:ascii="Segoe UI" w:hAnsi="Segoe UI" w:cs="Segoe UI"/>
        </w:rPr>
        <w:t>2</w:t>
      </w:r>
      <w:r w:rsidR="435A62B9" w:rsidRPr="005005CE">
        <w:rPr>
          <w:rFonts w:ascii="Segoe UI" w:hAnsi="Segoe UI" w:cs="Segoe UI"/>
        </w:rPr>
        <w:t>4</w:t>
      </w:r>
      <w:r w:rsidRPr="005005CE">
        <w:rPr>
          <w:rFonts w:ascii="Segoe UI" w:hAnsi="Segoe UI" w:cs="Segoe UI"/>
        </w:rPr>
        <w:t>), the</w:t>
      </w:r>
      <w:r w:rsidR="00A569A6" w:rsidRPr="005005CE">
        <w:rPr>
          <w:rFonts w:ascii="Segoe UI" w:hAnsi="Segoe UI" w:cs="Segoe UI"/>
        </w:rPr>
        <w:t xml:space="preserve"> USPTO used the</w:t>
      </w:r>
      <w:r w:rsidRPr="005005CE">
        <w:rPr>
          <w:rFonts w:ascii="Segoe UI" w:hAnsi="Segoe UI" w:cs="Segoe UI"/>
        </w:rPr>
        <w:t xml:space="preserve"> </w:t>
      </w:r>
      <w:hyperlink r:id="rId25" w:anchor="4">
        <w:r w:rsidR="40C78FB3" w:rsidRPr="005005CE">
          <w:rPr>
            <w:rStyle w:val="Hyperlink"/>
            <w:rFonts w:ascii="Segoe UI" w:hAnsi="Segoe UI" w:cs="Segoe UI"/>
          </w:rPr>
          <w:t>CBO’s “10-Year Economic Projections” (February 2023)</w:t>
        </w:r>
      </w:hyperlink>
      <w:r w:rsidR="40C78FB3" w:rsidRPr="005005CE">
        <w:rPr>
          <w:rFonts w:ascii="Segoe UI" w:hAnsi="Segoe UI" w:cs="Segoe UI"/>
        </w:rPr>
        <w:t xml:space="preserve"> </w:t>
      </w:r>
      <w:r w:rsidR="7BA054E6" w:rsidRPr="005005CE">
        <w:rPr>
          <w:rFonts w:ascii="Segoe UI" w:hAnsi="Segoe UI" w:cs="Segoe UI"/>
        </w:rPr>
        <w:t>for the CPI-U.</w:t>
      </w:r>
    </w:p>
    <w:p w14:paraId="0790B601" w14:textId="44815228" w:rsidR="00A86B17" w:rsidRPr="005005CE" w:rsidRDefault="00A86B17" w:rsidP="00EA247B">
      <w:pPr>
        <w:pStyle w:val="ListParagraph"/>
        <w:numPr>
          <w:ilvl w:val="0"/>
          <w:numId w:val="3"/>
        </w:numPr>
        <w:tabs>
          <w:tab w:val="left" w:pos="450"/>
        </w:tabs>
        <w:spacing w:line="360" w:lineRule="auto"/>
        <w:rPr>
          <w:rFonts w:ascii="Segoe UI" w:hAnsi="Segoe UI" w:cs="Segoe UI"/>
        </w:rPr>
      </w:pPr>
      <w:r>
        <w:rPr>
          <w:rFonts w:ascii="Segoe UI" w:hAnsi="Segoe UI" w:cs="Segoe UI"/>
        </w:rPr>
        <w:t>The</w:t>
      </w:r>
      <w:r w:rsidR="007D1279">
        <w:rPr>
          <w:rFonts w:ascii="Segoe UI" w:hAnsi="Segoe UI" w:cs="Segoe UI"/>
        </w:rPr>
        <w:t xml:space="preserve"> final rule</w:t>
      </w:r>
      <w:r w:rsidRPr="00A86B17">
        <w:rPr>
          <w:rFonts w:ascii="Segoe UI" w:hAnsi="Segoe UI" w:cs="Segoe UI"/>
        </w:rPr>
        <w:t xml:space="preserve"> does not impose different costs or burdens on applicants and patent holders based on technology type or their country of residence (i.e., United States or foreign). Based on FY 2022 data, the USPTO estimates that 43.7% of patent filings are domestic, and 56.3% are foreign. This data is available in the USPTO’s FY 2023 Workload Tables.</w:t>
      </w:r>
    </w:p>
    <w:p w14:paraId="7128567C" w14:textId="6FA2383E" w:rsidR="00AC06B9" w:rsidRPr="00CF6436" w:rsidRDefault="77BAC6B9" w:rsidP="00EA247B">
      <w:pPr>
        <w:pStyle w:val="ListParagraph"/>
        <w:numPr>
          <w:ilvl w:val="0"/>
          <w:numId w:val="3"/>
        </w:numPr>
        <w:tabs>
          <w:tab w:val="left" w:pos="450"/>
        </w:tabs>
        <w:spacing w:line="360" w:lineRule="auto"/>
        <w:rPr>
          <w:rFonts w:ascii="Segoe UI" w:hAnsi="Segoe UI" w:cs="Segoe UI"/>
        </w:rPr>
      </w:pPr>
      <w:r w:rsidRPr="4D73D37B">
        <w:rPr>
          <w:rFonts w:ascii="Segoe UI" w:eastAsia="Segoe UI" w:hAnsi="Segoe UI" w:cs="Segoe UI"/>
        </w:rPr>
        <w:t>T</w:t>
      </w:r>
      <w:r w:rsidR="3C7C9122" w:rsidRPr="4D73D37B">
        <w:rPr>
          <w:rFonts w:ascii="Segoe UI" w:eastAsia="Segoe UI" w:hAnsi="Segoe UI" w:cs="Segoe UI"/>
        </w:rPr>
        <w:t xml:space="preserve">he </w:t>
      </w:r>
      <w:r w:rsidR="009A447B" w:rsidRPr="4D73D37B">
        <w:rPr>
          <w:rFonts w:ascii="Segoe UI" w:eastAsia="Segoe UI" w:hAnsi="Segoe UI" w:cs="Segoe UI"/>
        </w:rPr>
        <w:t xml:space="preserve">USPTO used the </w:t>
      </w:r>
      <w:r w:rsidR="5FEB5DB6" w:rsidRPr="4D73D37B">
        <w:rPr>
          <w:rFonts w:ascii="Segoe UI" w:eastAsia="Segoe UI" w:hAnsi="Segoe UI" w:cs="Segoe UI"/>
        </w:rPr>
        <w:t xml:space="preserve">Patent </w:t>
      </w:r>
      <w:r w:rsidR="0FB96E96" w:rsidRPr="4D73D37B">
        <w:rPr>
          <w:rFonts w:ascii="Segoe UI" w:eastAsia="Segoe UI" w:hAnsi="Segoe UI" w:cs="Segoe UI"/>
        </w:rPr>
        <w:t xml:space="preserve">Pendency </w:t>
      </w:r>
      <w:r w:rsidR="5FEB5DB6" w:rsidRPr="4D73D37B">
        <w:rPr>
          <w:rFonts w:ascii="Segoe UI" w:eastAsia="Segoe UI" w:hAnsi="Segoe UI" w:cs="Segoe UI"/>
        </w:rPr>
        <w:t>Model (</w:t>
      </w:r>
      <w:r w:rsidR="560A13F0" w:rsidRPr="4D73D37B">
        <w:rPr>
          <w:rFonts w:ascii="Segoe UI" w:eastAsia="Segoe UI" w:hAnsi="Segoe UI" w:cs="Segoe UI"/>
        </w:rPr>
        <w:t>PPM</w:t>
      </w:r>
      <w:r w:rsidR="5FEB5DB6" w:rsidRPr="4D73D37B">
        <w:rPr>
          <w:rFonts w:ascii="Segoe UI" w:eastAsia="Segoe UI" w:hAnsi="Segoe UI" w:cs="Segoe UI"/>
        </w:rPr>
        <w:t>)</w:t>
      </w:r>
      <w:r w:rsidR="560A13F0" w:rsidRPr="4D73D37B">
        <w:rPr>
          <w:rFonts w:ascii="Segoe UI" w:eastAsia="Segoe UI" w:hAnsi="Segoe UI" w:cs="Segoe UI"/>
        </w:rPr>
        <w:t xml:space="preserve"> </w:t>
      </w:r>
      <w:r w:rsidR="5D79D4AF" w:rsidRPr="4D73D37B">
        <w:rPr>
          <w:rFonts w:ascii="Segoe UI" w:eastAsia="Segoe UI" w:hAnsi="Segoe UI" w:cs="Segoe UI"/>
        </w:rPr>
        <w:t xml:space="preserve">to </w:t>
      </w:r>
      <w:r w:rsidR="560A13F0" w:rsidRPr="4D73D37B">
        <w:rPr>
          <w:rFonts w:ascii="Segoe UI" w:eastAsia="Segoe UI" w:hAnsi="Segoe UI" w:cs="Segoe UI"/>
        </w:rPr>
        <w:t xml:space="preserve">estimate patent production, workload, changes in </w:t>
      </w:r>
      <w:r w:rsidRPr="4D73D37B">
        <w:rPr>
          <w:rFonts w:ascii="Segoe UI" w:eastAsia="Segoe UI" w:hAnsi="Segoe UI" w:cs="Segoe UI"/>
        </w:rPr>
        <w:t xml:space="preserve">backlog </w:t>
      </w:r>
      <w:r w:rsidR="29F1BABE" w:rsidRPr="4D73D37B">
        <w:rPr>
          <w:rFonts w:ascii="Segoe UI" w:eastAsia="Segoe UI" w:hAnsi="Segoe UI" w:cs="Segoe UI"/>
        </w:rPr>
        <w:t>and pendency</w:t>
      </w:r>
      <w:r w:rsidR="560A13F0" w:rsidRPr="4D73D37B">
        <w:rPr>
          <w:rFonts w:ascii="Segoe UI" w:eastAsia="Segoe UI" w:hAnsi="Segoe UI" w:cs="Segoe UI"/>
        </w:rPr>
        <w:t>, and associated staffing levels for each alternative.</w:t>
      </w:r>
      <w:r w:rsidR="076FC9C8" w:rsidRPr="4D73D37B">
        <w:rPr>
          <w:rFonts w:ascii="Segoe UI" w:eastAsia="Segoe UI" w:hAnsi="Segoe UI" w:cs="Segoe UI"/>
        </w:rPr>
        <w:t xml:space="preserve"> </w:t>
      </w:r>
      <w:r w:rsidR="6EF78567" w:rsidRPr="4D73D37B">
        <w:rPr>
          <w:rFonts w:ascii="Segoe UI" w:eastAsia="Segoe UI" w:hAnsi="Segoe UI" w:cs="Segoe UI"/>
        </w:rPr>
        <w:t xml:space="preserve">A description of the PPM, including a simulation tool, is available for review </w:t>
      </w:r>
      <w:r w:rsidR="6CD161BE" w:rsidRPr="4D73D37B">
        <w:rPr>
          <w:rFonts w:ascii="Segoe UI" w:eastAsia="Segoe UI" w:hAnsi="Segoe UI" w:cs="Segoe UI"/>
        </w:rPr>
        <w:t>on</w:t>
      </w:r>
      <w:r w:rsidR="6CD161BE" w:rsidRPr="4D73D37B">
        <w:rPr>
          <w:rFonts w:ascii="Segoe UI" w:hAnsi="Segoe UI" w:cs="Segoe UI"/>
        </w:rPr>
        <w:t xml:space="preserve"> the </w:t>
      </w:r>
      <w:hyperlink r:id="rId26">
        <w:r w:rsidR="6EAB4D6A" w:rsidRPr="4D73D37B">
          <w:rPr>
            <w:rStyle w:val="Hyperlink"/>
            <w:rFonts w:ascii="Segoe UI" w:hAnsi="Segoe UI" w:cs="Segoe UI"/>
          </w:rPr>
          <w:t>Patent Pendency Model section of the USPTO website</w:t>
        </w:r>
      </w:hyperlink>
      <w:r w:rsidR="6CD161BE" w:rsidRPr="4D73D37B">
        <w:rPr>
          <w:rFonts w:ascii="Segoe UI" w:hAnsi="Segoe UI" w:cs="Segoe UI"/>
        </w:rPr>
        <w:t>.</w:t>
      </w:r>
    </w:p>
    <w:p w14:paraId="622376DA" w14:textId="53A2CE68" w:rsidR="009A7C1B" w:rsidRDefault="7EF7352F" w:rsidP="00EA247B">
      <w:pPr>
        <w:pStyle w:val="ListParagraph"/>
        <w:numPr>
          <w:ilvl w:val="0"/>
          <w:numId w:val="3"/>
        </w:numPr>
        <w:spacing w:line="360" w:lineRule="auto"/>
        <w:rPr>
          <w:rFonts w:ascii="Segoe UI" w:hAnsi="Segoe UI" w:cs="Segoe UI"/>
        </w:rPr>
      </w:pPr>
      <w:r w:rsidRPr="26A8B252">
        <w:rPr>
          <w:rFonts w:ascii="Segoe UI" w:hAnsi="Segoe UI" w:cs="Segoe UI"/>
        </w:rPr>
        <w:t xml:space="preserve">The </w:t>
      </w:r>
      <w:r w:rsidR="77BAC6B9" w:rsidRPr="26A8B252">
        <w:rPr>
          <w:rFonts w:ascii="Segoe UI" w:hAnsi="Segoe UI" w:cs="Segoe UI"/>
        </w:rPr>
        <w:t>USPTO</w:t>
      </w:r>
      <w:r w:rsidRPr="26A8B252">
        <w:rPr>
          <w:rFonts w:ascii="Segoe UI" w:hAnsi="Segoe UI" w:cs="Segoe UI"/>
        </w:rPr>
        <w:t xml:space="preserve"> acknowledges that there may be some changes in applicant behavior </w:t>
      </w:r>
      <w:r w:rsidR="6AA25FB3" w:rsidRPr="26A8B252">
        <w:rPr>
          <w:rFonts w:ascii="Segoe UI" w:hAnsi="Segoe UI" w:cs="Segoe UI"/>
        </w:rPr>
        <w:t>due to</w:t>
      </w:r>
      <w:r w:rsidRPr="26A8B252">
        <w:rPr>
          <w:rFonts w:ascii="Segoe UI" w:hAnsi="Segoe UI" w:cs="Segoe UI"/>
        </w:rPr>
        <w:t xml:space="preserve"> the fee changes in Alternatives 1, 2, and 3.</w:t>
      </w:r>
      <w:r w:rsidR="076FC9C8" w:rsidRPr="26A8B252">
        <w:rPr>
          <w:rFonts w:ascii="Segoe UI" w:hAnsi="Segoe UI" w:cs="Segoe UI"/>
        </w:rPr>
        <w:t xml:space="preserve"> </w:t>
      </w:r>
      <w:r w:rsidR="63FFC740" w:rsidRPr="491BEA8D">
        <w:rPr>
          <w:rFonts w:ascii="Segoe UI" w:hAnsi="Segoe UI" w:cs="Segoe UI"/>
        </w:rPr>
        <w:t>T</w:t>
      </w:r>
      <w:r w:rsidR="0A863897" w:rsidRPr="491BEA8D">
        <w:rPr>
          <w:rFonts w:ascii="Segoe UI" w:hAnsi="Segoe UI" w:cs="Segoe UI"/>
        </w:rPr>
        <w:t>he</w:t>
      </w:r>
      <w:r w:rsidR="00FE2371">
        <w:rPr>
          <w:rFonts w:ascii="Segoe UI" w:hAnsi="Segoe UI" w:cs="Segoe UI"/>
        </w:rPr>
        <w:t xml:space="preserve"> agency </w:t>
      </w:r>
      <w:r w:rsidR="299C2F05" w:rsidRPr="491BEA8D">
        <w:rPr>
          <w:rFonts w:ascii="Segoe UI" w:hAnsi="Segoe UI" w:cs="Segoe UI"/>
        </w:rPr>
        <w:t>used</w:t>
      </w:r>
      <w:r w:rsidR="0A863897" w:rsidRPr="491BEA8D">
        <w:rPr>
          <w:rFonts w:ascii="Segoe UI" w:hAnsi="Segoe UI" w:cs="Segoe UI"/>
        </w:rPr>
        <w:t xml:space="preserve"> </w:t>
      </w:r>
      <w:r w:rsidR="700D10E0" w:rsidRPr="491BEA8D">
        <w:rPr>
          <w:rFonts w:ascii="Segoe UI" w:hAnsi="Segoe UI" w:cs="Segoe UI"/>
        </w:rPr>
        <w:t>a</w:t>
      </w:r>
      <w:r w:rsidR="3E2759B3" w:rsidRPr="491BEA8D">
        <w:rPr>
          <w:rFonts w:ascii="Segoe UI" w:hAnsi="Segoe UI" w:cs="Segoe UI"/>
        </w:rPr>
        <w:t xml:space="preserve"> previous</w:t>
      </w:r>
      <w:r w:rsidRPr="26A8B252">
        <w:rPr>
          <w:rFonts w:ascii="Segoe UI" w:hAnsi="Segoe UI" w:cs="Segoe UI"/>
        </w:rPr>
        <w:t xml:space="preserve"> economic analysis</w:t>
      </w:r>
      <w:r w:rsidR="77BAC6B9" w:rsidRPr="26A8B252">
        <w:rPr>
          <w:rFonts w:ascii="Segoe UI" w:hAnsi="Segoe UI" w:cs="Segoe UI"/>
        </w:rPr>
        <w:t xml:space="preserve"> </w:t>
      </w:r>
      <w:r w:rsidR="307C6141" w:rsidRPr="1D369B2B">
        <w:rPr>
          <w:rFonts w:ascii="Segoe UI" w:hAnsi="Segoe UI" w:cs="Segoe UI"/>
        </w:rPr>
        <w:t>of</w:t>
      </w:r>
      <w:r w:rsidRPr="26A8B252">
        <w:rPr>
          <w:rFonts w:ascii="Segoe UI" w:hAnsi="Segoe UI" w:cs="Segoe UI"/>
        </w:rPr>
        <w:t xml:space="preserve"> the change in demand for services as a result of changes to fee rates</w:t>
      </w:r>
      <w:r w:rsidR="003B0B74">
        <w:rPr>
          <w:rFonts w:ascii="Segoe UI" w:hAnsi="Segoe UI" w:cs="Segoe UI"/>
        </w:rPr>
        <w:t xml:space="preserve"> </w:t>
      </w:r>
      <w:r w:rsidR="68D2956B" w:rsidRPr="1D369B2B">
        <w:rPr>
          <w:rFonts w:ascii="Segoe UI" w:hAnsi="Segoe UI" w:cs="Segoe UI"/>
        </w:rPr>
        <w:t>to adjust</w:t>
      </w:r>
      <w:r w:rsidR="7B6925C9" w:rsidRPr="1D369B2B">
        <w:rPr>
          <w:rFonts w:ascii="Segoe UI" w:hAnsi="Segoe UI" w:cs="Segoe UI"/>
        </w:rPr>
        <w:t xml:space="preserve"> w</w:t>
      </w:r>
      <w:r w:rsidR="700D10E0" w:rsidRPr="1D369B2B">
        <w:rPr>
          <w:rFonts w:ascii="Segoe UI" w:hAnsi="Segoe UI" w:cs="Segoe UI"/>
        </w:rPr>
        <w:t>orkloads</w:t>
      </w:r>
      <w:r w:rsidRPr="26A8B252">
        <w:rPr>
          <w:rFonts w:ascii="Segoe UI" w:hAnsi="Segoe UI" w:cs="Segoe UI"/>
        </w:rPr>
        <w:t xml:space="preserve"> across scenarios for price elasticity</w:t>
      </w:r>
      <w:r w:rsidR="700D10E0" w:rsidRPr="2C60E988">
        <w:rPr>
          <w:rFonts w:ascii="Segoe UI" w:hAnsi="Segoe UI" w:cs="Segoe UI"/>
        </w:rPr>
        <w:t>.</w:t>
      </w:r>
      <w:r w:rsidR="6F859B21" w:rsidRPr="26A8B252">
        <w:rPr>
          <w:rFonts w:ascii="Segoe UI" w:hAnsi="Segoe UI" w:cs="Segoe UI"/>
        </w:rPr>
        <w:t xml:space="preserve"> </w:t>
      </w:r>
      <w:r w:rsidR="75E4DECD" w:rsidRPr="2C60E988">
        <w:rPr>
          <w:rFonts w:ascii="Segoe UI" w:hAnsi="Segoe UI" w:cs="Segoe UI"/>
        </w:rPr>
        <w:t>S</w:t>
      </w:r>
      <w:r w:rsidRPr="2C60E988">
        <w:rPr>
          <w:rFonts w:ascii="Segoe UI" w:hAnsi="Segoe UI" w:cs="Segoe UI"/>
        </w:rPr>
        <w:t>ee</w:t>
      </w:r>
      <w:r w:rsidRPr="26A8B252">
        <w:rPr>
          <w:rFonts w:ascii="Segoe UI" w:hAnsi="Segoe UI" w:cs="Segoe UI"/>
        </w:rPr>
        <w:t xml:space="preserve"> </w:t>
      </w:r>
      <w:hyperlink r:id="rId27">
        <w:r w:rsidRPr="26A8B252">
          <w:rPr>
            <w:rStyle w:val="Hyperlink"/>
            <w:rFonts w:ascii="Segoe UI" w:hAnsi="Segoe UI" w:cs="Segoe UI"/>
          </w:rPr>
          <w:t>Setting and Adjusting Patent Fees during Fiscal Year 202</w:t>
        </w:r>
        <w:r w:rsidR="303AE2A5" w:rsidRPr="26A8B252">
          <w:rPr>
            <w:rStyle w:val="Hyperlink"/>
            <w:rFonts w:ascii="Segoe UI" w:hAnsi="Segoe UI" w:cs="Segoe UI"/>
          </w:rPr>
          <w:t>0</w:t>
        </w:r>
        <w:r w:rsidR="7B6925C9" w:rsidRPr="2C60E988">
          <w:rPr>
            <w:rStyle w:val="Hyperlink"/>
            <w:rFonts w:ascii="Segoe UI" w:hAnsi="Segoe UI" w:cs="Segoe UI"/>
          </w:rPr>
          <w:t>—</w:t>
        </w:r>
        <w:r w:rsidRPr="26A8B252">
          <w:rPr>
            <w:rStyle w:val="Hyperlink"/>
            <w:rFonts w:ascii="Segoe UI" w:hAnsi="Segoe UI" w:cs="Segoe UI"/>
          </w:rPr>
          <w:t xml:space="preserve"> Description of Elasticity Estimates</w:t>
        </w:r>
      </w:hyperlink>
      <w:r w:rsidR="1FF4A517" w:rsidRPr="26A8B252">
        <w:rPr>
          <w:rFonts w:ascii="Segoe UI" w:hAnsi="Segoe UI" w:cs="Segoe UI"/>
        </w:rPr>
        <w:t>.</w:t>
      </w:r>
    </w:p>
    <w:p w14:paraId="3C78507C" w14:textId="03CA4F1C" w:rsidR="0086407D" w:rsidRPr="004A6D53" w:rsidRDefault="6691C217" w:rsidP="00EA247B">
      <w:pPr>
        <w:pStyle w:val="ListParagraph"/>
        <w:numPr>
          <w:ilvl w:val="0"/>
          <w:numId w:val="3"/>
        </w:numPr>
        <w:spacing w:line="360" w:lineRule="auto"/>
        <w:rPr>
          <w:rFonts w:ascii="Segoe UI" w:hAnsi="Segoe UI" w:cs="Segoe UI"/>
        </w:rPr>
      </w:pPr>
      <w:r w:rsidRPr="293D3C50">
        <w:rPr>
          <w:rFonts w:ascii="Segoe UI" w:hAnsi="Segoe UI" w:cs="Segoe UI"/>
        </w:rPr>
        <w:t>T</w:t>
      </w:r>
      <w:r w:rsidR="0F5BD2F3" w:rsidRPr="293D3C50">
        <w:rPr>
          <w:rFonts w:ascii="Segoe UI" w:hAnsi="Segoe UI" w:cs="Segoe UI"/>
        </w:rPr>
        <w:t xml:space="preserve">he </w:t>
      </w:r>
      <w:r w:rsidR="1659C8B6" w:rsidRPr="293D3C50">
        <w:rPr>
          <w:rFonts w:ascii="Segoe UI" w:hAnsi="Segoe UI" w:cs="Segoe UI"/>
        </w:rPr>
        <w:t>USPTO</w:t>
      </w:r>
      <w:r w:rsidR="63E011D6" w:rsidRPr="293D3C50">
        <w:rPr>
          <w:rFonts w:ascii="Segoe UI" w:hAnsi="Segoe UI" w:cs="Segoe UI"/>
        </w:rPr>
        <w:t xml:space="preserve"> conducts </w:t>
      </w:r>
      <w:r w:rsidR="3104C4F0" w:rsidRPr="293D3C50">
        <w:rPr>
          <w:rFonts w:ascii="Segoe UI" w:hAnsi="Segoe UI" w:cs="Segoe UI"/>
        </w:rPr>
        <w:t>a</w:t>
      </w:r>
      <w:r w:rsidR="63E011D6" w:rsidRPr="293D3C50">
        <w:rPr>
          <w:rFonts w:ascii="Segoe UI" w:hAnsi="Segoe UI" w:cs="Segoe UI"/>
        </w:rPr>
        <w:t xml:space="preserve"> rigorous budget formulation process </w:t>
      </w:r>
      <w:r w:rsidR="1D2ADAC5" w:rsidRPr="293D3C50">
        <w:rPr>
          <w:rFonts w:ascii="Segoe UI" w:hAnsi="Segoe UI" w:cs="Segoe UI"/>
        </w:rPr>
        <w:t xml:space="preserve">annually </w:t>
      </w:r>
      <w:r w:rsidR="63E011D6" w:rsidRPr="293D3C50">
        <w:rPr>
          <w:rFonts w:ascii="Segoe UI" w:hAnsi="Segoe UI" w:cs="Segoe UI"/>
        </w:rPr>
        <w:t xml:space="preserve">that entails </w:t>
      </w:r>
      <w:r w:rsidR="55B1EE66" w:rsidRPr="293D3C50">
        <w:rPr>
          <w:rFonts w:ascii="Segoe UI" w:hAnsi="Segoe UI" w:cs="Segoe UI"/>
        </w:rPr>
        <w:t>re</w:t>
      </w:r>
      <w:r w:rsidR="63E011D6" w:rsidRPr="293D3C50">
        <w:rPr>
          <w:rFonts w:ascii="Segoe UI" w:hAnsi="Segoe UI" w:cs="Segoe UI"/>
        </w:rPr>
        <w:t xml:space="preserve">validating </w:t>
      </w:r>
      <w:r w:rsidR="55B1EE66" w:rsidRPr="293D3C50">
        <w:rPr>
          <w:rFonts w:ascii="Segoe UI" w:hAnsi="Segoe UI" w:cs="Segoe UI"/>
        </w:rPr>
        <w:t xml:space="preserve">the next </w:t>
      </w:r>
      <w:r w:rsidR="63E011D6" w:rsidRPr="293D3C50">
        <w:rPr>
          <w:rFonts w:ascii="Segoe UI" w:hAnsi="Segoe UI" w:cs="Segoe UI"/>
        </w:rPr>
        <w:t>year</w:t>
      </w:r>
      <w:r w:rsidR="769A7A9C" w:rsidRPr="293D3C50">
        <w:rPr>
          <w:rFonts w:ascii="Segoe UI" w:hAnsi="Segoe UI" w:cs="Segoe UI"/>
        </w:rPr>
        <w:t>’s</w:t>
      </w:r>
      <w:r w:rsidR="63E011D6" w:rsidRPr="293D3C50">
        <w:rPr>
          <w:rFonts w:ascii="Segoe UI" w:hAnsi="Segoe UI" w:cs="Segoe UI"/>
        </w:rPr>
        <w:t xml:space="preserve"> </w:t>
      </w:r>
      <w:r w:rsidR="50CDC3FC" w:rsidRPr="293D3C50">
        <w:rPr>
          <w:rFonts w:ascii="Segoe UI" w:hAnsi="Segoe UI" w:cs="Segoe UI"/>
        </w:rPr>
        <w:t xml:space="preserve">budgetary </w:t>
      </w:r>
      <w:r w:rsidR="63E011D6" w:rsidRPr="293D3C50">
        <w:rPr>
          <w:rFonts w:ascii="Segoe UI" w:hAnsi="Segoe UI" w:cs="Segoe UI"/>
        </w:rPr>
        <w:t>requirement</w:t>
      </w:r>
      <w:r w:rsidR="196F925C" w:rsidRPr="293D3C50">
        <w:rPr>
          <w:rFonts w:ascii="Segoe UI" w:hAnsi="Segoe UI" w:cs="Segoe UI"/>
        </w:rPr>
        <w:t xml:space="preserve"> estimate</w:t>
      </w:r>
      <w:r w:rsidR="63E011D6" w:rsidRPr="293D3C50">
        <w:rPr>
          <w:rFonts w:ascii="Segoe UI" w:hAnsi="Segoe UI" w:cs="Segoe UI"/>
        </w:rPr>
        <w:t>s</w:t>
      </w:r>
      <w:r w:rsidR="1D2ADAC5" w:rsidRPr="293D3C50">
        <w:rPr>
          <w:rFonts w:ascii="Segoe UI" w:hAnsi="Segoe UI" w:cs="Segoe UI"/>
        </w:rPr>
        <w:t xml:space="preserve">, </w:t>
      </w:r>
      <w:r w:rsidR="63E011D6" w:rsidRPr="293D3C50">
        <w:rPr>
          <w:rFonts w:ascii="Segoe UI" w:hAnsi="Segoe UI" w:cs="Segoe UI"/>
        </w:rPr>
        <w:t>formulating the budget</w:t>
      </w:r>
      <w:r w:rsidR="67C7B8CA" w:rsidRPr="293D3C50">
        <w:rPr>
          <w:rFonts w:ascii="Segoe UI" w:hAnsi="Segoe UI" w:cs="Segoe UI"/>
        </w:rPr>
        <w:t xml:space="preserve"> year</w:t>
      </w:r>
      <w:r w:rsidR="1D2ADAC5" w:rsidRPr="293D3C50">
        <w:rPr>
          <w:rFonts w:ascii="Segoe UI" w:hAnsi="Segoe UI" w:cs="Segoe UI"/>
        </w:rPr>
        <w:t>,</w:t>
      </w:r>
      <w:r w:rsidR="63E011D6" w:rsidRPr="293D3C50">
        <w:rPr>
          <w:rFonts w:ascii="Segoe UI" w:hAnsi="Segoe UI" w:cs="Segoe UI"/>
        </w:rPr>
        <w:t xml:space="preserve"> and </w:t>
      </w:r>
      <w:r w:rsidR="196F925C" w:rsidRPr="293D3C50">
        <w:rPr>
          <w:rFonts w:ascii="Segoe UI" w:hAnsi="Segoe UI" w:cs="Segoe UI"/>
        </w:rPr>
        <w:t xml:space="preserve">projecting </w:t>
      </w:r>
      <w:r w:rsidR="0F5BD2F3" w:rsidRPr="293D3C50">
        <w:rPr>
          <w:rFonts w:ascii="Segoe UI" w:hAnsi="Segoe UI" w:cs="Segoe UI"/>
        </w:rPr>
        <w:t>outyear</w:t>
      </w:r>
      <w:r w:rsidR="63E011D6" w:rsidRPr="293D3C50">
        <w:rPr>
          <w:rFonts w:ascii="Segoe UI" w:hAnsi="Segoe UI" w:cs="Segoe UI"/>
        </w:rPr>
        <w:t xml:space="preserve"> </w:t>
      </w:r>
      <w:r w:rsidR="67C7B8CA" w:rsidRPr="293D3C50">
        <w:rPr>
          <w:rFonts w:ascii="Segoe UI" w:hAnsi="Segoe UI" w:cs="Segoe UI"/>
        </w:rPr>
        <w:t xml:space="preserve">budgetary </w:t>
      </w:r>
      <w:r w:rsidR="63E011D6" w:rsidRPr="293D3C50">
        <w:rPr>
          <w:rFonts w:ascii="Segoe UI" w:hAnsi="Segoe UI" w:cs="Segoe UI"/>
        </w:rPr>
        <w:t xml:space="preserve">requirements based on the PPM and </w:t>
      </w:r>
      <w:r w:rsidR="1659C8B6" w:rsidRPr="293D3C50">
        <w:rPr>
          <w:rFonts w:ascii="Segoe UI" w:hAnsi="Segoe UI" w:cs="Segoe UI"/>
        </w:rPr>
        <w:t>Patent Trial and Appeal Board</w:t>
      </w:r>
      <w:r w:rsidR="63E011D6" w:rsidRPr="293D3C50">
        <w:rPr>
          <w:rFonts w:ascii="Segoe UI" w:hAnsi="Segoe UI" w:cs="Segoe UI"/>
        </w:rPr>
        <w:t xml:space="preserve"> </w:t>
      </w:r>
      <w:r w:rsidR="1659C8B6" w:rsidRPr="293D3C50">
        <w:rPr>
          <w:rFonts w:ascii="Segoe UI" w:hAnsi="Segoe UI" w:cs="Segoe UI"/>
        </w:rPr>
        <w:t>(</w:t>
      </w:r>
      <w:r w:rsidR="63E011D6" w:rsidRPr="293D3C50">
        <w:rPr>
          <w:rFonts w:ascii="Segoe UI" w:hAnsi="Segoe UI" w:cs="Segoe UI"/>
        </w:rPr>
        <w:t>PTAB</w:t>
      </w:r>
      <w:r w:rsidR="1659C8B6" w:rsidRPr="293D3C50">
        <w:rPr>
          <w:rFonts w:ascii="Segoe UI" w:hAnsi="Segoe UI" w:cs="Segoe UI"/>
        </w:rPr>
        <w:t>)</w:t>
      </w:r>
      <w:r w:rsidR="7B54B3A4" w:rsidRPr="293D3C50">
        <w:rPr>
          <w:rFonts w:ascii="Segoe UI" w:hAnsi="Segoe UI" w:cs="Segoe UI"/>
        </w:rPr>
        <w:t xml:space="preserve"> production </w:t>
      </w:r>
      <w:r w:rsidR="4A853356" w:rsidRPr="293D3C50">
        <w:rPr>
          <w:rFonts w:ascii="Segoe UI" w:hAnsi="Segoe UI" w:cs="Segoe UI"/>
        </w:rPr>
        <w:lastRenderedPageBreak/>
        <w:t>model</w:t>
      </w:r>
      <w:r w:rsidR="63E011D6" w:rsidRPr="293D3C50">
        <w:rPr>
          <w:rFonts w:ascii="Segoe UI" w:hAnsi="Segoe UI" w:cs="Segoe UI"/>
        </w:rPr>
        <w:t>, as well as business cases for new initiatives.</w:t>
      </w:r>
      <w:r w:rsidR="6863CD96" w:rsidRPr="293D3C50">
        <w:rPr>
          <w:rFonts w:ascii="Segoe UI" w:hAnsi="Segoe UI" w:cs="Segoe UI"/>
        </w:rPr>
        <w:t xml:space="preserve"> </w:t>
      </w:r>
      <w:r w:rsidR="63E011D6" w:rsidRPr="293D3C50">
        <w:rPr>
          <w:rFonts w:ascii="Segoe UI" w:hAnsi="Segoe UI" w:cs="Segoe UI"/>
        </w:rPr>
        <w:t xml:space="preserve">The </w:t>
      </w:r>
      <w:r w:rsidR="41242DF1" w:rsidRPr="293D3C50">
        <w:rPr>
          <w:rFonts w:ascii="Segoe UI" w:hAnsi="Segoe UI" w:cs="Segoe UI"/>
        </w:rPr>
        <w:t xml:space="preserve">agency also bases the </w:t>
      </w:r>
      <w:r w:rsidR="63E011D6" w:rsidRPr="293D3C50">
        <w:rPr>
          <w:rFonts w:ascii="Segoe UI" w:hAnsi="Segoe UI" w:cs="Segoe UI"/>
        </w:rPr>
        <w:t xml:space="preserve">process </w:t>
      </w:r>
      <w:r w:rsidR="0F5BD2F3" w:rsidRPr="293D3C50">
        <w:rPr>
          <w:rFonts w:ascii="Segoe UI" w:hAnsi="Segoe UI" w:cs="Segoe UI"/>
        </w:rPr>
        <w:t xml:space="preserve">on a framework of continuous and comprehensive budget reviews </w:t>
      </w:r>
      <w:r w:rsidR="4604F124" w:rsidRPr="293D3C50">
        <w:rPr>
          <w:rFonts w:ascii="Segoe UI" w:hAnsi="Segoe UI" w:cs="Segoe UI"/>
        </w:rPr>
        <w:t xml:space="preserve">of </w:t>
      </w:r>
      <w:r w:rsidR="0C641538" w:rsidRPr="293D3C50">
        <w:rPr>
          <w:rFonts w:ascii="Segoe UI" w:hAnsi="Segoe UI" w:cs="Segoe UI"/>
        </w:rPr>
        <w:t xml:space="preserve">all operational and administrative cost </w:t>
      </w:r>
      <w:r w:rsidR="2FD0B7B1" w:rsidRPr="293D3C50">
        <w:rPr>
          <w:rFonts w:ascii="Segoe UI" w:hAnsi="Segoe UI" w:cs="Segoe UI"/>
        </w:rPr>
        <w:t>estimates and projections</w:t>
      </w:r>
      <w:r w:rsidR="1639B295" w:rsidRPr="293D3C50">
        <w:rPr>
          <w:rFonts w:ascii="Segoe UI" w:hAnsi="Segoe UI" w:cs="Segoe UI"/>
        </w:rPr>
        <w:t>.</w:t>
      </w:r>
      <w:r w:rsidR="0C641538" w:rsidRPr="293D3C50">
        <w:rPr>
          <w:rFonts w:ascii="Segoe UI" w:hAnsi="Segoe UI" w:cs="Segoe UI"/>
        </w:rPr>
        <w:t xml:space="preserve"> </w:t>
      </w:r>
      <w:r w:rsidR="18A1711C" w:rsidRPr="293D3C50">
        <w:rPr>
          <w:rFonts w:ascii="Segoe UI" w:hAnsi="Segoe UI" w:cs="Segoe UI"/>
        </w:rPr>
        <w:t>The USPTO mitigates risk by retaining operating reserve balances and</w:t>
      </w:r>
      <w:r w:rsidR="621C1E5F" w:rsidRPr="293D3C50">
        <w:rPr>
          <w:rFonts w:ascii="Segoe UI" w:hAnsi="Segoe UI" w:cs="Segoe UI"/>
        </w:rPr>
        <w:t>, w</w:t>
      </w:r>
      <w:r w:rsidR="57FB1417" w:rsidRPr="293D3C50">
        <w:rPr>
          <w:rFonts w:ascii="Segoe UI" w:hAnsi="Segoe UI" w:cs="Segoe UI"/>
        </w:rPr>
        <w:t>hen necessary,</w:t>
      </w:r>
      <w:r w:rsidR="63E011D6" w:rsidRPr="293D3C50">
        <w:rPr>
          <w:rFonts w:ascii="Segoe UI" w:hAnsi="Segoe UI" w:cs="Segoe UI"/>
        </w:rPr>
        <w:t xml:space="preserve"> </w:t>
      </w:r>
      <w:r w:rsidR="3BB9A813" w:rsidRPr="293D3C50">
        <w:rPr>
          <w:rFonts w:ascii="Segoe UI" w:hAnsi="Segoe UI" w:cs="Segoe UI"/>
        </w:rPr>
        <w:t>reallocat</w:t>
      </w:r>
      <w:r w:rsidR="2B22939E" w:rsidRPr="293D3C50">
        <w:rPr>
          <w:rFonts w:ascii="Segoe UI" w:hAnsi="Segoe UI" w:cs="Segoe UI"/>
        </w:rPr>
        <w:t>es</w:t>
      </w:r>
      <w:r w:rsidR="57FB1417" w:rsidRPr="293D3C50">
        <w:rPr>
          <w:rFonts w:ascii="Segoe UI" w:hAnsi="Segoe UI" w:cs="Segoe UI"/>
        </w:rPr>
        <w:t xml:space="preserve"> </w:t>
      </w:r>
      <w:r w:rsidR="63E011D6" w:rsidRPr="293D3C50">
        <w:rPr>
          <w:rFonts w:ascii="Segoe UI" w:hAnsi="Segoe UI" w:cs="Segoe UI"/>
        </w:rPr>
        <w:t>funds to high</w:t>
      </w:r>
      <w:r w:rsidR="14860730" w:rsidRPr="293D3C50">
        <w:rPr>
          <w:rFonts w:ascii="Segoe UI" w:hAnsi="Segoe UI" w:cs="Segoe UI"/>
        </w:rPr>
        <w:t xml:space="preserve">er </w:t>
      </w:r>
      <w:r w:rsidR="63E011D6" w:rsidRPr="293D3C50">
        <w:rPr>
          <w:rFonts w:ascii="Segoe UI" w:hAnsi="Segoe UI" w:cs="Segoe UI"/>
        </w:rPr>
        <w:t>priority and effective programs</w:t>
      </w:r>
      <w:r w:rsidR="4CDF4ABE" w:rsidRPr="293D3C50">
        <w:rPr>
          <w:rFonts w:ascii="Segoe UI" w:hAnsi="Segoe UI" w:cs="Segoe UI"/>
        </w:rPr>
        <w:t xml:space="preserve"> (</w:t>
      </w:r>
      <w:r w:rsidR="63E011D6" w:rsidRPr="293D3C50">
        <w:rPr>
          <w:rFonts w:ascii="Segoe UI" w:hAnsi="Segoe UI" w:cs="Segoe UI"/>
        </w:rPr>
        <w:t>primarily core mission activities</w:t>
      </w:r>
      <w:r w:rsidR="5D465A3B" w:rsidRPr="293D3C50">
        <w:rPr>
          <w:rFonts w:ascii="Segoe UI" w:hAnsi="Segoe UI" w:cs="Segoe UI"/>
        </w:rPr>
        <w:t>)</w:t>
      </w:r>
      <w:r w:rsidR="63E011D6" w:rsidRPr="293D3C50">
        <w:rPr>
          <w:rFonts w:ascii="Segoe UI" w:hAnsi="Segoe UI" w:cs="Segoe UI"/>
        </w:rPr>
        <w:t>.</w:t>
      </w:r>
    </w:p>
    <w:p w14:paraId="6EB48973" w14:textId="6E6A3F90" w:rsidR="0086407D" w:rsidRPr="00CF6436" w:rsidRDefault="3990B6C3" w:rsidP="293D3C50">
      <w:pPr>
        <w:pStyle w:val="ListParagraph"/>
        <w:numPr>
          <w:ilvl w:val="0"/>
          <w:numId w:val="3"/>
        </w:numPr>
        <w:tabs>
          <w:tab w:val="left" w:pos="450"/>
        </w:tabs>
        <w:spacing w:line="360" w:lineRule="auto"/>
        <w:rPr>
          <w:rFonts w:ascii="Segoe UI" w:hAnsi="Segoe UI" w:cs="Segoe UI"/>
        </w:rPr>
      </w:pPr>
      <w:r w:rsidRPr="4D73D37B">
        <w:rPr>
          <w:rFonts w:ascii="Segoe UI" w:hAnsi="Segoe UI" w:cs="Segoe UI"/>
        </w:rPr>
        <w:t xml:space="preserve">The </w:t>
      </w:r>
      <w:r w:rsidR="1E7622E3" w:rsidRPr="4D73D37B">
        <w:rPr>
          <w:rFonts w:ascii="Segoe UI" w:hAnsi="Segoe UI" w:cs="Segoe UI"/>
        </w:rPr>
        <w:t>USPTO</w:t>
      </w:r>
      <w:r w:rsidRPr="4D73D37B">
        <w:rPr>
          <w:rFonts w:ascii="Segoe UI" w:hAnsi="Segoe UI" w:cs="Segoe UI"/>
        </w:rPr>
        <w:t xml:space="preserve"> assumes that</w:t>
      </w:r>
      <w:r w:rsidR="08F2BBDE" w:rsidRPr="4D73D37B">
        <w:rPr>
          <w:rFonts w:ascii="Segoe UI" w:hAnsi="Segoe UI" w:cs="Segoe UI"/>
        </w:rPr>
        <w:t>, over th</w:t>
      </w:r>
      <w:r w:rsidR="477A3BAD" w:rsidRPr="4D73D37B">
        <w:rPr>
          <w:rFonts w:ascii="Segoe UI" w:hAnsi="Segoe UI" w:cs="Segoe UI"/>
        </w:rPr>
        <w:t>e</w:t>
      </w:r>
      <w:r w:rsidR="08F2BBDE" w:rsidRPr="4D73D37B">
        <w:rPr>
          <w:rFonts w:ascii="Segoe UI" w:hAnsi="Segoe UI" w:cs="Segoe UI"/>
        </w:rPr>
        <w:t xml:space="preserve"> five-year horizon</w:t>
      </w:r>
      <w:r w:rsidR="141AD5C5" w:rsidRPr="4D73D37B">
        <w:rPr>
          <w:rFonts w:ascii="Segoe UI" w:hAnsi="Segoe UI" w:cs="Segoe UI"/>
        </w:rPr>
        <w:t xml:space="preserve"> analyzed</w:t>
      </w:r>
      <w:r w:rsidR="08F2BBDE" w:rsidRPr="4D73D37B">
        <w:rPr>
          <w:rFonts w:ascii="Segoe UI" w:hAnsi="Segoe UI" w:cs="Segoe UI"/>
        </w:rPr>
        <w:t>,</w:t>
      </w:r>
      <w:r w:rsidRPr="4D73D37B">
        <w:rPr>
          <w:rFonts w:ascii="Segoe UI" w:hAnsi="Segoe UI" w:cs="Segoe UI"/>
        </w:rPr>
        <w:t xml:space="preserve"> the relative similarity of aggregate revenue totals for </w:t>
      </w:r>
      <w:r w:rsidR="63C232AF" w:rsidRPr="4D73D37B">
        <w:rPr>
          <w:rFonts w:ascii="Segoe UI" w:hAnsi="Segoe UI" w:cs="Segoe UI"/>
        </w:rPr>
        <w:t>three</w:t>
      </w:r>
      <w:r w:rsidRPr="4D73D37B">
        <w:rPr>
          <w:rFonts w:ascii="Segoe UI" w:hAnsi="Segoe UI" w:cs="Segoe UI"/>
        </w:rPr>
        <w:t xml:space="preserve"> of the </w:t>
      </w:r>
      <w:r w:rsidR="63C232AF" w:rsidRPr="4D73D37B">
        <w:rPr>
          <w:rFonts w:ascii="Segoe UI" w:hAnsi="Segoe UI" w:cs="Segoe UI"/>
        </w:rPr>
        <w:t>four</w:t>
      </w:r>
      <w:r w:rsidRPr="4D73D37B">
        <w:rPr>
          <w:rFonts w:ascii="Segoe UI" w:hAnsi="Segoe UI" w:cs="Segoe UI"/>
        </w:rPr>
        <w:t xml:space="preserve"> alternatives does not produce variation in the PPM estimates.</w:t>
      </w:r>
      <w:r w:rsidR="64072191" w:rsidRPr="4D73D37B">
        <w:rPr>
          <w:rFonts w:ascii="Segoe UI" w:hAnsi="Segoe UI" w:cs="Segoe UI"/>
        </w:rPr>
        <w:t xml:space="preserve"> </w:t>
      </w:r>
      <w:r w:rsidRPr="4D73D37B">
        <w:rPr>
          <w:rFonts w:ascii="Segoe UI" w:hAnsi="Segoe UI" w:cs="Segoe UI"/>
        </w:rPr>
        <w:t>Therefore, all alternatives rely on a single PPM, which explains why</w:t>
      </w:r>
      <w:r w:rsidR="54E254C5" w:rsidRPr="4D73D37B">
        <w:rPr>
          <w:rFonts w:ascii="Segoe UI" w:hAnsi="Segoe UI" w:cs="Segoe UI"/>
        </w:rPr>
        <w:t xml:space="preserve"> estimates for</w:t>
      </w:r>
      <w:r w:rsidRPr="4D73D37B">
        <w:rPr>
          <w:rFonts w:ascii="Segoe UI" w:hAnsi="Segoe UI" w:cs="Segoe UI"/>
        </w:rPr>
        <w:t xml:space="preserve"> backlog,</w:t>
      </w:r>
      <w:r w:rsidR="1DF337D0" w:rsidRPr="4D73D37B">
        <w:rPr>
          <w:rFonts w:ascii="Segoe UI" w:hAnsi="Segoe UI" w:cs="Segoe UI"/>
        </w:rPr>
        <w:t xml:space="preserve"> pendency,</w:t>
      </w:r>
      <w:r w:rsidRPr="4D73D37B">
        <w:rPr>
          <w:rFonts w:ascii="Segoe UI" w:hAnsi="Segoe UI" w:cs="Segoe UI"/>
        </w:rPr>
        <w:t xml:space="preserve"> and patents granted are identical across these alternatives.</w:t>
      </w:r>
    </w:p>
    <w:p w14:paraId="1F09E9E7" w14:textId="77777777" w:rsidR="002F5893" w:rsidRPr="00CF6436" w:rsidRDefault="002F5893" w:rsidP="00CF6436">
      <w:pPr>
        <w:pStyle w:val="ListParagraph"/>
        <w:spacing w:line="360" w:lineRule="auto"/>
        <w:rPr>
          <w:rFonts w:ascii="Segoe UI" w:hAnsi="Segoe UI" w:cs="Segoe UI"/>
          <w:color w:val="000000" w:themeColor="text1"/>
        </w:rPr>
      </w:pPr>
    </w:p>
    <w:p w14:paraId="5A5F16C3" w14:textId="77777777" w:rsidR="001F605E" w:rsidRPr="00CF6436" w:rsidRDefault="00084BA8" w:rsidP="001C36C8">
      <w:pPr>
        <w:pStyle w:val="Heading3Numbering"/>
        <w:numPr>
          <w:ilvl w:val="2"/>
          <w:numId w:val="7"/>
        </w:numPr>
        <w:spacing w:after="0" w:line="360" w:lineRule="auto"/>
        <w:rPr>
          <w:rFonts w:ascii="Segoe UI" w:hAnsi="Segoe UI" w:cs="Segoe UI"/>
        </w:rPr>
      </w:pPr>
      <w:r w:rsidRPr="00CF6436">
        <w:rPr>
          <w:rFonts w:ascii="Segoe UI" w:hAnsi="Segoe UI" w:cs="Segoe UI"/>
        </w:rPr>
        <w:t>Constraints</w:t>
      </w:r>
    </w:p>
    <w:p w14:paraId="0CF91A7F" w14:textId="12B3AB86" w:rsidR="009F351C" w:rsidRPr="00CF6436" w:rsidRDefault="39C35492" w:rsidP="00EA247B">
      <w:pPr>
        <w:pStyle w:val="ListParagraph"/>
        <w:numPr>
          <w:ilvl w:val="0"/>
          <w:numId w:val="8"/>
        </w:numPr>
        <w:spacing w:line="360" w:lineRule="auto"/>
        <w:rPr>
          <w:rFonts w:ascii="Segoe UI" w:hAnsi="Segoe UI" w:cs="Segoe UI"/>
        </w:rPr>
      </w:pPr>
      <w:r w:rsidRPr="293D3C50">
        <w:rPr>
          <w:rFonts w:ascii="Segoe UI" w:hAnsi="Segoe UI" w:cs="Segoe UI"/>
        </w:rPr>
        <w:t xml:space="preserve">Monetizing and quantifying certain impacts of patent fees on the economy and rate </w:t>
      </w:r>
      <w:r w:rsidR="3745543F" w:rsidRPr="293D3C50">
        <w:rPr>
          <w:rFonts w:ascii="Segoe UI" w:hAnsi="Segoe UI" w:cs="Segoe UI"/>
        </w:rPr>
        <w:t xml:space="preserve">of innovation </w:t>
      </w:r>
      <w:r w:rsidR="759F42EC" w:rsidRPr="293D3C50">
        <w:rPr>
          <w:rFonts w:ascii="Segoe UI" w:hAnsi="Segoe UI" w:cs="Segoe UI"/>
        </w:rPr>
        <w:t xml:space="preserve">are </w:t>
      </w:r>
      <w:r w:rsidRPr="293D3C50">
        <w:rPr>
          <w:rFonts w:ascii="Segoe UI" w:hAnsi="Segoe UI" w:cs="Segoe UI"/>
        </w:rPr>
        <w:t xml:space="preserve">inherently </w:t>
      </w:r>
      <w:r w:rsidR="1E7BD667" w:rsidRPr="293D3C50">
        <w:rPr>
          <w:rFonts w:ascii="Segoe UI" w:hAnsi="Segoe UI" w:cs="Segoe UI"/>
        </w:rPr>
        <w:t xml:space="preserve">challenging </w:t>
      </w:r>
      <w:r w:rsidR="7B929DEB" w:rsidRPr="293D3C50">
        <w:rPr>
          <w:rFonts w:ascii="Segoe UI" w:hAnsi="Segoe UI" w:cs="Segoe UI"/>
        </w:rPr>
        <w:t>due to the number of variables involved</w:t>
      </w:r>
      <w:r w:rsidR="3CAA5A86" w:rsidRPr="293D3C50">
        <w:rPr>
          <w:rFonts w:ascii="Segoe UI" w:hAnsi="Segoe UI" w:cs="Segoe UI"/>
        </w:rPr>
        <w:t>,</w:t>
      </w:r>
      <w:r w:rsidR="7B929DEB" w:rsidRPr="293D3C50">
        <w:rPr>
          <w:rFonts w:ascii="Segoe UI" w:hAnsi="Segoe UI" w:cs="Segoe UI"/>
        </w:rPr>
        <w:t xml:space="preserve"> the difficulty in predicting economic activity</w:t>
      </w:r>
      <w:r w:rsidR="3CAA5A86" w:rsidRPr="293D3C50">
        <w:rPr>
          <w:rFonts w:ascii="Segoe UI" w:hAnsi="Segoe UI" w:cs="Segoe UI"/>
        </w:rPr>
        <w:t xml:space="preserve">, and </w:t>
      </w:r>
      <w:r w:rsidR="58C3DBD5" w:rsidRPr="293D3C50">
        <w:rPr>
          <w:rFonts w:ascii="Segoe UI" w:hAnsi="Segoe UI" w:cs="Segoe UI"/>
        </w:rPr>
        <w:t xml:space="preserve">a lack of </w:t>
      </w:r>
      <w:r w:rsidR="789DCB8A" w:rsidRPr="293D3C50">
        <w:rPr>
          <w:rFonts w:ascii="Segoe UI" w:hAnsi="Segoe UI" w:cs="Segoe UI"/>
        </w:rPr>
        <w:t>available</w:t>
      </w:r>
      <w:r w:rsidR="3CAA5A86" w:rsidRPr="293D3C50">
        <w:rPr>
          <w:rFonts w:ascii="Segoe UI" w:hAnsi="Segoe UI" w:cs="Segoe UI"/>
        </w:rPr>
        <w:t xml:space="preserve"> data, especially</w:t>
      </w:r>
      <w:r w:rsidR="3745543F" w:rsidRPr="293D3C50">
        <w:rPr>
          <w:rFonts w:ascii="Segoe UI" w:hAnsi="Segoe UI" w:cs="Segoe UI"/>
        </w:rPr>
        <w:t xml:space="preserve"> regarding</w:t>
      </w:r>
      <w:r w:rsidR="3CAA5A86" w:rsidRPr="293D3C50">
        <w:rPr>
          <w:rFonts w:ascii="Segoe UI" w:hAnsi="Segoe UI" w:cs="Segoe UI"/>
        </w:rPr>
        <w:t xml:space="preserve"> private</w:t>
      </w:r>
      <w:r w:rsidR="27DAEA6D" w:rsidRPr="293D3C50">
        <w:rPr>
          <w:rFonts w:ascii="Segoe UI" w:hAnsi="Segoe UI" w:cs="Segoe UI"/>
        </w:rPr>
        <w:t>-</w:t>
      </w:r>
      <w:r w:rsidR="3CAA5A86" w:rsidRPr="293D3C50">
        <w:rPr>
          <w:rFonts w:ascii="Segoe UI" w:hAnsi="Segoe UI" w:cs="Segoe UI"/>
        </w:rPr>
        <w:t>sector behavior</w:t>
      </w:r>
      <w:r w:rsidR="7B929DEB" w:rsidRPr="293D3C50">
        <w:rPr>
          <w:rFonts w:ascii="Segoe UI" w:hAnsi="Segoe UI" w:cs="Segoe UI"/>
        </w:rPr>
        <w:t>.</w:t>
      </w:r>
      <w:r w:rsidR="611FAAC7" w:rsidRPr="293D3C50">
        <w:rPr>
          <w:rFonts w:ascii="Segoe UI" w:hAnsi="Segoe UI" w:cs="Segoe UI"/>
        </w:rPr>
        <w:t xml:space="preserve"> </w:t>
      </w:r>
      <w:r w:rsidR="07D4353F" w:rsidRPr="293D3C50">
        <w:rPr>
          <w:rFonts w:ascii="Segoe UI" w:hAnsi="Segoe UI" w:cs="Segoe UI"/>
        </w:rPr>
        <w:t xml:space="preserve">For example, the </w:t>
      </w:r>
      <w:r w:rsidR="7B30EC7D" w:rsidRPr="293D3C50">
        <w:rPr>
          <w:rFonts w:ascii="Segoe UI" w:hAnsi="Segoe UI" w:cs="Segoe UI"/>
        </w:rPr>
        <w:t>USPTO</w:t>
      </w:r>
      <w:r w:rsidR="07D4353F" w:rsidRPr="293D3C50">
        <w:rPr>
          <w:rFonts w:ascii="Segoe UI" w:hAnsi="Segoe UI" w:cs="Segoe UI"/>
        </w:rPr>
        <w:t xml:space="preserve"> collects data </w:t>
      </w:r>
      <w:r w:rsidR="46B7EE00" w:rsidRPr="293D3C50">
        <w:rPr>
          <w:rFonts w:ascii="Segoe UI" w:hAnsi="Segoe UI" w:cs="Segoe UI"/>
        </w:rPr>
        <w:t xml:space="preserve">only </w:t>
      </w:r>
      <w:r w:rsidR="07D4353F" w:rsidRPr="293D3C50">
        <w:rPr>
          <w:rFonts w:ascii="Segoe UI" w:hAnsi="Segoe UI" w:cs="Segoe UI"/>
        </w:rPr>
        <w:t>on innovation activity that results in a patent application or other action.</w:t>
      </w:r>
      <w:r w:rsidR="611FAAC7" w:rsidRPr="293D3C50">
        <w:rPr>
          <w:rFonts w:ascii="Segoe UI" w:hAnsi="Segoe UI" w:cs="Segoe UI"/>
        </w:rPr>
        <w:t xml:space="preserve"> </w:t>
      </w:r>
      <w:r w:rsidR="07D4353F" w:rsidRPr="293D3C50">
        <w:rPr>
          <w:rFonts w:ascii="Segoe UI" w:hAnsi="Segoe UI" w:cs="Segoe UI"/>
        </w:rPr>
        <w:t xml:space="preserve">Innovative actions that do not result in fees paid to the </w:t>
      </w:r>
      <w:r w:rsidR="7B30EC7D" w:rsidRPr="293D3C50">
        <w:rPr>
          <w:rFonts w:ascii="Segoe UI" w:hAnsi="Segoe UI" w:cs="Segoe UI"/>
        </w:rPr>
        <w:t>USPTO</w:t>
      </w:r>
      <w:r w:rsidR="07D4353F" w:rsidRPr="293D3C50">
        <w:rPr>
          <w:rFonts w:ascii="Segoe UI" w:hAnsi="Segoe UI" w:cs="Segoe UI"/>
        </w:rPr>
        <w:t xml:space="preserve"> for a defined service are not captured in </w:t>
      </w:r>
      <w:r w:rsidR="3A1E675F" w:rsidRPr="293D3C50">
        <w:rPr>
          <w:rFonts w:ascii="Segoe UI" w:hAnsi="Segoe UI" w:cs="Segoe UI"/>
        </w:rPr>
        <w:t>agency</w:t>
      </w:r>
      <w:r w:rsidR="07D4353F" w:rsidRPr="293D3C50">
        <w:rPr>
          <w:rFonts w:ascii="Segoe UI" w:hAnsi="Segoe UI" w:cs="Segoe UI"/>
        </w:rPr>
        <w:t xml:space="preserve"> databases, thus making it challenging to estimate and forecast the true breadth and depth of the </w:t>
      </w:r>
      <w:r w:rsidR="2660E416" w:rsidRPr="293D3C50">
        <w:rPr>
          <w:rFonts w:ascii="Segoe UI" w:hAnsi="Segoe UI" w:cs="Segoe UI"/>
        </w:rPr>
        <w:t>IP</w:t>
      </w:r>
      <w:r w:rsidR="76B566DA" w:rsidRPr="293D3C50">
        <w:rPr>
          <w:rFonts w:ascii="Segoe UI" w:hAnsi="Segoe UI" w:cs="Segoe UI"/>
        </w:rPr>
        <w:t xml:space="preserve"> </w:t>
      </w:r>
      <w:r w:rsidR="07D4353F" w:rsidRPr="293D3C50">
        <w:rPr>
          <w:rFonts w:ascii="Segoe UI" w:hAnsi="Segoe UI" w:cs="Segoe UI"/>
        </w:rPr>
        <w:t>economy for patents.</w:t>
      </w:r>
    </w:p>
    <w:p w14:paraId="4B7A43F1" w14:textId="7E846697" w:rsidR="00A47E65" w:rsidRDefault="0606B2C6" w:rsidP="00EA247B">
      <w:pPr>
        <w:pStyle w:val="ListParagraph"/>
        <w:numPr>
          <w:ilvl w:val="0"/>
          <w:numId w:val="8"/>
        </w:numPr>
        <w:spacing w:line="360" w:lineRule="auto"/>
        <w:rPr>
          <w:rFonts w:ascii="Segoe UI" w:hAnsi="Segoe UI" w:cs="Segoe UI"/>
        </w:rPr>
      </w:pPr>
      <w:r w:rsidRPr="293D3C50">
        <w:rPr>
          <w:rFonts w:ascii="Segoe UI" w:hAnsi="Segoe UI" w:cs="Segoe UI"/>
        </w:rPr>
        <w:t xml:space="preserve">The USPTO used </w:t>
      </w:r>
      <w:r w:rsidR="07D4353F" w:rsidRPr="293D3C50">
        <w:rPr>
          <w:rFonts w:ascii="Segoe UI" w:hAnsi="Segoe UI" w:cs="Segoe UI"/>
        </w:rPr>
        <w:t>RGDP</w:t>
      </w:r>
      <w:r w:rsidR="7B30EC7D" w:rsidRPr="293D3C50">
        <w:rPr>
          <w:rFonts w:ascii="Segoe UI" w:hAnsi="Segoe UI" w:cs="Segoe UI"/>
        </w:rPr>
        <w:t xml:space="preserve"> </w:t>
      </w:r>
      <w:r w:rsidR="0C471AFB" w:rsidRPr="293D3C50">
        <w:rPr>
          <w:rFonts w:ascii="Segoe UI" w:hAnsi="Segoe UI" w:cs="Segoe UI"/>
        </w:rPr>
        <w:t>as a general proxy for the health of the domestic economy</w:t>
      </w:r>
      <w:r w:rsidR="07D4353F" w:rsidRPr="293D3C50">
        <w:rPr>
          <w:rFonts w:ascii="Segoe UI" w:hAnsi="Segoe UI" w:cs="Segoe UI"/>
        </w:rPr>
        <w:t>.</w:t>
      </w:r>
    </w:p>
    <w:p w14:paraId="3860AD69" w14:textId="77777777" w:rsidR="00A47E65" w:rsidRDefault="00A47E65">
      <w:pPr>
        <w:spacing w:after="200" w:line="276" w:lineRule="auto"/>
        <w:rPr>
          <w:rFonts w:ascii="Segoe UI" w:hAnsi="Segoe UI" w:cs="Segoe UI"/>
        </w:rPr>
      </w:pPr>
      <w:r>
        <w:rPr>
          <w:rFonts w:ascii="Segoe UI" w:hAnsi="Segoe UI" w:cs="Segoe UI"/>
        </w:rPr>
        <w:br w:type="page"/>
      </w:r>
    </w:p>
    <w:p w14:paraId="2C8D4B2B" w14:textId="31EACC31" w:rsidR="007E4EF2" w:rsidRPr="00A47E65" w:rsidRDefault="171745B7" w:rsidP="00A47E65">
      <w:pPr>
        <w:pStyle w:val="ListParagraph"/>
        <w:numPr>
          <w:ilvl w:val="0"/>
          <w:numId w:val="8"/>
        </w:numPr>
        <w:spacing w:line="360" w:lineRule="auto"/>
        <w:rPr>
          <w:rFonts w:ascii="Segoe UI" w:hAnsi="Segoe UI" w:cs="Segoe UI"/>
        </w:rPr>
      </w:pPr>
      <w:r w:rsidRPr="00A47E65">
        <w:rPr>
          <w:rFonts w:ascii="Segoe UI" w:hAnsi="Segoe UI" w:cs="Segoe UI"/>
        </w:rPr>
        <w:lastRenderedPageBreak/>
        <w:t>Estimates appearing in this RIA should not</w:t>
      </w:r>
      <w:r w:rsidR="0E96AE00" w:rsidRPr="00A47E65">
        <w:rPr>
          <w:rFonts w:ascii="Segoe UI" w:hAnsi="Segoe UI" w:cs="Segoe UI"/>
        </w:rPr>
        <w:t xml:space="preserve"> </w:t>
      </w:r>
      <w:r w:rsidR="53A22ADF" w:rsidRPr="00A47E65">
        <w:rPr>
          <w:rFonts w:ascii="Segoe UI" w:hAnsi="Segoe UI" w:cs="Segoe UI"/>
        </w:rPr>
        <w:t xml:space="preserve">be </w:t>
      </w:r>
      <w:r w:rsidR="6B373517" w:rsidRPr="00A47E65">
        <w:rPr>
          <w:rFonts w:ascii="Segoe UI" w:hAnsi="Segoe UI" w:cs="Segoe UI"/>
        </w:rPr>
        <w:t>considered</w:t>
      </w:r>
      <w:r w:rsidR="0E96AE00" w:rsidRPr="00A47E65">
        <w:rPr>
          <w:rFonts w:ascii="Segoe UI" w:hAnsi="Segoe UI" w:cs="Segoe UI"/>
        </w:rPr>
        <w:t xml:space="preserve"> as </w:t>
      </w:r>
      <w:r w:rsidR="4F5A0AA6" w:rsidRPr="00A47E65">
        <w:rPr>
          <w:rFonts w:ascii="Segoe UI" w:hAnsi="Segoe UI" w:cs="Segoe UI"/>
        </w:rPr>
        <w:t xml:space="preserve">the </w:t>
      </w:r>
      <w:r w:rsidRPr="00A47E65">
        <w:rPr>
          <w:rFonts w:ascii="Segoe UI" w:hAnsi="Segoe UI" w:cs="Segoe UI"/>
        </w:rPr>
        <w:t xml:space="preserve">USPTO </w:t>
      </w:r>
      <w:r w:rsidR="0E96AE00" w:rsidRPr="00A47E65">
        <w:rPr>
          <w:rFonts w:ascii="Segoe UI" w:hAnsi="Segoe UI" w:cs="Segoe UI"/>
        </w:rPr>
        <w:t>calculati</w:t>
      </w:r>
      <w:r w:rsidR="64257A31" w:rsidRPr="00A47E65">
        <w:rPr>
          <w:rFonts w:ascii="Segoe UI" w:hAnsi="Segoe UI" w:cs="Segoe UI"/>
        </w:rPr>
        <w:t>o</w:t>
      </w:r>
      <w:r w:rsidR="0E96AE00" w:rsidRPr="00A47E65">
        <w:rPr>
          <w:rFonts w:ascii="Segoe UI" w:hAnsi="Segoe UI" w:cs="Segoe UI"/>
        </w:rPr>
        <w:t>n</w:t>
      </w:r>
      <w:r w:rsidR="64257A31" w:rsidRPr="00A47E65">
        <w:rPr>
          <w:rFonts w:ascii="Segoe UI" w:hAnsi="Segoe UI" w:cs="Segoe UI"/>
        </w:rPr>
        <w:t>s of</w:t>
      </w:r>
      <w:r w:rsidR="0E96AE00" w:rsidRPr="00A47E65">
        <w:rPr>
          <w:rFonts w:ascii="Segoe UI" w:hAnsi="Segoe UI" w:cs="Segoe UI"/>
        </w:rPr>
        <w:t xml:space="preserve"> </w:t>
      </w:r>
      <w:r w:rsidRPr="00A47E65">
        <w:rPr>
          <w:rFonts w:ascii="Segoe UI" w:hAnsi="Segoe UI" w:cs="Segoe UI"/>
        </w:rPr>
        <w:t>specific monetized costs or benefits for purposes of economic impacts.</w:t>
      </w:r>
      <w:r w:rsidR="611FAAC7" w:rsidRPr="00A47E65">
        <w:rPr>
          <w:rFonts w:ascii="Segoe UI" w:hAnsi="Segoe UI" w:cs="Segoe UI"/>
        </w:rPr>
        <w:t xml:space="preserve"> </w:t>
      </w:r>
      <w:r w:rsidRPr="00A47E65">
        <w:rPr>
          <w:rFonts w:ascii="Segoe UI" w:hAnsi="Segoe UI" w:cs="Segoe UI"/>
        </w:rPr>
        <w:t xml:space="preserve">Rather, some dollar values appearing in this RIA are necessary to comply with the </w:t>
      </w:r>
      <w:r w:rsidR="3FE48089" w:rsidRPr="00A47E65">
        <w:rPr>
          <w:rFonts w:ascii="Segoe UI" w:hAnsi="Segoe UI" w:cs="Segoe UI"/>
        </w:rPr>
        <w:t xml:space="preserve">AIA </w:t>
      </w:r>
      <w:r w:rsidR="1C2137A3" w:rsidRPr="00A47E65">
        <w:rPr>
          <w:rFonts w:ascii="Segoe UI" w:hAnsi="Segoe UI" w:cs="Segoe UI"/>
        </w:rPr>
        <w:t>s</w:t>
      </w:r>
      <w:r w:rsidRPr="00A47E65">
        <w:rPr>
          <w:rFonts w:ascii="Segoe UI" w:hAnsi="Segoe UI" w:cs="Segoe UI"/>
        </w:rPr>
        <w:t>ection 10 requirement that aggregate revenue recover</w:t>
      </w:r>
      <w:r w:rsidR="582457B9" w:rsidRPr="00A47E65">
        <w:rPr>
          <w:rFonts w:ascii="Segoe UI" w:hAnsi="Segoe UI" w:cs="Segoe UI"/>
        </w:rPr>
        <w:t>s</w:t>
      </w:r>
      <w:r w:rsidRPr="00A47E65">
        <w:rPr>
          <w:rFonts w:ascii="Segoe UI" w:hAnsi="Segoe UI" w:cs="Segoe UI"/>
        </w:rPr>
        <w:t xml:space="preserve"> aggregate costs for purposes of setting or adjust</w:t>
      </w:r>
      <w:r w:rsidR="47DB081E" w:rsidRPr="00A47E65">
        <w:rPr>
          <w:rFonts w:ascii="Segoe UI" w:hAnsi="Segoe UI" w:cs="Segoe UI"/>
        </w:rPr>
        <w:t>ing</w:t>
      </w:r>
      <w:r w:rsidRPr="00A47E65">
        <w:rPr>
          <w:rFonts w:ascii="Segoe UI" w:hAnsi="Segoe UI" w:cs="Segoe UI"/>
        </w:rPr>
        <w:t xml:space="preserve"> fees for patent services.</w:t>
      </w:r>
    </w:p>
    <w:p w14:paraId="0E6F2418" w14:textId="77777777" w:rsidR="009549B6" w:rsidRPr="00CF6436" w:rsidRDefault="009549B6" w:rsidP="00CF6436">
      <w:pPr>
        <w:spacing w:line="360" w:lineRule="auto"/>
        <w:rPr>
          <w:rFonts w:ascii="Segoe UI" w:hAnsi="Segoe UI" w:cs="Segoe UI"/>
          <w:color w:val="1F497D"/>
        </w:rPr>
      </w:pPr>
    </w:p>
    <w:p w14:paraId="58C86AD5" w14:textId="77777777" w:rsidR="00A43E5F" w:rsidRPr="00CF6436" w:rsidRDefault="00A43E5F" w:rsidP="00CF6436">
      <w:pPr>
        <w:pStyle w:val="Heading2Number"/>
        <w:spacing w:line="360" w:lineRule="auto"/>
        <w:rPr>
          <w:rFonts w:ascii="Segoe UI" w:hAnsi="Segoe UI" w:cs="Segoe UI"/>
        </w:rPr>
      </w:pPr>
      <w:bookmarkStart w:id="83" w:name="_Toc327257168"/>
      <w:bookmarkStart w:id="84" w:name="_Toc451951712"/>
      <w:bookmarkStart w:id="85" w:name="_Toc175640423"/>
      <w:bookmarkEnd w:id="25"/>
      <w:bookmarkEnd w:id="26"/>
      <w:bookmarkEnd w:id="27"/>
      <w:bookmarkEnd w:id="83"/>
      <w:r w:rsidRPr="31665127">
        <w:rPr>
          <w:rFonts w:ascii="Segoe UI" w:hAnsi="Segoe UI" w:cs="Segoe UI"/>
        </w:rPr>
        <w:t>Patent System Overview</w:t>
      </w:r>
      <w:bookmarkEnd w:id="84"/>
      <w:bookmarkEnd w:id="85"/>
    </w:p>
    <w:p w14:paraId="6489BA9B" w14:textId="74B2AB69" w:rsidR="00A43E5F" w:rsidRPr="00CF6436" w:rsidRDefault="51F556AE" w:rsidP="293D3C50">
      <w:pPr>
        <w:spacing w:line="360" w:lineRule="auto"/>
        <w:ind w:firstLine="450"/>
        <w:rPr>
          <w:rFonts w:ascii="Segoe UI" w:eastAsiaTheme="majorEastAsia" w:hAnsi="Segoe UI" w:cs="Segoe UI"/>
          <w:b/>
          <w:bCs/>
          <w:color w:val="0000FF" w:themeColor="hyperlink"/>
          <w:sz w:val="26"/>
          <w:szCs w:val="26"/>
          <w:u w:val="single"/>
        </w:rPr>
      </w:pPr>
      <w:r w:rsidRPr="293D3C50">
        <w:rPr>
          <w:rFonts w:ascii="Segoe UI" w:hAnsi="Segoe UI" w:cs="Segoe UI"/>
        </w:rPr>
        <w:t xml:space="preserve">An analysis of the qualitative costs and benefits associated with the </w:t>
      </w:r>
      <w:r w:rsidR="00573A64">
        <w:rPr>
          <w:rFonts w:ascii="Segoe UI" w:hAnsi="Segoe UI" w:cs="Segoe UI"/>
        </w:rPr>
        <w:t>Final</w:t>
      </w:r>
      <w:r w:rsidR="00573A64" w:rsidRPr="293D3C50">
        <w:rPr>
          <w:rFonts w:ascii="Segoe UI" w:hAnsi="Segoe UI" w:cs="Segoe UI"/>
        </w:rPr>
        <w:t xml:space="preserve"> </w:t>
      </w:r>
      <w:r w:rsidR="667E11C4" w:rsidRPr="293D3C50">
        <w:rPr>
          <w:rFonts w:ascii="Segoe UI" w:hAnsi="Segoe UI" w:cs="Segoe UI"/>
        </w:rPr>
        <w:t xml:space="preserve">Patent </w:t>
      </w:r>
      <w:r w:rsidR="179280F5" w:rsidRPr="293D3C50">
        <w:rPr>
          <w:rFonts w:ascii="Segoe UI" w:hAnsi="Segoe UI" w:cs="Segoe UI"/>
        </w:rPr>
        <w:t>Fee Schedule</w:t>
      </w:r>
      <w:r w:rsidRPr="293D3C50">
        <w:rPr>
          <w:rFonts w:ascii="Segoe UI" w:hAnsi="Segoe UI" w:cs="Segoe UI"/>
        </w:rPr>
        <w:t xml:space="preserve"> requires a basic understanding of the overall patent system.</w:t>
      </w:r>
      <w:r w:rsidR="138178D1" w:rsidRPr="293D3C50">
        <w:rPr>
          <w:rFonts w:ascii="Segoe UI" w:hAnsi="Segoe UI" w:cs="Segoe UI"/>
        </w:rPr>
        <w:t xml:space="preserve"> </w:t>
      </w:r>
      <w:r w:rsidR="2330F621" w:rsidRPr="293D3C50">
        <w:rPr>
          <w:rFonts w:ascii="Segoe UI" w:hAnsi="Segoe UI" w:cs="Segoe UI"/>
        </w:rPr>
        <w:t>The</w:t>
      </w:r>
      <w:r w:rsidR="0C419C92" w:rsidRPr="293D3C50">
        <w:rPr>
          <w:rFonts w:ascii="Segoe UI" w:hAnsi="Segoe UI" w:cs="Segoe UI"/>
        </w:rPr>
        <w:t xml:space="preserve"> USPTO website contains a</w:t>
      </w:r>
      <w:r w:rsidR="551EC0F8" w:rsidRPr="293D3C50">
        <w:rPr>
          <w:rFonts w:ascii="Segoe UI" w:hAnsi="Segoe UI" w:cs="Segoe UI"/>
        </w:rPr>
        <w:t xml:space="preserve"> </w:t>
      </w:r>
      <w:hyperlink r:id="rId28">
        <w:r w:rsidR="551EC0F8" w:rsidRPr="293D3C50">
          <w:rPr>
            <w:rStyle w:val="Hyperlink"/>
            <w:rFonts w:ascii="Segoe UI" w:hAnsi="Segoe UI" w:cs="Segoe UI"/>
          </w:rPr>
          <w:t>detailed description of the patent process</w:t>
        </w:r>
      </w:hyperlink>
      <w:r w:rsidR="3A3174C4" w:rsidRPr="293D3C50">
        <w:rPr>
          <w:rFonts w:ascii="Segoe UI" w:hAnsi="Segoe UI" w:cs="Segoe UI"/>
        </w:rPr>
        <w:t>.</w:t>
      </w:r>
    </w:p>
    <w:p w14:paraId="242713B4" w14:textId="3D244D5E" w:rsidR="00393371" w:rsidRDefault="78B18179" w:rsidP="293D3C50">
      <w:pPr>
        <w:spacing w:line="360" w:lineRule="auto"/>
        <w:ind w:firstLine="450"/>
        <w:rPr>
          <w:rFonts w:ascii="Segoe UI" w:hAnsi="Segoe UI" w:cs="Segoe UI"/>
        </w:rPr>
      </w:pPr>
      <w:r w:rsidRPr="17CECF10">
        <w:rPr>
          <w:rFonts w:ascii="Segoe UI" w:hAnsi="Segoe UI" w:cs="Segoe UI"/>
        </w:rPr>
        <w:t xml:space="preserve">A U.S. patent is </w:t>
      </w:r>
      <w:r w:rsidR="14B82CB9" w:rsidRPr="17CECF10">
        <w:rPr>
          <w:rFonts w:ascii="Segoe UI" w:hAnsi="Segoe UI" w:cs="Segoe UI"/>
        </w:rPr>
        <w:t xml:space="preserve">a </w:t>
      </w:r>
      <w:r w:rsidRPr="17CECF10">
        <w:rPr>
          <w:rFonts w:ascii="Segoe UI" w:hAnsi="Segoe UI" w:cs="Segoe UI"/>
        </w:rPr>
        <w:t xml:space="preserve">legal instrument issued by the federal government that provides its owner with exclusive IP rights, including the right to exclude </w:t>
      </w:r>
      <w:r w:rsidR="2E07868D" w:rsidRPr="17CECF10">
        <w:rPr>
          <w:rFonts w:ascii="Segoe UI" w:hAnsi="Segoe UI" w:cs="Segoe UI"/>
        </w:rPr>
        <w:t xml:space="preserve">others from making, using, offering for sale, or selling an invention </w:t>
      </w:r>
      <w:r w:rsidR="05ED6A85" w:rsidRPr="17CECF10">
        <w:rPr>
          <w:rFonts w:ascii="Segoe UI" w:hAnsi="Segoe UI" w:cs="Segoe UI"/>
        </w:rPr>
        <w:t>within</w:t>
      </w:r>
      <w:r w:rsidR="2E07868D" w:rsidRPr="17CECF10">
        <w:rPr>
          <w:rFonts w:ascii="Segoe UI" w:hAnsi="Segoe UI" w:cs="Segoe UI"/>
        </w:rPr>
        <w:t xml:space="preserve"> the </w:t>
      </w:r>
      <w:r w:rsidR="4B840037" w:rsidRPr="17CECF10">
        <w:rPr>
          <w:rFonts w:ascii="Segoe UI" w:hAnsi="Segoe UI" w:cs="Segoe UI"/>
        </w:rPr>
        <w:t>country</w:t>
      </w:r>
      <w:r w:rsidR="2E07868D" w:rsidRPr="17CECF10">
        <w:rPr>
          <w:rFonts w:ascii="Segoe UI" w:hAnsi="Segoe UI" w:cs="Segoe UI"/>
        </w:rPr>
        <w:t xml:space="preserve"> or importing the invention into the United States</w:t>
      </w:r>
      <w:r w:rsidR="3C519ED0" w:rsidRPr="17CECF10">
        <w:rPr>
          <w:rFonts w:ascii="Segoe UI" w:hAnsi="Segoe UI" w:cs="Segoe UI"/>
        </w:rPr>
        <w:t>. This</w:t>
      </w:r>
      <w:r w:rsidR="12BA6C66" w:rsidRPr="17CECF10">
        <w:rPr>
          <w:rFonts w:ascii="Segoe UI" w:hAnsi="Segoe UI" w:cs="Segoe UI"/>
        </w:rPr>
        <w:t xml:space="preserve"> exclusive right </w:t>
      </w:r>
      <w:r w:rsidR="65A2F84C" w:rsidRPr="17CECF10">
        <w:rPr>
          <w:rFonts w:ascii="Segoe UI" w:hAnsi="Segoe UI" w:cs="Segoe UI"/>
        </w:rPr>
        <w:t>is granted only</w:t>
      </w:r>
      <w:r w:rsidR="2E07868D" w:rsidRPr="17CECF10">
        <w:rPr>
          <w:rFonts w:ascii="Segoe UI" w:hAnsi="Segoe UI" w:cs="Segoe UI"/>
        </w:rPr>
        <w:t xml:space="preserve"> for a limited time in exchange for public disclosure of the invention</w:t>
      </w:r>
      <w:r w:rsidR="4AC162C9" w:rsidRPr="17CECF10">
        <w:rPr>
          <w:rFonts w:ascii="Segoe UI" w:hAnsi="Segoe UI" w:cs="Segoe UI"/>
        </w:rPr>
        <w:t>.</w:t>
      </w:r>
      <w:r w:rsidR="6DA66905" w:rsidRPr="17CECF10">
        <w:rPr>
          <w:rFonts w:ascii="Segoe UI" w:hAnsi="Segoe UI" w:cs="Segoe UI"/>
        </w:rPr>
        <w:t xml:space="preserve"> </w:t>
      </w:r>
      <w:r w:rsidR="2E07868D" w:rsidRPr="17CECF10">
        <w:rPr>
          <w:rFonts w:ascii="Segoe UI" w:hAnsi="Segoe UI" w:cs="Segoe UI"/>
        </w:rPr>
        <w:t xml:space="preserve">This limited exclusive right is intended to </w:t>
      </w:r>
      <w:r w:rsidR="1AFF2AFC" w:rsidRPr="17CECF10">
        <w:rPr>
          <w:rFonts w:ascii="Segoe UI" w:hAnsi="Segoe UI" w:cs="Segoe UI"/>
        </w:rPr>
        <w:t xml:space="preserve">promote innovation and </w:t>
      </w:r>
      <w:r w:rsidR="2E07868D" w:rsidRPr="17CECF10">
        <w:rPr>
          <w:rFonts w:ascii="Segoe UI" w:hAnsi="Segoe UI" w:cs="Segoe UI"/>
        </w:rPr>
        <w:t>stimulate inventive activity in multiple ways.</w:t>
      </w:r>
      <w:r w:rsidR="6DA66905" w:rsidRPr="17CECF10">
        <w:rPr>
          <w:rFonts w:ascii="Segoe UI" w:hAnsi="Segoe UI" w:cs="Segoe UI"/>
        </w:rPr>
        <w:t xml:space="preserve"> </w:t>
      </w:r>
      <w:r w:rsidR="2E07868D" w:rsidRPr="17CECF10">
        <w:rPr>
          <w:rFonts w:ascii="Segoe UI" w:hAnsi="Segoe UI" w:cs="Segoe UI"/>
        </w:rPr>
        <w:t>First, the exclusivity made possible by a patent incentivizes inventors to undertake R&amp;D and inventive labor.</w:t>
      </w:r>
      <w:r w:rsidR="6DA66905" w:rsidRPr="17CECF10">
        <w:rPr>
          <w:rFonts w:ascii="Segoe UI" w:hAnsi="Segoe UI" w:cs="Segoe UI"/>
        </w:rPr>
        <w:t xml:space="preserve"> </w:t>
      </w:r>
      <w:r w:rsidR="2E07868D" w:rsidRPr="17CECF10">
        <w:rPr>
          <w:rFonts w:ascii="Segoe UI" w:hAnsi="Segoe UI" w:cs="Segoe UI"/>
        </w:rPr>
        <w:t>Second, an exclusive patent right incentivizes commercialization of an invention in the marketplace.</w:t>
      </w:r>
      <w:r w:rsidR="6DA66905" w:rsidRPr="17CECF10">
        <w:rPr>
          <w:rFonts w:ascii="Segoe UI" w:hAnsi="Segoe UI" w:cs="Segoe UI"/>
        </w:rPr>
        <w:t xml:space="preserve"> </w:t>
      </w:r>
      <w:r w:rsidR="2E07868D" w:rsidRPr="17CECF10">
        <w:rPr>
          <w:rFonts w:ascii="Segoe UI" w:hAnsi="Segoe UI" w:cs="Segoe UI"/>
        </w:rPr>
        <w:t>That is, inventors may bring their inventions to market by self-commercialization</w:t>
      </w:r>
      <w:r w:rsidR="689F3427" w:rsidRPr="17CECF10">
        <w:rPr>
          <w:rFonts w:ascii="Segoe UI" w:hAnsi="Segoe UI" w:cs="Segoe UI"/>
        </w:rPr>
        <w:t>,</w:t>
      </w:r>
      <w:r w:rsidR="2E07868D" w:rsidRPr="17CECF10">
        <w:rPr>
          <w:rFonts w:ascii="Segoe UI" w:hAnsi="Segoe UI" w:cs="Segoe UI"/>
        </w:rPr>
        <w:t xml:space="preserve"> or by either licensing (to earn royalties) or </w:t>
      </w:r>
      <w:r w:rsidR="689F3427" w:rsidRPr="17CECF10">
        <w:rPr>
          <w:rFonts w:ascii="Segoe UI" w:hAnsi="Segoe UI" w:cs="Segoe UI"/>
        </w:rPr>
        <w:t>assigning their patent</w:t>
      </w:r>
      <w:r w:rsidR="2E07868D" w:rsidRPr="17CECF10">
        <w:rPr>
          <w:rFonts w:ascii="Segoe UI" w:hAnsi="Segoe UI" w:cs="Segoe UI"/>
        </w:rPr>
        <w:t xml:space="preserve"> to other market participants (e.g., larger companies) </w:t>
      </w:r>
      <w:r w:rsidR="4B840037" w:rsidRPr="17CECF10">
        <w:rPr>
          <w:rFonts w:ascii="Segoe UI" w:hAnsi="Segoe UI" w:cs="Segoe UI"/>
        </w:rPr>
        <w:t xml:space="preserve">that, </w:t>
      </w:r>
      <w:r w:rsidR="2E07868D" w:rsidRPr="17CECF10">
        <w:rPr>
          <w:rFonts w:ascii="Segoe UI" w:hAnsi="Segoe UI" w:cs="Segoe UI"/>
        </w:rPr>
        <w:t>in turn</w:t>
      </w:r>
      <w:r w:rsidR="4B840037" w:rsidRPr="17CECF10">
        <w:rPr>
          <w:rFonts w:ascii="Segoe UI" w:hAnsi="Segoe UI" w:cs="Segoe UI"/>
        </w:rPr>
        <w:t>,</w:t>
      </w:r>
      <w:r w:rsidR="2E07868D" w:rsidRPr="17CECF10">
        <w:rPr>
          <w:rFonts w:ascii="Segoe UI" w:hAnsi="Segoe UI" w:cs="Segoe UI"/>
        </w:rPr>
        <w:t xml:space="preserve"> commercialize th</w:t>
      </w:r>
      <w:r w:rsidR="41C44798" w:rsidRPr="17CECF10">
        <w:rPr>
          <w:rFonts w:ascii="Segoe UI" w:hAnsi="Segoe UI" w:cs="Segoe UI"/>
        </w:rPr>
        <w:t>e</w:t>
      </w:r>
      <w:r w:rsidR="2E07868D" w:rsidRPr="17CECF10">
        <w:rPr>
          <w:rFonts w:ascii="Segoe UI" w:hAnsi="Segoe UI" w:cs="Segoe UI"/>
        </w:rPr>
        <w:t xml:space="preserve"> invention.</w:t>
      </w:r>
      <w:r w:rsidR="6DA66905" w:rsidRPr="17CECF10">
        <w:rPr>
          <w:rFonts w:ascii="Segoe UI" w:hAnsi="Segoe UI" w:cs="Segoe UI"/>
        </w:rPr>
        <w:t xml:space="preserve"> </w:t>
      </w:r>
      <w:r w:rsidR="2E07868D" w:rsidRPr="17CECF10">
        <w:rPr>
          <w:rFonts w:ascii="Segoe UI" w:hAnsi="Segoe UI" w:cs="Segoe UI"/>
        </w:rPr>
        <w:t>Third, patent exclusivity provides a means for inventors to obtain capital financing (e.g.,</w:t>
      </w:r>
      <w:r w:rsidR="41C44798" w:rsidRPr="17CECF10">
        <w:rPr>
          <w:rFonts w:ascii="Segoe UI" w:hAnsi="Segoe UI" w:cs="Segoe UI"/>
        </w:rPr>
        <w:t xml:space="preserve"> </w:t>
      </w:r>
      <w:r w:rsidR="2E07868D" w:rsidRPr="17CECF10">
        <w:rPr>
          <w:rFonts w:ascii="Segoe UI" w:hAnsi="Segoe UI" w:cs="Segoe UI"/>
        </w:rPr>
        <w:t>through venture capital)</w:t>
      </w:r>
      <w:r w:rsidR="68227901" w:rsidRPr="17CECF10">
        <w:rPr>
          <w:rFonts w:ascii="Segoe UI" w:hAnsi="Segoe UI" w:cs="Segoe UI"/>
        </w:rPr>
        <w:t xml:space="preserve"> that can be used</w:t>
      </w:r>
      <w:r w:rsidR="2E07868D" w:rsidRPr="17CECF10">
        <w:rPr>
          <w:rFonts w:ascii="Segoe UI" w:hAnsi="Segoe UI" w:cs="Segoe UI"/>
        </w:rPr>
        <w:t xml:space="preserve"> to self-commercialize</w:t>
      </w:r>
      <w:r w:rsidR="68227901" w:rsidRPr="17CECF10">
        <w:rPr>
          <w:rFonts w:ascii="Segoe UI" w:hAnsi="Segoe UI" w:cs="Segoe UI"/>
        </w:rPr>
        <w:t>, to improve the invention, or to fund other innovation</w:t>
      </w:r>
      <w:r w:rsidR="2E07868D" w:rsidRPr="17CECF10">
        <w:rPr>
          <w:rFonts w:ascii="Segoe UI" w:hAnsi="Segoe UI" w:cs="Segoe UI"/>
        </w:rPr>
        <w:t>.</w:t>
      </w:r>
      <w:r w:rsidR="6DA66905" w:rsidRPr="17CECF10">
        <w:rPr>
          <w:rFonts w:ascii="Segoe UI" w:hAnsi="Segoe UI" w:cs="Segoe UI"/>
        </w:rPr>
        <w:t xml:space="preserve"> </w:t>
      </w:r>
    </w:p>
    <w:p w14:paraId="37166BEB" w14:textId="6F8AFC38" w:rsidR="00A43E5F" w:rsidRPr="00CF6436" w:rsidRDefault="0E1422FF" w:rsidP="293D3C50">
      <w:pPr>
        <w:spacing w:line="360" w:lineRule="auto"/>
        <w:ind w:firstLine="450"/>
        <w:rPr>
          <w:rFonts w:ascii="Segoe UI" w:hAnsi="Segoe UI" w:cs="Segoe UI"/>
        </w:rPr>
      </w:pPr>
      <w:r w:rsidRPr="293D3C50">
        <w:rPr>
          <w:rFonts w:ascii="Segoe UI" w:hAnsi="Segoe UI" w:cs="Segoe UI"/>
        </w:rPr>
        <w:t>The p</w:t>
      </w:r>
      <w:r w:rsidR="77BDDC2D" w:rsidRPr="293D3C50">
        <w:rPr>
          <w:rFonts w:ascii="Segoe UI" w:hAnsi="Segoe UI" w:cs="Segoe UI"/>
        </w:rPr>
        <w:t>ublic disclosure of information</w:t>
      </w:r>
      <w:r w:rsidR="577B17B4" w:rsidRPr="293D3C50">
        <w:rPr>
          <w:rFonts w:ascii="Segoe UI" w:hAnsi="Segoe UI" w:cs="Segoe UI"/>
        </w:rPr>
        <w:t xml:space="preserve"> required to obtain a patent</w:t>
      </w:r>
      <w:r w:rsidR="77BDDC2D" w:rsidRPr="293D3C50">
        <w:rPr>
          <w:rFonts w:ascii="Segoe UI" w:hAnsi="Segoe UI" w:cs="Segoe UI"/>
        </w:rPr>
        <w:t xml:space="preserve"> helps avoid redundant R&amp;D by others and promotes the dissemination of new technology and </w:t>
      </w:r>
      <w:r w:rsidR="77BDDC2D" w:rsidRPr="293D3C50">
        <w:rPr>
          <w:rFonts w:ascii="Segoe UI" w:hAnsi="Segoe UI" w:cs="Segoe UI"/>
        </w:rPr>
        <w:lastRenderedPageBreak/>
        <w:t>the development of innovations that build on current technology.</w:t>
      </w:r>
      <w:r w:rsidR="6457BB83" w:rsidRPr="293D3C50">
        <w:rPr>
          <w:rFonts w:ascii="Segoe UI" w:hAnsi="Segoe UI" w:cs="Segoe UI"/>
        </w:rPr>
        <w:t xml:space="preserve"> </w:t>
      </w:r>
      <w:r w:rsidR="002424AA">
        <w:rPr>
          <w:rFonts w:ascii="Segoe UI" w:hAnsi="Segoe UI" w:cs="Segoe UI"/>
        </w:rPr>
        <w:t xml:space="preserve">The USPTO facilitates </w:t>
      </w:r>
      <w:r w:rsidR="00F469C0">
        <w:rPr>
          <w:rFonts w:ascii="Segoe UI" w:hAnsi="Segoe UI" w:cs="Segoe UI"/>
        </w:rPr>
        <w:t>public</w:t>
      </w:r>
      <w:r w:rsidR="77BDDC2D" w:rsidRPr="293D3C50">
        <w:rPr>
          <w:rFonts w:ascii="Segoe UI" w:hAnsi="Segoe UI" w:cs="Segoe UI"/>
        </w:rPr>
        <w:t xml:space="preserve"> disclosure </w:t>
      </w:r>
      <w:r w:rsidR="464BA6C5" w:rsidRPr="293D3C50">
        <w:rPr>
          <w:rFonts w:ascii="Segoe UI" w:hAnsi="Segoe UI" w:cs="Segoe UI"/>
        </w:rPr>
        <w:t xml:space="preserve">of </w:t>
      </w:r>
      <w:r w:rsidR="00D83FCA">
        <w:rPr>
          <w:rFonts w:ascii="Segoe UI" w:hAnsi="Segoe UI" w:cs="Segoe UI"/>
        </w:rPr>
        <w:t>inventions by publishing design, plant, and utility patents upon their issuance, and by publishing utility</w:t>
      </w:r>
      <w:r w:rsidR="4CEFDBDA" w:rsidRPr="293D3C50">
        <w:rPr>
          <w:rFonts w:ascii="Segoe UI" w:hAnsi="Segoe UI" w:cs="Segoe UI"/>
        </w:rPr>
        <w:t xml:space="preserve"> </w:t>
      </w:r>
      <w:r w:rsidR="77BDDC2D" w:rsidRPr="293D3C50">
        <w:rPr>
          <w:rFonts w:ascii="Segoe UI" w:hAnsi="Segoe UI" w:cs="Segoe UI"/>
        </w:rPr>
        <w:t>patent application</w:t>
      </w:r>
      <w:r w:rsidR="00EA38F8">
        <w:rPr>
          <w:rFonts w:ascii="Segoe UI" w:hAnsi="Segoe UI" w:cs="Segoe UI"/>
        </w:rPr>
        <w:t>s</w:t>
      </w:r>
      <w:r w:rsidR="77BDDC2D" w:rsidRPr="293D3C50">
        <w:rPr>
          <w:rFonts w:ascii="Segoe UI" w:hAnsi="Segoe UI" w:cs="Segoe UI"/>
        </w:rPr>
        <w:t xml:space="preserve"> 18 months from the</w:t>
      </w:r>
      <w:r w:rsidR="00EA38F8">
        <w:rPr>
          <w:rFonts w:ascii="Segoe UI" w:hAnsi="Segoe UI" w:cs="Segoe UI"/>
        </w:rPr>
        <w:t>ir</w:t>
      </w:r>
      <w:r w:rsidR="77BDDC2D" w:rsidRPr="293D3C50">
        <w:rPr>
          <w:rFonts w:ascii="Segoe UI" w:hAnsi="Segoe UI" w:cs="Segoe UI"/>
        </w:rPr>
        <w:t xml:space="preserve"> earliest effective filing date.</w:t>
      </w:r>
    </w:p>
    <w:p w14:paraId="3D09A310" w14:textId="53AF405B" w:rsidR="00A43E5F" w:rsidRPr="00CF6436" w:rsidRDefault="4A510CF0" w:rsidP="293D3C50">
      <w:pPr>
        <w:spacing w:line="360" w:lineRule="auto"/>
        <w:ind w:firstLine="450"/>
        <w:rPr>
          <w:rFonts w:ascii="Segoe UI" w:hAnsi="Segoe UI" w:cs="Segoe UI"/>
        </w:rPr>
      </w:pPr>
      <w:r w:rsidRPr="293D3C50">
        <w:rPr>
          <w:rFonts w:ascii="Segoe UI" w:hAnsi="Segoe UI" w:cs="Segoe UI"/>
        </w:rPr>
        <w:t>U.S. companies are investing more in innovation—</w:t>
      </w:r>
      <w:r w:rsidR="4E8C1F7A" w:rsidRPr="293D3C50">
        <w:rPr>
          <w:rFonts w:ascii="Segoe UI" w:hAnsi="Segoe UI" w:cs="Segoe UI"/>
        </w:rPr>
        <w:t xml:space="preserve">the research, development, and </w:t>
      </w:r>
      <w:r w:rsidRPr="293D3C50">
        <w:rPr>
          <w:rFonts w:ascii="Segoe UI" w:hAnsi="Segoe UI" w:cs="Segoe UI"/>
        </w:rPr>
        <w:t xml:space="preserve">commercialization of intangible assets—than in the purchase of existing equipment and machines to spur growth. </w:t>
      </w:r>
      <w:r w:rsidR="67EB4998" w:rsidRPr="293D3C50">
        <w:rPr>
          <w:rFonts w:ascii="Segoe UI" w:hAnsi="Segoe UI" w:cs="Segoe UI"/>
        </w:rPr>
        <w:t xml:space="preserve">Reliable </w:t>
      </w:r>
      <w:r w:rsidRPr="293D3C50">
        <w:rPr>
          <w:rFonts w:ascii="Segoe UI" w:hAnsi="Segoe UI" w:cs="Segoe UI"/>
        </w:rPr>
        <w:t xml:space="preserve">IP rights provide incentives for organizations and individuals to develop and pursue commercial opportunities related to their intangible assets. Industries in the United States that intensively use IP accounted for 41% of domestic economic activity, or output, in 2019. Output in IP-intensive industries grew at </w:t>
      </w:r>
      <w:r w:rsidR="1179C8BB" w:rsidRPr="293D3C50">
        <w:rPr>
          <w:rFonts w:ascii="Segoe UI" w:hAnsi="Segoe UI" w:cs="Segoe UI"/>
        </w:rPr>
        <w:t>approximately</w:t>
      </w:r>
      <w:r w:rsidRPr="293D3C50">
        <w:rPr>
          <w:rFonts w:ascii="Segoe UI" w:hAnsi="Segoe UI" w:cs="Segoe UI"/>
        </w:rPr>
        <w:t xml:space="preserve"> the same rate as the entire domestic economy during the previous f</w:t>
      </w:r>
      <w:r w:rsidR="5E9755DD" w:rsidRPr="293D3C50">
        <w:rPr>
          <w:rFonts w:ascii="Segoe UI" w:hAnsi="Segoe UI" w:cs="Segoe UI"/>
        </w:rPr>
        <w:t>i</w:t>
      </w:r>
      <w:r w:rsidRPr="293D3C50">
        <w:rPr>
          <w:rFonts w:ascii="Segoe UI" w:hAnsi="Segoe UI" w:cs="Segoe UI"/>
        </w:rPr>
        <w:t>ve years, with the exception of copyright-intensive industries, where output grew at a faster rate</w:t>
      </w:r>
      <w:r w:rsidR="5F716648" w:rsidRPr="293D3C50">
        <w:rPr>
          <w:rFonts w:ascii="Segoe UI" w:hAnsi="Segoe UI" w:cs="Segoe UI"/>
        </w:rPr>
        <w:t>.</w:t>
      </w:r>
      <w:r w:rsidRPr="293D3C50">
        <w:rPr>
          <w:rFonts w:ascii="Segoe UI" w:hAnsi="Segoe UI" w:cs="Segoe UI"/>
        </w:rPr>
        <w:t xml:space="preserve"> </w:t>
      </w:r>
      <w:r w:rsidR="648602CC" w:rsidRPr="293D3C50">
        <w:rPr>
          <w:rFonts w:ascii="Segoe UI" w:hAnsi="Segoe UI" w:cs="Segoe UI"/>
        </w:rPr>
        <w:t>S</w:t>
      </w:r>
      <w:r w:rsidR="10E8D3B7" w:rsidRPr="293D3C50">
        <w:rPr>
          <w:rFonts w:ascii="Segoe UI" w:hAnsi="Segoe UI" w:cs="Segoe UI"/>
        </w:rPr>
        <w:t>ee</w:t>
      </w:r>
      <w:r w:rsidR="26A874DC" w:rsidRPr="293D3C50">
        <w:rPr>
          <w:rFonts w:ascii="Segoe UI" w:hAnsi="Segoe UI" w:cs="Segoe UI"/>
        </w:rPr>
        <w:t xml:space="preserve"> </w:t>
      </w:r>
      <w:hyperlink r:id="rId29">
        <w:r w:rsidR="542E0767" w:rsidRPr="293D3C50">
          <w:rPr>
            <w:rStyle w:val="Hyperlink"/>
            <w:rFonts w:ascii="Segoe UI" w:hAnsi="Segoe UI" w:cs="Segoe UI"/>
          </w:rPr>
          <w:t>Intellectual Property and the U.S. Economy:</w:t>
        </w:r>
        <w:r w:rsidR="498D29D2" w:rsidRPr="293D3C50">
          <w:rPr>
            <w:rStyle w:val="Hyperlink"/>
            <w:rFonts w:ascii="Segoe UI" w:hAnsi="Segoe UI" w:cs="Segoe UI"/>
          </w:rPr>
          <w:t xml:space="preserve"> </w:t>
        </w:r>
        <w:r w:rsidR="2156237A" w:rsidRPr="293D3C50">
          <w:rPr>
            <w:rStyle w:val="Hyperlink"/>
            <w:rFonts w:ascii="Segoe UI" w:hAnsi="Segoe UI" w:cs="Segoe UI"/>
          </w:rPr>
          <w:t>Third edition</w:t>
        </w:r>
      </w:hyperlink>
      <w:r w:rsidR="67AF73AC" w:rsidRPr="293D3C50">
        <w:rPr>
          <w:rFonts w:ascii="Segoe UI" w:hAnsi="Segoe UI" w:cs="Segoe UI"/>
        </w:rPr>
        <w:t>.</w:t>
      </w:r>
    </w:p>
    <w:p w14:paraId="22CC6F54" w14:textId="16D6F3A4" w:rsidR="00A47E65" w:rsidRDefault="77BDDC2D" w:rsidP="293D3C50">
      <w:pPr>
        <w:spacing w:line="360" w:lineRule="auto"/>
        <w:ind w:firstLine="450"/>
        <w:rPr>
          <w:rFonts w:ascii="Segoe UI" w:hAnsi="Segoe UI" w:cs="Segoe UI"/>
        </w:rPr>
      </w:pPr>
      <w:r w:rsidRPr="293D3C50">
        <w:rPr>
          <w:rFonts w:ascii="Segoe UI" w:hAnsi="Segoe UI" w:cs="Segoe UI"/>
        </w:rPr>
        <w:t>An efficient and effective patent system provides tools to protect new ideas and investments in innovation and creativity</w:t>
      </w:r>
      <w:r w:rsidR="2386F7DF" w:rsidRPr="293D3C50">
        <w:rPr>
          <w:rFonts w:ascii="Segoe UI" w:hAnsi="Segoe UI" w:cs="Segoe UI"/>
        </w:rPr>
        <w:t>,</w:t>
      </w:r>
      <w:r w:rsidRPr="293D3C50">
        <w:rPr>
          <w:rFonts w:ascii="Segoe UI" w:hAnsi="Segoe UI" w:cs="Segoe UI"/>
        </w:rPr>
        <w:t xml:space="preserve"> benefit</w:t>
      </w:r>
      <w:r w:rsidR="2DDCCACD" w:rsidRPr="293D3C50">
        <w:rPr>
          <w:rFonts w:ascii="Segoe UI" w:hAnsi="Segoe UI" w:cs="Segoe UI"/>
        </w:rPr>
        <w:t>ting</w:t>
      </w:r>
      <w:r w:rsidRPr="293D3C50">
        <w:rPr>
          <w:rFonts w:ascii="Segoe UI" w:hAnsi="Segoe UI" w:cs="Segoe UI"/>
        </w:rPr>
        <w:t xml:space="preserve"> both inventors and </w:t>
      </w:r>
      <w:r w:rsidR="5142231D" w:rsidRPr="293D3C50">
        <w:rPr>
          <w:rFonts w:ascii="Segoe UI" w:hAnsi="Segoe UI" w:cs="Segoe UI"/>
        </w:rPr>
        <w:t>the economy</w:t>
      </w:r>
      <w:r w:rsidRPr="293D3C50">
        <w:rPr>
          <w:rFonts w:ascii="Segoe UI" w:hAnsi="Segoe UI" w:cs="Segoe UI"/>
        </w:rPr>
        <w:t>.</w:t>
      </w:r>
      <w:r w:rsidR="6457BB83" w:rsidRPr="293D3C50">
        <w:rPr>
          <w:rFonts w:ascii="Segoe UI" w:hAnsi="Segoe UI" w:cs="Segoe UI"/>
        </w:rPr>
        <w:t xml:space="preserve"> </w:t>
      </w:r>
      <w:r w:rsidR="005D477B">
        <w:rPr>
          <w:rFonts w:ascii="Segoe UI" w:hAnsi="Segoe UI" w:cs="Segoe UI"/>
        </w:rPr>
        <w:t>T</w:t>
      </w:r>
      <w:r w:rsidRPr="293D3C50">
        <w:rPr>
          <w:rFonts w:ascii="Segoe UI" w:hAnsi="Segoe UI" w:cs="Segoe UI"/>
        </w:rPr>
        <w:t>imely, clear, and effective patent rights</w:t>
      </w:r>
      <w:r w:rsidR="005D477B">
        <w:rPr>
          <w:rFonts w:ascii="Segoe UI" w:hAnsi="Segoe UI" w:cs="Segoe UI"/>
        </w:rPr>
        <w:t xml:space="preserve"> reduce</w:t>
      </w:r>
      <w:r w:rsidR="005D477B" w:rsidRPr="293D3C50">
        <w:rPr>
          <w:rFonts w:ascii="Segoe UI" w:hAnsi="Segoe UI" w:cs="Segoe UI"/>
        </w:rPr>
        <w:t xml:space="preserve"> </w:t>
      </w:r>
      <w:r w:rsidR="3C83F216" w:rsidRPr="293D3C50">
        <w:rPr>
          <w:rFonts w:ascii="Segoe UI" w:hAnsi="Segoe UI" w:cs="Segoe UI"/>
        </w:rPr>
        <w:t xml:space="preserve">uncertainty </w:t>
      </w:r>
      <w:r w:rsidR="005D477B">
        <w:rPr>
          <w:rFonts w:ascii="Segoe UI" w:hAnsi="Segoe UI" w:cs="Segoe UI"/>
        </w:rPr>
        <w:t>about</w:t>
      </w:r>
      <w:r w:rsidR="005D477B" w:rsidRPr="293D3C50">
        <w:rPr>
          <w:rFonts w:ascii="Segoe UI" w:hAnsi="Segoe UI" w:cs="Segoe UI"/>
        </w:rPr>
        <w:t xml:space="preserve"> </w:t>
      </w:r>
      <w:r w:rsidR="3C83F216" w:rsidRPr="293D3C50">
        <w:rPr>
          <w:rFonts w:ascii="Segoe UI" w:hAnsi="Segoe UI" w:cs="Segoe UI"/>
        </w:rPr>
        <w:t xml:space="preserve">the legal rights </w:t>
      </w:r>
      <w:r w:rsidR="004A45CE">
        <w:rPr>
          <w:rFonts w:ascii="Segoe UI" w:hAnsi="Segoe UI" w:cs="Segoe UI"/>
        </w:rPr>
        <w:t>to</w:t>
      </w:r>
      <w:r w:rsidR="004A45CE" w:rsidRPr="293D3C50">
        <w:rPr>
          <w:rFonts w:ascii="Segoe UI" w:hAnsi="Segoe UI" w:cs="Segoe UI"/>
        </w:rPr>
        <w:t xml:space="preserve"> </w:t>
      </w:r>
      <w:r w:rsidR="3C83F216" w:rsidRPr="293D3C50">
        <w:rPr>
          <w:rFonts w:ascii="Segoe UI" w:hAnsi="Segoe UI" w:cs="Segoe UI"/>
        </w:rPr>
        <w:t xml:space="preserve">new products, and </w:t>
      </w:r>
      <w:r w:rsidR="004A45CE">
        <w:rPr>
          <w:rFonts w:ascii="Segoe UI" w:hAnsi="Segoe UI" w:cs="Segoe UI"/>
        </w:rPr>
        <w:t xml:space="preserve">increase </w:t>
      </w:r>
      <w:r w:rsidRPr="293D3C50">
        <w:rPr>
          <w:rFonts w:ascii="Segoe UI" w:hAnsi="Segoe UI" w:cs="Segoe UI"/>
        </w:rPr>
        <w:t>the value of IP and capital.</w:t>
      </w:r>
      <w:r w:rsidR="6457BB83" w:rsidRPr="293D3C50">
        <w:rPr>
          <w:rFonts w:ascii="Segoe UI" w:hAnsi="Segoe UI" w:cs="Segoe UI"/>
        </w:rPr>
        <w:t xml:space="preserve"> </w:t>
      </w:r>
      <w:r w:rsidRPr="293D3C50">
        <w:rPr>
          <w:rFonts w:ascii="Segoe UI" w:hAnsi="Segoe UI" w:cs="Segoe UI"/>
        </w:rPr>
        <w:t>As a result, investments</w:t>
      </w:r>
      <w:r w:rsidR="0E48D698" w:rsidRPr="293D3C50">
        <w:rPr>
          <w:rFonts w:ascii="Segoe UI" w:hAnsi="Segoe UI" w:cs="Segoe UI"/>
        </w:rPr>
        <w:t xml:space="preserve"> may be </w:t>
      </w:r>
      <w:r w:rsidRPr="293D3C50">
        <w:rPr>
          <w:rFonts w:ascii="Segoe UI" w:hAnsi="Segoe UI" w:cs="Segoe UI"/>
        </w:rPr>
        <w:t>either misdirected or not undertaken, and costly litigation is more likely.</w:t>
      </w:r>
      <w:r w:rsidR="6457BB83" w:rsidRPr="293D3C50">
        <w:rPr>
          <w:rFonts w:ascii="Segoe UI" w:hAnsi="Segoe UI" w:cs="Segoe UI"/>
        </w:rPr>
        <w:t xml:space="preserve"> </w:t>
      </w:r>
      <w:r w:rsidR="5142231D" w:rsidRPr="293D3C50">
        <w:rPr>
          <w:rFonts w:ascii="Segoe UI" w:hAnsi="Segoe UI" w:cs="Segoe UI"/>
        </w:rPr>
        <w:t>Innovation d</w:t>
      </w:r>
      <w:r w:rsidRPr="293D3C50">
        <w:rPr>
          <w:rFonts w:ascii="Segoe UI" w:hAnsi="Segoe UI" w:cs="Segoe UI"/>
        </w:rPr>
        <w:t>epends, in part, on the USPTO’s success in optimizing the patent application pendency</w:t>
      </w:r>
      <w:r w:rsidR="6F3847CA" w:rsidRPr="293D3C50">
        <w:rPr>
          <w:rFonts w:ascii="Segoe UI" w:hAnsi="Segoe UI" w:cs="Segoe UI"/>
        </w:rPr>
        <w:t xml:space="preserve"> and examination time</w:t>
      </w:r>
      <w:r w:rsidR="0347A931" w:rsidRPr="293D3C50">
        <w:rPr>
          <w:rFonts w:ascii="Segoe UI" w:hAnsi="Segoe UI" w:cs="Segoe UI"/>
        </w:rPr>
        <w:t xml:space="preserve"> </w:t>
      </w:r>
      <w:r w:rsidR="6F3847CA" w:rsidRPr="293D3C50">
        <w:rPr>
          <w:rFonts w:ascii="Segoe UI" w:hAnsi="Segoe UI" w:cs="Segoe UI"/>
        </w:rPr>
        <w:t>frames</w:t>
      </w:r>
      <w:r w:rsidR="71A581DD" w:rsidRPr="293D3C50">
        <w:rPr>
          <w:rFonts w:ascii="Segoe UI" w:hAnsi="Segoe UI" w:cs="Segoe UI"/>
        </w:rPr>
        <w:t>—</w:t>
      </w:r>
      <w:r w:rsidRPr="293D3C50">
        <w:rPr>
          <w:rFonts w:ascii="Segoe UI" w:hAnsi="Segoe UI" w:cs="Segoe UI"/>
        </w:rPr>
        <w:t>both of which</w:t>
      </w:r>
      <w:r w:rsidR="0347A931" w:rsidRPr="293D3C50">
        <w:rPr>
          <w:rFonts w:ascii="Segoe UI" w:hAnsi="Segoe UI" w:cs="Segoe UI"/>
        </w:rPr>
        <w:t>, when long, can</w:t>
      </w:r>
      <w:r w:rsidRPr="293D3C50">
        <w:rPr>
          <w:rFonts w:ascii="Segoe UI" w:hAnsi="Segoe UI" w:cs="Segoe UI"/>
        </w:rPr>
        <w:t xml:space="preserve"> stall </w:t>
      </w:r>
      <w:r w:rsidR="0F5F75BE" w:rsidRPr="293D3C50">
        <w:rPr>
          <w:rFonts w:ascii="Segoe UI" w:hAnsi="Segoe UI" w:cs="Segoe UI"/>
        </w:rPr>
        <w:t xml:space="preserve">market </w:t>
      </w:r>
      <w:r w:rsidRPr="293D3C50">
        <w:rPr>
          <w:rFonts w:ascii="Segoe UI" w:hAnsi="Segoe UI" w:cs="Segoe UI"/>
        </w:rPr>
        <w:t>delivery of innovative goods and services and impede economic growth and the creation of high-paying jobs.</w:t>
      </w:r>
    </w:p>
    <w:p w14:paraId="4F4D89DB" w14:textId="77777777" w:rsidR="00A47E65" w:rsidRDefault="00A47E65">
      <w:pPr>
        <w:spacing w:after="200" w:line="276" w:lineRule="auto"/>
        <w:rPr>
          <w:rFonts w:ascii="Segoe UI" w:hAnsi="Segoe UI" w:cs="Segoe UI"/>
        </w:rPr>
      </w:pPr>
      <w:r>
        <w:rPr>
          <w:rFonts w:ascii="Segoe UI" w:hAnsi="Segoe UI" w:cs="Segoe UI"/>
        </w:rPr>
        <w:br w:type="page"/>
      </w:r>
    </w:p>
    <w:p w14:paraId="08AAADB7" w14:textId="77777777" w:rsidR="00BF0636" w:rsidRPr="00CF6436" w:rsidRDefault="00BF0636" w:rsidP="293D3C50">
      <w:pPr>
        <w:spacing w:line="360" w:lineRule="auto"/>
        <w:ind w:firstLine="450"/>
        <w:rPr>
          <w:rFonts w:ascii="Segoe UI" w:hAnsi="Segoe UI" w:cs="Segoe UI"/>
        </w:rPr>
      </w:pPr>
    </w:p>
    <w:p w14:paraId="5825CB08" w14:textId="557B3CC5" w:rsidR="0086407D" w:rsidRPr="00CF6436" w:rsidRDefault="3C83F216" w:rsidP="293D3C50">
      <w:pPr>
        <w:spacing w:line="360" w:lineRule="auto"/>
        <w:ind w:firstLine="450"/>
        <w:rPr>
          <w:rFonts w:ascii="Segoe UI" w:hAnsi="Segoe UI" w:cs="Segoe UI"/>
        </w:rPr>
      </w:pPr>
      <w:r w:rsidRPr="293D3C50">
        <w:rPr>
          <w:rFonts w:ascii="Segoe UI" w:hAnsi="Segoe UI" w:cs="Segoe UI"/>
        </w:rPr>
        <w:t>S</w:t>
      </w:r>
      <w:r w:rsidR="10864E57" w:rsidRPr="293D3C50">
        <w:rPr>
          <w:rFonts w:ascii="Segoe UI" w:hAnsi="Segoe UI" w:cs="Segoe UI"/>
        </w:rPr>
        <w:t xml:space="preserve">ecuring a patent is an early step in the sometimes long and often expensive process of transforming an innovation into a </w:t>
      </w:r>
      <w:r w:rsidR="00C2261B">
        <w:rPr>
          <w:rFonts w:ascii="Segoe UI" w:hAnsi="Segoe UI" w:cs="Segoe UI"/>
        </w:rPr>
        <w:t>marketable</w:t>
      </w:r>
      <w:r w:rsidR="10864E57" w:rsidRPr="293D3C50">
        <w:rPr>
          <w:rFonts w:ascii="Segoe UI" w:hAnsi="Segoe UI" w:cs="Segoe UI"/>
        </w:rPr>
        <w:t xml:space="preserve"> product</w:t>
      </w:r>
      <w:r w:rsidR="00C2261B">
        <w:rPr>
          <w:rFonts w:ascii="Segoe UI" w:hAnsi="Segoe UI" w:cs="Segoe UI"/>
        </w:rPr>
        <w:t xml:space="preserve"> or service</w:t>
      </w:r>
      <w:r w:rsidR="10864E57" w:rsidRPr="293D3C50">
        <w:rPr>
          <w:rFonts w:ascii="Segoe UI" w:hAnsi="Segoe UI" w:cs="Segoe UI"/>
        </w:rPr>
        <w:t>.</w:t>
      </w:r>
      <w:r w:rsidR="6457BB83" w:rsidRPr="293D3C50">
        <w:rPr>
          <w:rFonts w:ascii="Segoe UI" w:hAnsi="Segoe UI" w:cs="Segoe UI"/>
        </w:rPr>
        <w:t xml:space="preserve"> </w:t>
      </w:r>
      <w:r w:rsidR="67EF8BE6" w:rsidRPr="293D3C50">
        <w:rPr>
          <w:rFonts w:ascii="Segoe UI" w:hAnsi="Segoe UI" w:cs="Segoe UI"/>
        </w:rPr>
        <w:t xml:space="preserve">In addition </w:t>
      </w:r>
      <w:r w:rsidR="1BF3AE3E" w:rsidRPr="293D3C50">
        <w:rPr>
          <w:rFonts w:ascii="Segoe UI" w:hAnsi="Segoe UI" w:cs="Segoe UI"/>
        </w:rPr>
        <w:t>t</w:t>
      </w:r>
      <w:r w:rsidR="67EF8BE6" w:rsidRPr="293D3C50">
        <w:rPr>
          <w:rFonts w:ascii="Segoe UI" w:hAnsi="Segoe UI" w:cs="Segoe UI"/>
        </w:rPr>
        <w:t xml:space="preserve">o patent fees, </w:t>
      </w:r>
      <w:r w:rsidR="1BF3AE3E" w:rsidRPr="293D3C50">
        <w:rPr>
          <w:rFonts w:ascii="Segoe UI" w:hAnsi="Segoe UI" w:cs="Segoe UI"/>
        </w:rPr>
        <w:t xml:space="preserve">expenses related to </w:t>
      </w:r>
      <w:r w:rsidR="67EF8BE6" w:rsidRPr="293D3C50">
        <w:rPr>
          <w:rFonts w:ascii="Segoe UI" w:hAnsi="Segoe UI" w:cs="Segoe UI"/>
        </w:rPr>
        <w:t>l</w:t>
      </w:r>
      <w:r w:rsidR="10864E57" w:rsidRPr="293D3C50">
        <w:rPr>
          <w:rFonts w:ascii="Segoe UI" w:hAnsi="Segoe UI" w:cs="Segoe UI"/>
        </w:rPr>
        <w:t xml:space="preserve">egal fees, </w:t>
      </w:r>
      <w:r w:rsidR="1F1A64B2" w:rsidRPr="293D3C50">
        <w:rPr>
          <w:rFonts w:ascii="Segoe UI" w:hAnsi="Segoe UI" w:cs="Segoe UI"/>
        </w:rPr>
        <w:t>R&amp;D</w:t>
      </w:r>
      <w:r w:rsidR="10864E57" w:rsidRPr="293D3C50">
        <w:rPr>
          <w:rFonts w:ascii="Segoe UI" w:hAnsi="Segoe UI" w:cs="Segoe UI"/>
        </w:rPr>
        <w:t xml:space="preserve"> (more </w:t>
      </w:r>
      <w:r w:rsidR="1BF3AE3E" w:rsidRPr="293D3C50">
        <w:rPr>
          <w:rFonts w:ascii="Segoe UI" w:hAnsi="Segoe UI" w:cs="Segoe UI"/>
        </w:rPr>
        <w:t xml:space="preserve">costly </w:t>
      </w:r>
      <w:r w:rsidR="10864E57" w:rsidRPr="293D3C50">
        <w:rPr>
          <w:rFonts w:ascii="Segoe UI" w:hAnsi="Segoe UI" w:cs="Segoe UI"/>
        </w:rPr>
        <w:t>in some industries than others), licensing and royalties (where applicable), marketing, and production are all elements of the commercialization process.</w:t>
      </w:r>
      <w:r w:rsidR="6457BB83" w:rsidRPr="293D3C50">
        <w:rPr>
          <w:rFonts w:ascii="Segoe UI" w:hAnsi="Segoe UI" w:cs="Segoe UI"/>
        </w:rPr>
        <w:t xml:space="preserve"> </w:t>
      </w:r>
      <w:r w:rsidR="10864E57" w:rsidRPr="293D3C50">
        <w:rPr>
          <w:rFonts w:ascii="Segoe UI" w:hAnsi="Segoe UI" w:cs="Segoe UI"/>
        </w:rPr>
        <w:t xml:space="preserve">Given that patent fees are a proportionately small expense, </w:t>
      </w:r>
      <w:r w:rsidR="5DCF12CB" w:rsidRPr="293D3C50">
        <w:rPr>
          <w:rFonts w:ascii="Segoe UI" w:hAnsi="Segoe UI" w:cs="Segoe UI"/>
        </w:rPr>
        <w:t xml:space="preserve">the USPTO projects that </w:t>
      </w:r>
      <w:r w:rsidR="10864E57" w:rsidRPr="293D3C50">
        <w:rPr>
          <w:rFonts w:ascii="Segoe UI" w:hAnsi="Segoe UI" w:cs="Segoe UI"/>
        </w:rPr>
        <w:t xml:space="preserve">the impact of </w:t>
      </w:r>
      <w:r w:rsidR="29486EE0" w:rsidRPr="293D3C50">
        <w:rPr>
          <w:rFonts w:ascii="Segoe UI" w:hAnsi="Segoe UI" w:cs="Segoe UI"/>
        </w:rPr>
        <w:t xml:space="preserve">the </w:t>
      </w:r>
      <w:r w:rsidR="10864E57" w:rsidRPr="293D3C50">
        <w:rPr>
          <w:rFonts w:ascii="Segoe UI" w:hAnsi="Segoe UI" w:cs="Segoe UI"/>
        </w:rPr>
        <w:t>fee rate changes on consumers</w:t>
      </w:r>
      <w:r w:rsidR="65493056" w:rsidRPr="293D3C50">
        <w:rPr>
          <w:rFonts w:ascii="Segoe UI" w:hAnsi="Segoe UI" w:cs="Segoe UI"/>
        </w:rPr>
        <w:t xml:space="preserve"> of patented products</w:t>
      </w:r>
      <w:r w:rsidR="10864E57" w:rsidRPr="293D3C50">
        <w:rPr>
          <w:rFonts w:ascii="Segoe UI" w:hAnsi="Segoe UI" w:cs="Segoe UI"/>
        </w:rPr>
        <w:t>—in the form of higher prices or fewer market choices—</w:t>
      </w:r>
      <w:r w:rsidR="5DCF12CB" w:rsidRPr="293D3C50">
        <w:rPr>
          <w:rFonts w:ascii="Segoe UI" w:hAnsi="Segoe UI" w:cs="Segoe UI"/>
        </w:rPr>
        <w:t xml:space="preserve">will be </w:t>
      </w:r>
      <w:r w:rsidR="10864E57" w:rsidRPr="293D3C50">
        <w:rPr>
          <w:rFonts w:ascii="Segoe UI" w:hAnsi="Segoe UI" w:cs="Segoe UI"/>
        </w:rPr>
        <w:t>negligible.</w:t>
      </w:r>
    </w:p>
    <w:p w14:paraId="3246F5E6" w14:textId="77777777" w:rsidR="00BF0636" w:rsidRPr="00CF6436" w:rsidRDefault="00BF0636" w:rsidP="00CF6436">
      <w:pPr>
        <w:spacing w:line="360" w:lineRule="auto"/>
        <w:rPr>
          <w:rFonts w:ascii="Segoe UI" w:hAnsi="Segoe UI" w:cs="Segoe UI"/>
        </w:rPr>
      </w:pPr>
    </w:p>
    <w:p w14:paraId="3CEAD27D" w14:textId="77777777" w:rsidR="00AF2A7C" w:rsidRPr="00CF6436" w:rsidRDefault="00AF2A7C" w:rsidP="00EA247B">
      <w:pPr>
        <w:pStyle w:val="Heading1"/>
        <w:numPr>
          <w:ilvl w:val="0"/>
          <w:numId w:val="7"/>
        </w:numPr>
        <w:spacing w:before="0" w:line="360" w:lineRule="auto"/>
        <w:rPr>
          <w:rFonts w:ascii="Segoe UI" w:hAnsi="Segoe UI" w:cs="Segoe UI"/>
        </w:rPr>
      </w:pPr>
      <w:bookmarkStart w:id="86" w:name="_Toc453257548"/>
      <w:bookmarkStart w:id="87" w:name="_Toc453257549"/>
      <w:bookmarkStart w:id="88" w:name="_Toc451951713"/>
      <w:bookmarkStart w:id="89" w:name="_Toc175640424"/>
      <w:bookmarkEnd w:id="86"/>
      <w:bookmarkEnd w:id="87"/>
      <w:r w:rsidRPr="31665127">
        <w:rPr>
          <w:rFonts w:ascii="Segoe UI" w:hAnsi="Segoe UI" w:cs="Segoe UI"/>
        </w:rPr>
        <w:lastRenderedPageBreak/>
        <w:t>OVERVIEW OF ANALYSIS</w:t>
      </w:r>
      <w:bookmarkEnd w:id="88"/>
      <w:bookmarkEnd w:id="89"/>
    </w:p>
    <w:p w14:paraId="1799E46C" w14:textId="77777777" w:rsidR="00852BC0" w:rsidRPr="00CF6436" w:rsidRDefault="00852BC0" w:rsidP="00CF6436">
      <w:pPr>
        <w:pStyle w:val="Heading2Number"/>
        <w:spacing w:line="360" w:lineRule="auto"/>
        <w:rPr>
          <w:rFonts w:ascii="Segoe UI" w:hAnsi="Segoe UI" w:cs="Segoe UI"/>
        </w:rPr>
      </w:pPr>
      <w:bookmarkStart w:id="90" w:name="_Toc451951714"/>
      <w:bookmarkStart w:id="91" w:name="_Toc175640425"/>
      <w:bookmarkStart w:id="92" w:name="_Toc324491286"/>
      <w:bookmarkStart w:id="93" w:name="_Toc324525693"/>
      <w:bookmarkStart w:id="94" w:name="_Toc324932306"/>
      <w:bookmarkStart w:id="95" w:name="_Toc325554075"/>
      <w:bookmarkStart w:id="96" w:name="_Toc324165145"/>
      <w:bookmarkStart w:id="97" w:name="_Toc324525704"/>
      <w:bookmarkStart w:id="98" w:name="_Toc324932317"/>
      <w:bookmarkStart w:id="99" w:name="_Toc325554086"/>
      <w:bookmarkStart w:id="100" w:name="_Toc327978254"/>
      <w:r w:rsidRPr="31665127">
        <w:rPr>
          <w:rFonts w:ascii="Segoe UI" w:hAnsi="Segoe UI" w:cs="Segoe UI"/>
        </w:rPr>
        <w:t>Overview of Alternatives</w:t>
      </w:r>
      <w:bookmarkEnd w:id="90"/>
      <w:bookmarkEnd w:id="91"/>
    </w:p>
    <w:p w14:paraId="05DCC301" w14:textId="58783B99" w:rsidR="00852BC0" w:rsidRPr="00CF6436" w:rsidRDefault="013081DC" w:rsidP="293D3C50">
      <w:pPr>
        <w:tabs>
          <w:tab w:val="left" w:pos="3744"/>
        </w:tabs>
        <w:spacing w:line="360" w:lineRule="auto"/>
        <w:ind w:firstLine="450"/>
        <w:rPr>
          <w:rFonts w:ascii="Segoe UI" w:hAnsi="Segoe UI" w:cs="Segoe UI"/>
        </w:rPr>
      </w:pPr>
      <w:r w:rsidRPr="293D3C50">
        <w:rPr>
          <w:rFonts w:ascii="Segoe UI" w:hAnsi="Segoe UI" w:cs="Segoe UI"/>
        </w:rPr>
        <w:t xml:space="preserve">The USPTO considered </w:t>
      </w:r>
      <w:r w:rsidR="4598C006" w:rsidRPr="293D3C50">
        <w:rPr>
          <w:rFonts w:ascii="Segoe UI" w:hAnsi="Segoe UI" w:cs="Segoe UI"/>
        </w:rPr>
        <w:t>four</w:t>
      </w:r>
      <w:r w:rsidR="40176940" w:rsidRPr="293D3C50">
        <w:rPr>
          <w:rFonts w:ascii="Segoe UI" w:hAnsi="Segoe UI" w:cs="Segoe UI"/>
        </w:rPr>
        <w:t xml:space="preserve"> patent fee schedule alternatives.</w:t>
      </w:r>
    </w:p>
    <w:p w14:paraId="0131A095" w14:textId="6F7EEFD5" w:rsidR="00311919" w:rsidRPr="00CF6436" w:rsidRDefault="198E35EA" w:rsidP="00EA247B">
      <w:pPr>
        <w:pStyle w:val="ListParagraph"/>
        <w:numPr>
          <w:ilvl w:val="0"/>
          <w:numId w:val="9"/>
        </w:numPr>
        <w:spacing w:line="360" w:lineRule="auto"/>
        <w:rPr>
          <w:rFonts w:ascii="Segoe UI" w:hAnsi="Segoe UI" w:cs="Segoe UI"/>
        </w:rPr>
      </w:pPr>
      <w:r w:rsidRPr="293D3C50">
        <w:rPr>
          <w:rFonts w:ascii="Segoe UI" w:hAnsi="Segoe UI" w:cs="Segoe UI"/>
        </w:rPr>
        <w:t xml:space="preserve">Alternative 1: </w:t>
      </w:r>
      <w:r w:rsidR="00573A64">
        <w:rPr>
          <w:rFonts w:ascii="Segoe UI" w:hAnsi="Segoe UI" w:cs="Segoe UI"/>
        </w:rPr>
        <w:t>Final</w:t>
      </w:r>
      <w:r w:rsidR="00573A64" w:rsidRPr="293D3C50">
        <w:rPr>
          <w:rFonts w:ascii="Segoe UI" w:hAnsi="Segoe UI" w:cs="Segoe UI"/>
        </w:rPr>
        <w:t xml:space="preserve"> </w:t>
      </w:r>
      <w:r w:rsidR="58DFE930" w:rsidRPr="293D3C50">
        <w:rPr>
          <w:rFonts w:ascii="Segoe UI" w:hAnsi="Segoe UI" w:cs="Segoe UI"/>
        </w:rPr>
        <w:t>Patent</w:t>
      </w:r>
      <w:r w:rsidR="3DB57D17" w:rsidRPr="293D3C50">
        <w:rPr>
          <w:rFonts w:ascii="Segoe UI" w:hAnsi="Segoe UI" w:cs="Segoe UI"/>
        </w:rPr>
        <w:t xml:space="preserve"> </w:t>
      </w:r>
      <w:r w:rsidRPr="293D3C50">
        <w:rPr>
          <w:rFonts w:ascii="Segoe UI" w:hAnsi="Segoe UI" w:cs="Segoe UI"/>
        </w:rPr>
        <w:t>Fee Schedule</w:t>
      </w:r>
      <w:r w:rsidR="6D33775F" w:rsidRPr="293D3C50">
        <w:rPr>
          <w:rFonts w:ascii="Segoe UI" w:hAnsi="Segoe UI" w:cs="Segoe UI"/>
        </w:rPr>
        <w:t>—</w:t>
      </w:r>
      <w:r w:rsidRPr="293D3C50">
        <w:rPr>
          <w:rFonts w:ascii="Segoe UI" w:hAnsi="Segoe UI" w:cs="Segoe UI"/>
        </w:rPr>
        <w:t>Set</w:t>
      </w:r>
      <w:r w:rsidR="28B7AC09" w:rsidRPr="293D3C50">
        <w:rPr>
          <w:rFonts w:ascii="Segoe UI" w:hAnsi="Segoe UI" w:cs="Segoe UI"/>
        </w:rPr>
        <w:t>ting</w:t>
      </w:r>
      <w:r w:rsidRPr="293D3C50">
        <w:rPr>
          <w:rFonts w:ascii="Segoe UI" w:hAnsi="Segoe UI" w:cs="Segoe UI"/>
        </w:rPr>
        <w:t xml:space="preserve"> and Adjust</w:t>
      </w:r>
      <w:r w:rsidR="28B7AC09" w:rsidRPr="293D3C50">
        <w:rPr>
          <w:rFonts w:ascii="Segoe UI" w:hAnsi="Segoe UI" w:cs="Segoe UI"/>
        </w:rPr>
        <w:t>ing</w:t>
      </w:r>
      <w:r w:rsidRPr="293D3C50">
        <w:rPr>
          <w:rFonts w:ascii="Segoe UI" w:hAnsi="Segoe UI" w:cs="Segoe UI"/>
        </w:rPr>
        <w:t xml:space="preserve"> Patent Fees </w:t>
      </w:r>
      <w:r w:rsidR="19268650" w:rsidRPr="293D3C50">
        <w:rPr>
          <w:rFonts w:ascii="Segoe UI" w:hAnsi="Segoe UI" w:cs="Segoe UI"/>
        </w:rPr>
        <w:t>D</w:t>
      </w:r>
      <w:r w:rsidRPr="293D3C50">
        <w:rPr>
          <w:rFonts w:ascii="Segoe UI" w:hAnsi="Segoe UI" w:cs="Segoe UI"/>
        </w:rPr>
        <w:t>uring Fiscal Year 20</w:t>
      </w:r>
      <w:r w:rsidR="3D9D6CE7" w:rsidRPr="293D3C50">
        <w:rPr>
          <w:rFonts w:ascii="Segoe UI" w:hAnsi="Segoe UI" w:cs="Segoe UI"/>
        </w:rPr>
        <w:t>2</w:t>
      </w:r>
      <w:r w:rsidR="4D35D20B" w:rsidRPr="293D3C50">
        <w:rPr>
          <w:rFonts w:ascii="Segoe UI" w:hAnsi="Segoe UI" w:cs="Segoe UI"/>
        </w:rPr>
        <w:t>5</w:t>
      </w:r>
      <w:r w:rsidR="6D33775F" w:rsidRPr="293D3C50">
        <w:rPr>
          <w:rFonts w:ascii="Segoe UI" w:hAnsi="Segoe UI" w:cs="Segoe UI"/>
        </w:rPr>
        <w:t>—</w:t>
      </w:r>
      <w:r w:rsidR="40EBC10C" w:rsidRPr="293D3C50">
        <w:rPr>
          <w:rFonts w:ascii="Segoe UI" w:hAnsi="Segoe UI" w:cs="Segoe UI"/>
        </w:rPr>
        <w:t>t</w:t>
      </w:r>
      <w:r w:rsidRPr="293D3C50">
        <w:rPr>
          <w:rFonts w:ascii="Segoe UI" w:hAnsi="Segoe UI" w:cs="Segoe UI"/>
        </w:rPr>
        <w:t xml:space="preserve">he </w:t>
      </w:r>
      <w:r w:rsidR="2F19A1C9" w:rsidRPr="293D3C50">
        <w:rPr>
          <w:rFonts w:ascii="Segoe UI" w:hAnsi="Segoe UI" w:cs="Segoe UI"/>
        </w:rPr>
        <w:t>f</w:t>
      </w:r>
      <w:r w:rsidR="69D93295" w:rsidRPr="293D3C50">
        <w:rPr>
          <w:rFonts w:ascii="Segoe UI" w:hAnsi="Segoe UI" w:cs="Segoe UI"/>
        </w:rPr>
        <w:t xml:space="preserve">ee </w:t>
      </w:r>
      <w:r w:rsidR="23B4F205" w:rsidRPr="293D3C50">
        <w:rPr>
          <w:rFonts w:ascii="Segoe UI" w:hAnsi="Segoe UI" w:cs="Segoe UI"/>
        </w:rPr>
        <w:t>s</w:t>
      </w:r>
      <w:r w:rsidR="69D93295" w:rsidRPr="293D3C50">
        <w:rPr>
          <w:rFonts w:ascii="Segoe UI" w:hAnsi="Segoe UI" w:cs="Segoe UI"/>
        </w:rPr>
        <w:t>chedule</w:t>
      </w:r>
      <w:r w:rsidRPr="293D3C50">
        <w:rPr>
          <w:rFonts w:ascii="Segoe UI" w:hAnsi="Segoe UI" w:cs="Segoe UI"/>
        </w:rPr>
        <w:t xml:space="preserve"> detailed in the</w:t>
      </w:r>
      <w:r w:rsidR="000E20E9">
        <w:rPr>
          <w:rFonts w:ascii="Segoe UI" w:hAnsi="Segoe UI" w:cs="Segoe UI"/>
        </w:rPr>
        <w:t xml:space="preserve"> final rule</w:t>
      </w:r>
      <w:r w:rsidR="4F51D0E3">
        <w:t xml:space="preserve"> </w:t>
      </w:r>
      <w:r w:rsidR="4F51D0E3" w:rsidRPr="293D3C50">
        <w:rPr>
          <w:rFonts w:ascii="Segoe UI" w:hAnsi="Segoe UI" w:cs="Segoe UI"/>
        </w:rPr>
        <w:t>to produce adequate aggregate revenue to fund the aggregate costs of future budgetary requirements</w:t>
      </w:r>
    </w:p>
    <w:p w14:paraId="67EA35D7" w14:textId="23103723" w:rsidR="00FC4F1B" w:rsidRPr="00CF6436" w:rsidRDefault="367AF0B6" w:rsidP="00EA247B">
      <w:pPr>
        <w:pStyle w:val="ListParagraph"/>
        <w:numPr>
          <w:ilvl w:val="0"/>
          <w:numId w:val="9"/>
        </w:numPr>
        <w:spacing w:line="360" w:lineRule="auto"/>
        <w:rPr>
          <w:rFonts w:ascii="Segoe UI" w:hAnsi="Segoe UI" w:cs="Segoe UI"/>
        </w:rPr>
      </w:pPr>
      <w:r w:rsidRPr="293D3C50">
        <w:rPr>
          <w:rFonts w:ascii="Segoe UI" w:hAnsi="Segoe UI" w:cs="Segoe UI"/>
        </w:rPr>
        <w:t>Alternative 2: Unit Cost Recovery</w:t>
      </w:r>
      <w:r w:rsidR="114FB4AA" w:rsidRPr="293D3C50">
        <w:rPr>
          <w:rFonts w:ascii="Segoe UI" w:hAnsi="Segoe UI" w:cs="Segoe UI"/>
        </w:rPr>
        <w:t>—</w:t>
      </w:r>
      <w:r w:rsidR="40EBC10C" w:rsidRPr="293D3C50">
        <w:rPr>
          <w:rFonts w:ascii="Segoe UI" w:hAnsi="Segoe UI" w:cs="Segoe UI"/>
        </w:rPr>
        <w:t>a</w:t>
      </w:r>
      <w:r w:rsidRPr="293D3C50">
        <w:rPr>
          <w:rFonts w:ascii="Segoe UI" w:hAnsi="Segoe UI" w:cs="Segoe UI"/>
        </w:rPr>
        <w:t xml:space="preserve"> fee schedule that generally sets fees equal to their individual activity</w:t>
      </w:r>
      <w:r w:rsidR="1440E2BC" w:rsidRPr="293D3C50">
        <w:rPr>
          <w:rFonts w:ascii="Segoe UI" w:hAnsi="Segoe UI" w:cs="Segoe UI"/>
        </w:rPr>
        <w:t>-</w:t>
      </w:r>
      <w:r w:rsidRPr="293D3C50">
        <w:rPr>
          <w:rFonts w:ascii="Segoe UI" w:hAnsi="Segoe UI" w:cs="Segoe UI"/>
        </w:rPr>
        <w:t xml:space="preserve">based unit cost (where that information is available) to produce adequate </w:t>
      </w:r>
      <w:r w:rsidR="7FCB4C66" w:rsidRPr="293D3C50">
        <w:rPr>
          <w:rFonts w:ascii="Segoe UI" w:hAnsi="Segoe UI" w:cs="Segoe UI"/>
        </w:rPr>
        <w:t xml:space="preserve">aggregate </w:t>
      </w:r>
      <w:r w:rsidRPr="293D3C50">
        <w:rPr>
          <w:rFonts w:ascii="Segoe UI" w:hAnsi="Segoe UI" w:cs="Segoe UI"/>
        </w:rPr>
        <w:t xml:space="preserve">revenue to fund </w:t>
      </w:r>
      <w:r w:rsidR="6842CFE9" w:rsidRPr="293D3C50">
        <w:rPr>
          <w:rFonts w:ascii="Segoe UI" w:hAnsi="Segoe UI" w:cs="Segoe UI"/>
        </w:rPr>
        <w:t xml:space="preserve">future </w:t>
      </w:r>
      <w:r w:rsidRPr="293D3C50">
        <w:rPr>
          <w:rFonts w:ascii="Segoe UI" w:hAnsi="Segoe UI" w:cs="Segoe UI"/>
        </w:rPr>
        <w:t>budgetary requirements</w:t>
      </w:r>
    </w:p>
    <w:p w14:paraId="1F205E69" w14:textId="73FDFDB2" w:rsidR="00FC4F1B" w:rsidRPr="00CF6436" w:rsidRDefault="367AF0B6" w:rsidP="00EA247B">
      <w:pPr>
        <w:pStyle w:val="ListParagraph"/>
        <w:numPr>
          <w:ilvl w:val="0"/>
          <w:numId w:val="9"/>
        </w:numPr>
        <w:spacing w:line="360" w:lineRule="auto"/>
        <w:rPr>
          <w:rFonts w:ascii="Segoe UI" w:hAnsi="Segoe UI" w:cs="Segoe UI"/>
        </w:rPr>
      </w:pPr>
      <w:r w:rsidRPr="293D3C50">
        <w:rPr>
          <w:rFonts w:ascii="Segoe UI" w:hAnsi="Segoe UI" w:cs="Segoe UI"/>
        </w:rPr>
        <w:t>Alternative 3: Across</w:t>
      </w:r>
      <w:r w:rsidR="114FB4AA" w:rsidRPr="293D3C50">
        <w:rPr>
          <w:rFonts w:ascii="Segoe UI" w:hAnsi="Segoe UI" w:cs="Segoe UI"/>
        </w:rPr>
        <w:t>-</w:t>
      </w:r>
      <w:r w:rsidRPr="293D3C50">
        <w:rPr>
          <w:rFonts w:ascii="Segoe UI" w:hAnsi="Segoe UI" w:cs="Segoe UI"/>
        </w:rPr>
        <w:t>the</w:t>
      </w:r>
      <w:r w:rsidR="114FB4AA" w:rsidRPr="293D3C50">
        <w:rPr>
          <w:rFonts w:ascii="Segoe UI" w:hAnsi="Segoe UI" w:cs="Segoe UI"/>
        </w:rPr>
        <w:t>-</w:t>
      </w:r>
      <w:r w:rsidRPr="293D3C50">
        <w:rPr>
          <w:rFonts w:ascii="Segoe UI" w:hAnsi="Segoe UI" w:cs="Segoe UI"/>
        </w:rPr>
        <w:t>Board Adjustment</w:t>
      </w:r>
      <w:r w:rsidR="114FB4AA" w:rsidRPr="293D3C50">
        <w:rPr>
          <w:rFonts w:ascii="Segoe UI" w:hAnsi="Segoe UI" w:cs="Segoe UI"/>
        </w:rPr>
        <w:t>—</w:t>
      </w:r>
      <w:r w:rsidR="5B4A59FC" w:rsidRPr="293D3C50">
        <w:rPr>
          <w:rFonts w:ascii="Segoe UI" w:hAnsi="Segoe UI" w:cs="Segoe UI"/>
        </w:rPr>
        <w:t>a</w:t>
      </w:r>
      <w:r w:rsidRPr="293D3C50">
        <w:rPr>
          <w:rFonts w:ascii="Segoe UI" w:hAnsi="Segoe UI" w:cs="Segoe UI"/>
        </w:rPr>
        <w:t xml:space="preserve"> fee schedule that generally applies a </w:t>
      </w:r>
      <w:r w:rsidR="004A1A47">
        <w:rPr>
          <w:rFonts w:ascii="Segoe UI" w:hAnsi="Segoe UI" w:cs="Segoe UI"/>
        </w:rPr>
        <w:t>12.</w:t>
      </w:r>
      <w:r w:rsidR="004A1A47" w:rsidRPr="001745F6">
        <w:rPr>
          <w:rFonts w:ascii="Segoe UI" w:hAnsi="Segoe UI" w:cs="Segoe UI"/>
        </w:rPr>
        <w:t>5</w:t>
      </w:r>
      <w:r w:rsidR="669C9393" w:rsidRPr="293D3C50">
        <w:rPr>
          <w:rFonts w:ascii="Segoe UI" w:hAnsi="Segoe UI" w:cs="Segoe UI"/>
        </w:rPr>
        <w:t>%</w:t>
      </w:r>
      <w:r w:rsidRPr="293D3C50">
        <w:rPr>
          <w:rFonts w:ascii="Segoe UI" w:hAnsi="Segoe UI" w:cs="Segoe UI"/>
        </w:rPr>
        <w:t xml:space="preserve"> inflationary factor to the Baseline (Alternative 4) to produce adequate </w:t>
      </w:r>
      <w:r w:rsidR="7FCB4C66" w:rsidRPr="293D3C50">
        <w:rPr>
          <w:rFonts w:ascii="Segoe UI" w:hAnsi="Segoe UI" w:cs="Segoe UI"/>
        </w:rPr>
        <w:t xml:space="preserve">aggregate </w:t>
      </w:r>
      <w:r w:rsidRPr="293D3C50">
        <w:rPr>
          <w:rFonts w:ascii="Segoe UI" w:hAnsi="Segoe UI" w:cs="Segoe UI"/>
        </w:rPr>
        <w:t xml:space="preserve">revenue to fund </w:t>
      </w:r>
      <w:r w:rsidR="6842CFE9" w:rsidRPr="293D3C50">
        <w:rPr>
          <w:rFonts w:ascii="Segoe UI" w:hAnsi="Segoe UI" w:cs="Segoe UI"/>
        </w:rPr>
        <w:t xml:space="preserve">future </w:t>
      </w:r>
      <w:r w:rsidRPr="293D3C50">
        <w:rPr>
          <w:rFonts w:ascii="Segoe UI" w:hAnsi="Segoe UI" w:cs="Segoe UI"/>
        </w:rPr>
        <w:t>budgetary requirements</w:t>
      </w:r>
    </w:p>
    <w:p w14:paraId="37D2B744" w14:textId="2640E86E" w:rsidR="00FC4F1B" w:rsidRPr="00CF6436" w:rsidRDefault="6842CFE9" w:rsidP="00EA247B">
      <w:pPr>
        <w:pStyle w:val="ListParagraph"/>
        <w:numPr>
          <w:ilvl w:val="0"/>
          <w:numId w:val="9"/>
        </w:numPr>
        <w:spacing w:line="360" w:lineRule="auto"/>
        <w:rPr>
          <w:rFonts w:ascii="Segoe UI" w:hAnsi="Segoe UI" w:cs="Segoe UI"/>
        </w:rPr>
      </w:pPr>
      <w:r w:rsidRPr="293D3C50">
        <w:rPr>
          <w:rFonts w:ascii="Segoe UI" w:hAnsi="Segoe UI" w:cs="Segoe UI"/>
        </w:rPr>
        <w:t>Alternative 4: Baseline</w:t>
      </w:r>
      <w:r w:rsidR="1C2137A3" w:rsidRPr="293D3C50">
        <w:rPr>
          <w:rFonts w:ascii="Segoe UI" w:hAnsi="Segoe UI" w:cs="Segoe UI"/>
        </w:rPr>
        <w:t>—</w:t>
      </w:r>
      <w:r w:rsidR="5B4A59FC" w:rsidRPr="293D3C50">
        <w:rPr>
          <w:rFonts w:ascii="Segoe UI" w:hAnsi="Segoe UI" w:cs="Segoe UI"/>
        </w:rPr>
        <w:t>c</w:t>
      </w:r>
      <w:r w:rsidR="2660E416" w:rsidRPr="293D3C50">
        <w:rPr>
          <w:rFonts w:ascii="Segoe UI" w:hAnsi="Segoe UI" w:cs="Segoe UI"/>
        </w:rPr>
        <w:t>urrent</w:t>
      </w:r>
      <w:r w:rsidRPr="293D3C50">
        <w:rPr>
          <w:rFonts w:ascii="Segoe UI" w:hAnsi="Segoe UI" w:cs="Segoe UI"/>
        </w:rPr>
        <w:t xml:space="preserve"> fee schedule that became effective on </w:t>
      </w:r>
      <w:r w:rsidR="4BF79B5A" w:rsidRPr="293D3C50">
        <w:rPr>
          <w:rFonts w:ascii="Segoe UI" w:hAnsi="Segoe UI" w:cs="Segoe UI"/>
        </w:rPr>
        <w:t>December</w:t>
      </w:r>
      <w:r w:rsidRPr="293D3C50">
        <w:rPr>
          <w:rFonts w:ascii="Segoe UI" w:hAnsi="Segoe UI" w:cs="Segoe UI"/>
        </w:rPr>
        <w:t> </w:t>
      </w:r>
      <w:r w:rsidR="4BF79B5A" w:rsidRPr="293D3C50">
        <w:rPr>
          <w:rFonts w:ascii="Segoe UI" w:hAnsi="Segoe UI" w:cs="Segoe UI"/>
        </w:rPr>
        <w:t>29</w:t>
      </w:r>
      <w:r w:rsidRPr="293D3C50">
        <w:rPr>
          <w:rFonts w:ascii="Segoe UI" w:hAnsi="Segoe UI" w:cs="Segoe UI"/>
        </w:rPr>
        <w:t>, 20</w:t>
      </w:r>
      <w:r w:rsidR="4BF79B5A" w:rsidRPr="293D3C50">
        <w:rPr>
          <w:rFonts w:ascii="Segoe UI" w:hAnsi="Segoe UI" w:cs="Segoe UI"/>
        </w:rPr>
        <w:t>22</w:t>
      </w:r>
    </w:p>
    <w:p w14:paraId="29CD6C5E" w14:textId="77777777" w:rsidR="00852BC0" w:rsidRPr="00CF6436" w:rsidRDefault="00852BC0" w:rsidP="00CF6436">
      <w:pPr>
        <w:spacing w:line="360" w:lineRule="auto"/>
        <w:rPr>
          <w:rFonts w:ascii="Segoe UI" w:hAnsi="Segoe UI" w:cs="Segoe UI"/>
        </w:rPr>
      </w:pPr>
    </w:p>
    <w:p w14:paraId="48C3229F" w14:textId="77777777" w:rsidR="005B535F" w:rsidRPr="00CF6436" w:rsidRDefault="725F6408" w:rsidP="00CF6436">
      <w:pPr>
        <w:pStyle w:val="Heading2Number"/>
        <w:spacing w:line="360" w:lineRule="auto"/>
        <w:rPr>
          <w:rFonts w:ascii="Segoe UI" w:hAnsi="Segoe UI" w:cs="Segoe UI"/>
        </w:rPr>
      </w:pPr>
      <w:bookmarkStart w:id="101" w:name="_Toc451951715"/>
      <w:bookmarkStart w:id="102" w:name="_Toc175640426"/>
      <w:r w:rsidRPr="293D3C50">
        <w:rPr>
          <w:rFonts w:ascii="Segoe UI" w:hAnsi="Segoe UI" w:cs="Segoe UI"/>
        </w:rPr>
        <w:t>Methodology</w:t>
      </w:r>
      <w:bookmarkEnd w:id="92"/>
      <w:bookmarkEnd w:id="93"/>
      <w:bookmarkEnd w:id="94"/>
      <w:bookmarkEnd w:id="95"/>
      <w:bookmarkEnd w:id="101"/>
      <w:bookmarkEnd w:id="102"/>
    </w:p>
    <w:p w14:paraId="01140AC0" w14:textId="466E9417" w:rsidR="00117429" w:rsidRPr="00CF6436" w:rsidRDefault="00C84312" w:rsidP="293D3C50">
      <w:pPr>
        <w:tabs>
          <w:tab w:val="left" w:pos="450"/>
        </w:tabs>
        <w:spacing w:line="360" w:lineRule="auto"/>
        <w:ind w:firstLine="450"/>
        <w:rPr>
          <w:rFonts w:ascii="Segoe UI" w:hAnsi="Segoe UI" w:cs="Segoe UI"/>
        </w:rPr>
      </w:pPr>
      <w:r w:rsidRPr="293D3C50">
        <w:rPr>
          <w:rFonts w:ascii="Segoe UI" w:hAnsi="Segoe UI" w:cs="Segoe UI"/>
        </w:rPr>
        <w:t xml:space="preserve">The </w:t>
      </w:r>
      <w:r w:rsidR="3628F768" w:rsidRPr="293D3C50">
        <w:rPr>
          <w:rFonts w:ascii="Segoe UI" w:hAnsi="Segoe UI" w:cs="Segoe UI"/>
        </w:rPr>
        <w:t xml:space="preserve">USPTO analyzed the </w:t>
      </w:r>
      <w:r w:rsidR="70B96696" w:rsidRPr="293D3C50">
        <w:rPr>
          <w:rFonts w:ascii="Segoe UI" w:hAnsi="Segoe UI" w:cs="Segoe UI"/>
        </w:rPr>
        <w:t>qualitative impact of costs and benefits for each alternative</w:t>
      </w:r>
      <w:r w:rsidRPr="293D3C50">
        <w:rPr>
          <w:rFonts w:ascii="Segoe UI" w:hAnsi="Segoe UI" w:cs="Segoe UI"/>
        </w:rPr>
        <w:t xml:space="preserve"> using key indicators when applicable</w:t>
      </w:r>
      <w:r w:rsidR="70B96696" w:rsidRPr="293D3C50">
        <w:rPr>
          <w:rFonts w:ascii="Segoe UI" w:hAnsi="Segoe UI" w:cs="Segoe UI"/>
        </w:rPr>
        <w:t>.</w:t>
      </w:r>
      <w:r w:rsidR="2B9FA360" w:rsidRPr="293D3C50">
        <w:rPr>
          <w:rFonts w:ascii="Segoe UI" w:hAnsi="Segoe UI" w:cs="Segoe UI"/>
        </w:rPr>
        <w:t xml:space="preserve"> </w:t>
      </w:r>
      <w:r w:rsidR="2577F300" w:rsidRPr="293D3C50">
        <w:rPr>
          <w:rFonts w:ascii="Segoe UI" w:hAnsi="Segoe UI" w:cs="Segoe UI"/>
        </w:rPr>
        <w:t>This section presents three methodologies used to develop information for this RIA:</w:t>
      </w:r>
      <w:r w:rsidR="2B9FA360" w:rsidRPr="293D3C50">
        <w:rPr>
          <w:rFonts w:ascii="Segoe UI" w:hAnsi="Segoe UI" w:cs="Segoe UI"/>
        </w:rPr>
        <w:t xml:space="preserve"> </w:t>
      </w:r>
      <w:r w:rsidR="0E954761" w:rsidRPr="293D3C50">
        <w:rPr>
          <w:rFonts w:ascii="Segoe UI" w:hAnsi="Segoe UI" w:cs="Segoe UI"/>
        </w:rPr>
        <w:t>(</w:t>
      </w:r>
      <w:r w:rsidR="2577F300" w:rsidRPr="293D3C50">
        <w:rPr>
          <w:rFonts w:ascii="Segoe UI" w:hAnsi="Segoe UI" w:cs="Segoe UI"/>
        </w:rPr>
        <w:t>1) activity</w:t>
      </w:r>
      <w:r w:rsidR="0975C092" w:rsidRPr="293D3C50">
        <w:rPr>
          <w:rFonts w:ascii="Segoe UI" w:hAnsi="Segoe UI" w:cs="Segoe UI"/>
        </w:rPr>
        <w:t>-</w:t>
      </w:r>
      <w:r w:rsidR="2577F300" w:rsidRPr="293D3C50">
        <w:rPr>
          <w:rFonts w:ascii="Segoe UI" w:hAnsi="Segoe UI" w:cs="Segoe UI"/>
        </w:rPr>
        <w:t>based costing</w:t>
      </w:r>
      <w:r w:rsidR="07C7ED90" w:rsidRPr="293D3C50">
        <w:rPr>
          <w:rFonts w:ascii="Segoe UI" w:hAnsi="Segoe UI" w:cs="Segoe UI"/>
        </w:rPr>
        <w:t xml:space="preserve"> (ABC)</w:t>
      </w:r>
      <w:r w:rsidR="2577F300" w:rsidRPr="293D3C50">
        <w:rPr>
          <w:rFonts w:ascii="Segoe UI" w:hAnsi="Segoe UI" w:cs="Segoe UI"/>
        </w:rPr>
        <w:t xml:space="preserve">; </w:t>
      </w:r>
      <w:r w:rsidR="0E954761" w:rsidRPr="293D3C50">
        <w:rPr>
          <w:rFonts w:ascii="Segoe UI" w:hAnsi="Segoe UI" w:cs="Segoe UI"/>
        </w:rPr>
        <w:t>(</w:t>
      </w:r>
      <w:r w:rsidR="2577F300" w:rsidRPr="293D3C50">
        <w:rPr>
          <w:rFonts w:ascii="Segoe UI" w:hAnsi="Segoe UI" w:cs="Segoe UI"/>
        </w:rPr>
        <w:t xml:space="preserve">2) aggregate </w:t>
      </w:r>
      <w:r w:rsidR="1A79A1A1" w:rsidRPr="293D3C50">
        <w:rPr>
          <w:rFonts w:ascii="Segoe UI" w:hAnsi="Segoe UI" w:cs="Segoe UI"/>
        </w:rPr>
        <w:t xml:space="preserve">patent </w:t>
      </w:r>
      <w:r w:rsidR="2577F300" w:rsidRPr="293D3C50">
        <w:rPr>
          <w:rFonts w:ascii="Segoe UI" w:hAnsi="Segoe UI" w:cs="Segoe UI"/>
        </w:rPr>
        <w:t xml:space="preserve">fee revenue projections; and </w:t>
      </w:r>
      <w:r w:rsidR="0E954761" w:rsidRPr="293D3C50">
        <w:rPr>
          <w:rFonts w:ascii="Segoe UI" w:hAnsi="Segoe UI" w:cs="Segoe UI"/>
        </w:rPr>
        <w:t>(</w:t>
      </w:r>
      <w:r w:rsidR="2577F300" w:rsidRPr="293D3C50">
        <w:rPr>
          <w:rFonts w:ascii="Segoe UI" w:hAnsi="Segoe UI" w:cs="Segoe UI"/>
        </w:rPr>
        <w:t xml:space="preserve">3) </w:t>
      </w:r>
      <w:r w:rsidR="4AA70EAE" w:rsidRPr="293D3C50">
        <w:rPr>
          <w:rFonts w:ascii="Segoe UI" w:hAnsi="Segoe UI" w:cs="Segoe UI"/>
        </w:rPr>
        <w:t>aggregate patent cost</w:t>
      </w:r>
      <w:r w:rsidR="70274DB5" w:rsidRPr="293D3C50">
        <w:rPr>
          <w:rFonts w:ascii="Segoe UI" w:hAnsi="Segoe UI" w:cs="Segoe UI"/>
        </w:rPr>
        <w:t xml:space="preserve"> projection</w:t>
      </w:r>
      <w:r w:rsidR="4AA70EAE" w:rsidRPr="293D3C50">
        <w:rPr>
          <w:rFonts w:ascii="Segoe UI" w:hAnsi="Segoe UI" w:cs="Segoe UI"/>
        </w:rPr>
        <w:t>s</w:t>
      </w:r>
      <w:r w:rsidR="2577F300" w:rsidRPr="293D3C50">
        <w:rPr>
          <w:rFonts w:ascii="Segoe UI" w:hAnsi="Segoe UI" w:cs="Segoe UI"/>
        </w:rPr>
        <w:t>.</w:t>
      </w:r>
    </w:p>
    <w:p w14:paraId="78ED2B2F" w14:textId="77777777" w:rsidR="00117429" w:rsidRPr="00CF6436" w:rsidRDefault="00117429" w:rsidP="00CF6436">
      <w:pPr>
        <w:tabs>
          <w:tab w:val="left" w:pos="450"/>
        </w:tabs>
        <w:spacing w:line="360" w:lineRule="auto"/>
        <w:rPr>
          <w:rFonts w:ascii="Segoe UI" w:hAnsi="Segoe UI" w:cs="Segoe UI"/>
          <w:szCs w:val="24"/>
        </w:rPr>
      </w:pPr>
    </w:p>
    <w:p w14:paraId="3D9E9633" w14:textId="0BC10F5E" w:rsidR="00117429" w:rsidRPr="00CF6436" w:rsidRDefault="640EABBD" w:rsidP="00EA247B">
      <w:pPr>
        <w:pStyle w:val="Heading3Numbering"/>
        <w:numPr>
          <w:ilvl w:val="2"/>
          <w:numId w:val="7"/>
        </w:numPr>
        <w:spacing w:line="360" w:lineRule="auto"/>
        <w:rPr>
          <w:rFonts w:ascii="Segoe UI" w:hAnsi="Segoe UI" w:cs="Segoe UI"/>
        </w:rPr>
      </w:pPr>
      <w:r w:rsidRPr="293D3C50">
        <w:rPr>
          <w:rFonts w:ascii="Segoe UI" w:hAnsi="Segoe UI" w:cs="Segoe UI"/>
        </w:rPr>
        <w:t>Activity</w:t>
      </w:r>
      <w:r w:rsidR="13CC460D" w:rsidRPr="293D3C50">
        <w:rPr>
          <w:rFonts w:ascii="Segoe UI" w:hAnsi="Segoe UI" w:cs="Segoe UI"/>
        </w:rPr>
        <w:t>-</w:t>
      </w:r>
      <w:r w:rsidR="75225047" w:rsidRPr="293D3C50">
        <w:rPr>
          <w:rFonts w:ascii="Segoe UI" w:hAnsi="Segoe UI" w:cs="Segoe UI"/>
        </w:rPr>
        <w:t>B</w:t>
      </w:r>
      <w:r w:rsidRPr="293D3C50">
        <w:rPr>
          <w:rFonts w:ascii="Segoe UI" w:hAnsi="Segoe UI" w:cs="Segoe UI"/>
        </w:rPr>
        <w:t xml:space="preserve">ased </w:t>
      </w:r>
      <w:r w:rsidR="75225047" w:rsidRPr="293D3C50">
        <w:rPr>
          <w:rFonts w:ascii="Segoe UI" w:hAnsi="Segoe UI" w:cs="Segoe UI"/>
        </w:rPr>
        <w:t>C</w:t>
      </w:r>
      <w:r w:rsidRPr="293D3C50">
        <w:rPr>
          <w:rFonts w:ascii="Segoe UI" w:hAnsi="Segoe UI" w:cs="Segoe UI"/>
        </w:rPr>
        <w:t>osting</w:t>
      </w:r>
    </w:p>
    <w:p w14:paraId="591E5AE0" w14:textId="1CCCED6A" w:rsidR="00117429" w:rsidRPr="00CF6436" w:rsidRDefault="0717F3DE" w:rsidP="293D3C50">
      <w:pPr>
        <w:tabs>
          <w:tab w:val="left" w:pos="450"/>
        </w:tabs>
        <w:spacing w:line="360" w:lineRule="auto"/>
        <w:ind w:firstLine="450"/>
        <w:rPr>
          <w:rFonts w:ascii="Segoe UI" w:hAnsi="Segoe UI" w:cs="Segoe UI"/>
          <w:color w:val="000000" w:themeColor="text1"/>
        </w:rPr>
      </w:pPr>
      <w:r w:rsidRPr="17CECF10">
        <w:rPr>
          <w:rFonts w:ascii="Segoe UI" w:hAnsi="Segoe UI" w:cs="Segoe UI"/>
          <w:color w:val="000000" w:themeColor="text1"/>
        </w:rPr>
        <w:t>The USPTO</w:t>
      </w:r>
      <w:r w:rsidR="3A4D8D53" w:rsidRPr="17CECF10">
        <w:rPr>
          <w:rFonts w:ascii="Segoe UI" w:hAnsi="Segoe UI" w:cs="Segoe UI"/>
          <w:color w:val="000000" w:themeColor="text1"/>
        </w:rPr>
        <w:t>’s ABI program</w:t>
      </w:r>
      <w:r w:rsidRPr="17CECF10">
        <w:rPr>
          <w:rFonts w:ascii="Segoe UI" w:hAnsi="Segoe UI" w:cs="Segoe UI"/>
          <w:color w:val="000000" w:themeColor="text1"/>
        </w:rPr>
        <w:t xml:space="preserve"> use</w:t>
      </w:r>
      <w:r w:rsidR="0E232A49" w:rsidRPr="17CECF10">
        <w:rPr>
          <w:rFonts w:ascii="Segoe UI" w:hAnsi="Segoe UI" w:cs="Segoe UI"/>
          <w:color w:val="000000" w:themeColor="text1"/>
        </w:rPr>
        <w:t>s</w:t>
      </w:r>
      <w:r w:rsidRPr="17CECF10">
        <w:rPr>
          <w:rFonts w:ascii="Segoe UI" w:hAnsi="Segoe UI" w:cs="Segoe UI"/>
          <w:color w:val="000000" w:themeColor="text1"/>
        </w:rPr>
        <w:t xml:space="preserve"> </w:t>
      </w:r>
      <w:r w:rsidR="460F26CB" w:rsidRPr="17CECF10">
        <w:rPr>
          <w:rFonts w:ascii="Segoe UI" w:hAnsi="Segoe UI" w:cs="Segoe UI"/>
          <w:color w:val="000000" w:themeColor="text1"/>
        </w:rPr>
        <w:t xml:space="preserve">an </w:t>
      </w:r>
      <w:r w:rsidR="31BAC6CB" w:rsidRPr="17CECF10">
        <w:rPr>
          <w:rFonts w:ascii="Segoe UI" w:hAnsi="Segoe UI" w:cs="Segoe UI"/>
          <w:color w:val="000000" w:themeColor="text1"/>
        </w:rPr>
        <w:t>ABC methodo</w:t>
      </w:r>
      <w:r w:rsidR="5D933171" w:rsidRPr="17CECF10">
        <w:rPr>
          <w:rFonts w:ascii="Segoe UI" w:hAnsi="Segoe UI" w:cs="Segoe UI"/>
          <w:color w:val="000000" w:themeColor="text1"/>
        </w:rPr>
        <w:t>logy</w:t>
      </w:r>
      <w:r w:rsidR="6FC33F0D" w:rsidRPr="17CECF10">
        <w:rPr>
          <w:rFonts w:ascii="Segoe UI" w:hAnsi="Segoe UI" w:cs="Segoe UI"/>
          <w:color w:val="000000" w:themeColor="text1"/>
        </w:rPr>
        <w:t xml:space="preserve"> to derive the historical costs of agency-pr</w:t>
      </w:r>
      <w:r w:rsidR="62EC0463" w:rsidRPr="17CECF10">
        <w:rPr>
          <w:rFonts w:ascii="Segoe UI" w:hAnsi="Segoe UI" w:cs="Segoe UI"/>
          <w:color w:val="000000" w:themeColor="text1"/>
        </w:rPr>
        <w:t>ovided services.</w:t>
      </w:r>
      <w:r w:rsidR="60314839" w:rsidRPr="17CECF10">
        <w:rPr>
          <w:rFonts w:ascii="Segoe UI" w:hAnsi="Segoe UI" w:cs="Segoe UI"/>
          <w:color w:val="000000" w:themeColor="text1"/>
        </w:rPr>
        <w:t xml:space="preserve"> </w:t>
      </w:r>
      <w:r w:rsidR="03BC6F4B" w:rsidRPr="17CECF10">
        <w:rPr>
          <w:rFonts w:ascii="Segoe UI" w:hAnsi="Segoe UI" w:cs="Segoe UI"/>
          <w:color w:val="000000" w:themeColor="text1"/>
        </w:rPr>
        <w:t>The USPTO used this</w:t>
      </w:r>
      <w:r w:rsidR="60314839" w:rsidRPr="17CECF10">
        <w:rPr>
          <w:rFonts w:ascii="Segoe UI" w:hAnsi="Segoe UI" w:cs="Segoe UI"/>
          <w:color w:val="000000" w:themeColor="text1"/>
        </w:rPr>
        <w:t xml:space="preserve"> data</w:t>
      </w:r>
      <w:r w:rsidR="603E4FCC" w:rsidRPr="17CECF10">
        <w:rPr>
          <w:rFonts w:ascii="Segoe UI" w:hAnsi="Segoe UI" w:cs="Segoe UI"/>
          <w:color w:val="000000" w:themeColor="text1"/>
        </w:rPr>
        <w:t xml:space="preserve"> </w:t>
      </w:r>
      <w:r w:rsidR="5D933171" w:rsidRPr="17CECF10">
        <w:rPr>
          <w:rFonts w:ascii="Segoe UI" w:hAnsi="Segoe UI" w:cs="Segoe UI"/>
          <w:color w:val="000000" w:themeColor="text1"/>
        </w:rPr>
        <w:t xml:space="preserve">to </w:t>
      </w:r>
      <w:r w:rsidR="31BAC6CB" w:rsidRPr="17CECF10">
        <w:rPr>
          <w:rFonts w:ascii="Segoe UI" w:hAnsi="Segoe UI" w:cs="Segoe UI"/>
          <w:color w:val="000000" w:themeColor="text1"/>
        </w:rPr>
        <w:t xml:space="preserve">set individual fees </w:t>
      </w:r>
      <w:r w:rsidR="31BAC6CB" w:rsidRPr="17CECF10">
        <w:rPr>
          <w:rFonts w:ascii="Segoe UI" w:hAnsi="Segoe UI" w:cs="Segoe UI"/>
          <w:color w:val="000000" w:themeColor="text1"/>
        </w:rPr>
        <w:lastRenderedPageBreak/>
        <w:t xml:space="preserve">to further </w:t>
      </w:r>
      <w:r w:rsidR="31C7630D" w:rsidRPr="17CECF10">
        <w:rPr>
          <w:rFonts w:ascii="Segoe UI" w:hAnsi="Segoe UI" w:cs="Segoe UI"/>
          <w:color w:val="000000" w:themeColor="text1"/>
        </w:rPr>
        <w:t xml:space="preserve">the </w:t>
      </w:r>
      <w:r w:rsidR="31BAC6CB" w:rsidRPr="17CECF10">
        <w:rPr>
          <w:rFonts w:ascii="Segoe UI" w:hAnsi="Segoe UI" w:cs="Segoe UI"/>
          <w:color w:val="000000" w:themeColor="text1"/>
        </w:rPr>
        <w:t xml:space="preserve">key </w:t>
      </w:r>
      <w:r w:rsidR="427D6FEA" w:rsidRPr="17CECF10">
        <w:rPr>
          <w:rFonts w:ascii="Segoe UI" w:hAnsi="Segoe UI" w:cs="Segoe UI"/>
          <w:color w:val="000000" w:themeColor="text1"/>
        </w:rPr>
        <w:t xml:space="preserve">fee setting </w:t>
      </w:r>
      <w:r w:rsidR="31BAC6CB" w:rsidRPr="17CECF10">
        <w:rPr>
          <w:rFonts w:ascii="Segoe UI" w:hAnsi="Segoe UI" w:cs="Segoe UI"/>
          <w:color w:val="000000" w:themeColor="text1"/>
        </w:rPr>
        <w:t xml:space="preserve">policy factor of aligning fees </w:t>
      </w:r>
      <w:r w:rsidR="3D84C00B" w:rsidRPr="17CECF10">
        <w:rPr>
          <w:rFonts w:ascii="Segoe UI" w:hAnsi="Segoe UI" w:cs="Segoe UI"/>
        </w:rPr>
        <w:t>with the full cost of products and services</w:t>
      </w:r>
      <w:r w:rsidR="31BAC6CB" w:rsidRPr="17CECF10">
        <w:rPr>
          <w:rFonts w:ascii="Segoe UI" w:hAnsi="Segoe UI" w:cs="Segoe UI"/>
          <w:color w:val="000000" w:themeColor="text1"/>
        </w:rPr>
        <w:t>.</w:t>
      </w:r>
      <w:r w:rsidR="3E653C90" w:rsidRPr="17CECF10">
        <w:rPr>
          <w:rFonts w:ascii="Segoe UI" w:hAnsi="Segoe UI" w:cs="Segoe UI"/>
          <w:color w:val="000000" w:themeColor="text1"/>
        </w:rPr>
        <w:t xml:space="preserve"> </w:t>
      </w:r>
      <w:r w:rsidR="31BAC6CB" w:rsidRPr="17CECF10">
        <w:rPr>
          <w:rFonts w:ascii="Segoe UI" w:hAnsi="Segoe UI" w:cs="Segoe UI"/>
          <w:color w:val="000000" w:themeColor="text1"/>
        </w:rPr>
        <w:t>A discussion of methodology and results is available in a separate document</w:t>
      </w:r>
      <w:r w:rsidR="16AFC756" w:rsidRPr="17CECF10">
        <w:rPr>
          <w:rFonts w:ascii="Segoe UI" w:hAnsi="Segoe UI" w:cs="Segoe UI"/>
          <w:color w:val="000000" w:themeColor="text1"/>
        </w:rPr>
        <w:t>,</w:t>
      </w:r>
      <w:r w:rsidR="31BAC6CB" w:rsidRPr="17CECF10">
        <w:rPr>
          <w:rFonts w:ascii="Segoe UI" w:hAnsi="Segoe UI" w:cs="Segoe UI"/>
          <w:color w:val="000000" w:themeColor="text1"/>
        </w:rPr>
        <w:t xml:space="preserve"> “Setting and Adjusting Patent Fees</w:t>
      </w:r>
      <w:r w:rsidR="6DBDB7CE" w:rsidRPr="17CECF10">
        <w:rPr>
          <w:rFonts w:ascii="Segoe UI" w:hAnsi="Segoe UI" w:cs="Segoe UI"/>
          <w:color w:val="000000" w:themeColor="text1"/>
        </w:rPr>
        <w:t xml:space="preserve"> </w:t>
      </w:r>
      <w:r w:rsidR="20370BC9" w:rsidRPr="17CECF10">
        <w:rPr>
          <w:rFonts w:ascii="Segoe UI" w:hAnsi="Segoe UI" w:cs="Segoe UI"/>
        </w:rPr>
        <w:t>D</w:t>
      </w:r>
      <w:r w:rsidR="6DBDB7CE" w:rsidRPr="17CECF10">
        <w:rPr>
          <w:rFonts w:ascii="Segoe UI" w:hAnsi="Segoe UI" w:cs="Segoe UI"/>
        </w:rPr>
        <w:t>uring Fiscal Year 20</w:t>
      </w:r>
      <w:r w:rsidR="506891BC" w:rsidRPr="17CECF10">
        <w:rPr>
          <w:rFonts w:ascii="Segoe UI" w:hAnsi="Segoe UI" w:cs="Segoe UI"/>
        </w:rPr>
        <w:t>2</w:t>
      </w:r>
      <w:r w:rsidR="4EE499DC" w:rsidRPr="17CECF10">
        <w:rPr>
          <w:rFonts w:ascii="Segoe UI" w:hAnsi="Segoe UI" w:cs="Segoe UI"/>
        </w:rPr>
        <w:t>5</w:t>
      </w:r>
      <w:r w:rsidR="54865091" w:rsidRPr="17CECF10">
        <w:rPr>
          <w:rFonts w:ascii="Segoe UI" w:hAnsi="Segoe UI" w:cs="Segoe UI"/>
          <w:color w:val="000000" w:themeColor="text1"/>
        </w:rPr>
        <w:t>—</w:t>
      </w:r>
      <w:r w:rsidR="31BAC6CB" w:rsidRPr="17CECF10">
        <w:rPr>
          <w:rFonts w:ascii="Segoe UI" w:hAnsi="Segoe UI" w:cs="Segoe UI"/>
          <w:color w:val="000000" w:themeColor="text1"/>
        </w:rPr>
        <w:t>Activity</w:t>
      </w:r>
      <w:r w:rsidR="660E08C4" w:rsidRPr="17CECF10">
        <w:rPr>
          <w:rFonts w:ascii="Segoe UI" w:hAnsi="Segoe UI" w:cs="Segoe UI"/>
          <w:color w:val="000000" w:themeColor="text1"/>
        </w:rPr>
        <w:t>-</w:t>
      </w:r>
      <w:r w:rsidR="31BAC6CB" w:rsidRPr="17CECF10">
        <w:rPr>
          <w:rFonts w:ascii="Segoe UI" w:hAnsi="Segoe UI" w:cs="Segoe UI"/>
          <w:color w:val="000000" w:themeColor="text1"/>
        </w:rPr>
        <w:t>Based Information and Patent Fee Unit Expense Methodology</w:t>
      </w:r>
      <w:r w:rsidR="16AFC756" w:rsidRPr="17CECF10">
        <w:rPr>
          <w:rFonts w:ascii="Segoe UI" w:hAnsi="Segoe UI" w:cs="Segoe UI"/>
          <w:color w:val="000000" w:themeColor="text1"/>
        </w:rPr>
        <w:t>,</w:t>
      </w:r>
      <w:r w:rsidR="31BAC6CB" w:rsidRPr="17CECF10">
        <w:rPr>
          <w:rFonts w:ascii="Segoe UI" w:hAnsi="Segoe UI" w:cs="Segoe UI"/>
          <w:color w:val="000000" w:themeColor="text1"/>
        </w:rPr>
        <w:t>”</w:t>
      </w:r>
      <w:r w:rsidR="2CFF36CD" w:rsidRPr="17CECF10">
        <w:rPr>
          <w:rFonts w:ascii="Segoe UI" w:hAnsi="Segoe UI" w:cs="Segoe UI"/>
          <w:color w:val="000000" w:themeColor="text1"/>
        </w:rPr>
        <w:t xml:space="preserve"> available on the </w:t>
      </w:r>
      <w:hyperlink r:id="rId30">
        <w:r w:rsidR="2CFF36CD" w:rsidRPr="17CECF10">
          <w:rPr>
            <w:rStyle w:val="Hyperlink"/>
            <w:rFonts w:ascii="Segoe UI" w:hAnsi="Segoe UI" w:cs="Segoe UI"/>
          </w:rPr>
          <w:t>fee setting section of the USPTO website</w:t>
        </w:r>
      </w:hyperlink>
      <w:r w:rsidR="2CFF36CD" w:rsidRPr="17CECF10">
        <w:rPr>
          <w:rFonts w:ascii="Segoe UI" w:hAnsi="Segoe UI" w:cs="Segoe UI"/>
          <w:color w:val="000000" w:themeColor="text1"/>
        </w:rPr>
        <w:t>.</w:t>
      </w:r>
      <w:r w:rsidR="73ECE06F" w:rsidRPr="17CECF10">
        <w:rPr>
          <w:rFonts w:ascii="Segoe UI" w:hAnsi="Segoe UI" w:cs="Segoe UI"/>
          <w:color w:val="000000" w:themeColor="text1"/>
        </w:rPr>
        <w:t xml:space="preserve"> </w:t>
      </w:r>
      <w:r w:rsidR="5BA6964E" w:rsidRPr="17CECF10">
        <w:rPr>
          <w:rFonts w:ascii="Segoe UI" w:hAnsi="Segoe UI" w:cs="Segoe UI"/>
          <w:color w:val="000000" w:themeColor="text1"/>
        </w:rPr>
        <w:t>The</w:t>
      </w:r>
      <w:r w:rsidR="2601AAAE" w:rsidRPr="17CECF10">
        <w:rPr>
          <w:rFonts w:ascii="Segoe UI" w:hAnsi="Segoe UI" w:cs="Segoe UI"/>
          <w:color w:val="000000" w:themeColor="text1"/>
        </w:rPr>
        <w:t xml:space="preserve"> USPTO </w:t>
      </w:r>
      <w:r w:rsidR="5C7AC71C" w:rsidRPr="17CECF10">
        <w:rPr>
          <w:rFonts w:ascii="Segoe UI" w:hAnsi="Segoe UI" w:cs="Segoe UI"/>
          <w:color w:val="000000" w:themeColor="text1"/>
        </w:rPr>
        <w:t xml:space="preserve">also </w:t>
      </w:r>
      <w:r w:rsidR="2601AAAE" w:rsidRPr="17CECF10">
        <w:rPr>
          <w:rFonts w:ascii="Segoe UI" w:hAnsi="Segoe UI" w:cs="Segoe UI"/>
          <w:color w:val="000000" w:themeColor="text1"/>
        </w:rPr>
        <w:t>used</w:t>
      </w:r>
      <w:r w:rsidR="5BA6964E" w:rsidRPr="17CECF10">
        <w:rPr>
          <w:rFonts w:ascii="Segoe UI" w:hAnsi="Segoe UI" w:cs="Segoe UI"/>
          <w:color w:val="000000" w:themeColor="text1"/>
        </w:rPr>
        <w:t xml:space="preserve"> ABI cost data</w:t>
      </w:r>
      <w:r w:rsidR="3838417F" w:rsidRPr="17CECF10">
        <w:rPr>
          <w:rFonts w:ascii="Segoe UI" w:hAnsi="Segoe UI" w:cs="Segoe UI"/>
          <w:color w:val="000000" w:themeColor="text1"/>
        </w:rPr>
        <w:t xml:space="preserve"> </w:t>
      </w:r>
      <w:r w:rsidR="5BA6964E" w:rsidRPr="17CECF10">
        <w:rPr>
          <w:rFonts w:ascii="Segoe UI" w:hAnsi="Segoe UI" w:cs="Segoe UI"/>
          <w:color w:val="000000" w:themeColor="text1"/>
        </w:rPr>
        <w:t xml:space="preserve">to inform </w:t>
      </w:r>
      <w:r w:rsidR="01982B4F" w:rsidRPr="17CECF10">
        <w:rPr>
          <w:rFonts w:ascii="Segoe UI" w:hAnsi="Segoe UI" w:cs="Segoe UI"/>
          <w:color w:val="000000" w:themeColor="text1"/>
        </w:rPr>
        <w:t>most</w:t>
      </w:r>
      <w:r w:rsidR="5BA6964E" w:rsidRPr="17CECF10">
        <w:rPr>
          <w:rFonts w:ascii="Segoe UI" w:hAnsi="Segoe UI" w:cs="Segoe UI"/>
          <w:color w:val="000000" w:themeColor="text1"/>
        </w:rPr>
        <w:t xml:space="preserve"> individual fee amounts in Alternative 2</w:t>
      </w:r>
      <w:r w:rsidR="50926F3F" w:rsidRPr="17CECF10">
        <w:rPr>
          <w:rFonts w:ascii="Segoe UI" w:hAnsi="Segoe UI" w:cs="Segoe UI"/>
          <w:color w:val="000000" w:themeColor="text1"/>
        </w:rPr>
        <w:t>: Unit Cost Recovery</w:t>
      </w:r>
      <w:r w:rsidR="5BA6964E" w:rsidRPr="17CECF10">
        <w:rPr>
          <w:rFonts w:ascii="Segoe UI" w:hAnsi="Segoe UI" w:cs="Segoe UI"/>
          <w:color w:val="000000" w:themeColor="text1"/>
        </w:rPr>
        <w:t>.</w:t>
      </w:r>
    </w:p>
    <w:p w14:paraId="7C912DB2" w14:textId="72732914" w:rsidR="00117429" w:rsidRPr="00CF6436" w:rsidRDefault="5FEC586F" w:rsidP="293D3C50">
      <w:pPr>
        <w:tabs>
          <w:tab w:val="left" w:pos="450"/>
        </w:tabs>
        <w:spacing w:line="360" w:lineRule="auto"/>
        <w:ind w:firstLine="450"/>
        <w:rPr>
          <w:rFonts w:ascii="Segoe UI" w:hAnsi="Segoe UI" w:cs="Segoe UI"/>
          <w:color w:val="000000" w:themeColor="text1"/>
        </w:rPr>
      </w:pPr>
      <w:r w:rsidRPr="293D3C50">
        <w:rPr>
          <w:rFonts w:ascii="Segoe UI" w:hAnsi="Segoe UI" w:cs="Segoe UI"/>
          <w:color w:val="000000" w:themeColor="text1"/>
        </w:rPr>
        <w:t xml:space="preserve">While the </w:t>
      </w:r>
      <w:r w:rsidR="04AAC235" w:rsidRPr="293D3C50">
        <w:rPr>
          <w:rFonts w:ascii="Segoe UI" w:hAnsi="Segoe UI" w:cs="Segoe UI"/>
          <w:color w:val="000000" w:themeColor="text1"/>
        </w:rPr>
        <w:t>USPTO</w:t>
      </w:r>
      <w:r w:rsidRPr="293D3C50">
        <w:rPr>
          <w:rFonts w:ascii="Segoe UI" w:hAnsi="Segoe UI" w:cs="Segoe UI"/>
          <w:color w:val="000000" w:themeColor="text1"/>
        </w:rPr>
        <w:t xml:space="preserve"> does not use historical cost information to directly assess any costs or benefits in this RIA, </w:t>
      </w:r>
      <w:r w:rsidR="42AEC12A" w:rsidRPr="293D3C50">
        <w:rPr>
          <w:rFonts w:ascii="Segoe UI" w:hAnsi="Segoe UI" w:cs="Segoe UI"/>
          <w:color w:val="000000" w:themeColor="text1"/>
        </w:rPr>
        <w:t>it d</w:t>
      </w:r>
      <w:r w:rsidR="4653A300" w:rsidRPr="293D3C50">
        <w:rPr>
          <w:rFonts w:ascii="Segoe UI" w:hAnsi="Segoe UI" w:cs="Segoe UI"/>
          <w:color w:val="000000" w:themeColor="text1"/>
        </w:rPr>
        <w:t>oes</w:t>
      </w:r>
      <w:r w:rsidR="42AEC12A" w:rsidRPr="293D3C50">
        <w:rPr>
          <w:rFonts w:ascii="Segoe UI" w:hAnsi="Segoe UI" w:cs="Segoe UI"/>
          <w:color w:val="000000" w:themeColor="text1"/>
        </w:rPr>
        <w:t xml:space="preserve"> use </w:t>
      </w:r>
      <w:r w:rsidRPr="293D3C50">
        <w:rPr>
          <w:rFonts w:ascii="Segoe UI" w:hAnsi="Segoe UI" w:cs="Segoe UI"/>
          <w:color w:val="000000" w:themeColor="text1"/>
        </w:rPr>
        <w:t>this information</w:t>
      </w:r>
      <w:r w:rsidR="2D4108EC" w:rsidRPr="293D3C50">
        <w:rPr>
          <w:rFonts w:ascii="Segoe UI" w:hAnsi="Segoe UI" w:cs="Segoe UI"/>
          <w:color w:val="000000" w:themeColor="text1"/>
        </w:rPr>
        <w:t>, where available,</w:t>
      </w:r>
      <w:r w:rsidRPr="293D3C50">
        <w:rPr>
          <w:rFonts w:ascii="Segoe UI" w:hAnsi="Segoe UI" w:cs="Segoe UI"/>
          <w:color w:val="000000" w:themeColor="text1"/>
        </w:rPr>
        <w:t xml:space="preserve"> to assess how well different fee amounts align to</w:t>
      </w:r>
      <w:r w:rsidR="00749CAF" w:rsidRPr="293D3C50">
        <w:rPr>
          <w:rFonts w:ascii="Segoe UI" w:hAnsi="Segoe UI" w:cs="Segoe UI"/>
          <w:color w:val="000000" w:themeColor="text1"/>
        </w:rPr>
        <w:t xml:space="preserve"> </w:t>
      </w:r>
      <w:r w:rsidR="0AA8FC1F" w:rsidRPr="293D3C50">
        <w:rPr>
          <w:rFonts w:ascii="Segoe UI" w:hAnsi="Segoe UI" w:cs="Segoe UI"/>
          <w:color w:val="000000" w:themeColor="text1"/>
        </w:rPr>
        <w:t>their service costs.</w:t>
      </w:r>
    </w:p>
    <w:p w14:paraId="6892FC33" w14:textId="77777777" w:rsidR="00117429" w:rsidRPr="00CF6436" w:rsidRDefault="00117429" w:rsidP="00CF6436">
      <w:pPr>
        <w:pStyle w:val="ParagraphSpace"/>
        <w:spacing w:line="360" w:lineRule="auto"/>
        <w:rPr>
          <w:rFonts w:ascii="Segoe UI" w:hAnsi="Segoe UI" w:cs="Segoe UI"/>
        </w:rPr>
      </w:pPr>
    </w:p>
    <w:p w14:paraId="69E21827" w14:textId="77777777" w:rsidR="00117429" w:rsidRPr="00CF6436" w:rsidRDefault="00117429" w:rsidP="00EA247B">
      <w:pPr>
        <w:pStyle w:val="Heading3Numbering"/>
        <w:numPr>
          <w:ilvl w:val="2"/>
          <w:numId w:val="7"/>
        </w:numPr>
        <w:spacing w:line="360" w:lineRule="auto"/>
        <w:rPr>
          <w:rFonts w:ascii="Segoe UI" w:hAnsi="Segoe UI" w:cs="Segoe UI"/>
        </w:rPr>
      </w:pPr>
      <w:r w:rsidRPr="00CF6436">
        <w:rPr>
          <w:rFonts w:ascii="Segoe UI" w:hAnsi="Segoe UI" w:cs="Segoe UI"/>
        </w:rPr>
        <w:t>Aggregate Fee Revenue Projections</w:t>
      </w:r>
    </w:p>
    <w:p w14:paraId="21C57207" w14:textId="7A777DC1" w:rsidR="005F703F" w:rsidRPr="00CF6436" w:rsidRDefault="21111133" w:rsidP="293D3C50">
      <w:pPr>
        <w:spacing w:line="360" w:lineRule="auto"/>
        <w:ind w:firstLine="450"/>
        <w:rPr>
          <w:rFonts w:ascii="Segoe UI" w:hAnsi="Segoe UI" w:cs="Segoe UI"/>
        </w:rPr>
      </w:pPr>
      <w:r w:rsidRPr="26A8B252">
        <w:rPr>
          <w:rFonts w:ascii="Segoe UI" w:hAnsi="Segoe UI" w:cs="Segoe UI"/>
        </w:rPr>
        <w:t>The</w:t>
      </w:r>
      <w:r w:rsidR="000E20E9">
        <w:rPr>
          <w:rFonts w:ascii="Segoe UI" w:hAnsi="Segoe UI" w:cs="Segoe UI"/>
        </w:rPr>
        <w:t xml:space="preserve"> final rule</w:t>
      </w:r>
      <w:r w:rsidRPr="26A8B252">
        <w:rPr>
          <w:rFonts w:ascii="Segoe UI" w:hAnsi="Segoe UI" w:cs="Segoe UI"/>
        </w:rPr>
        <w:t xml:space="preserve"> </w:t>
      </w:r>
      <w:r w:rsidR="36A7F506" w:rsidRPr="26A8B252">
        <w:rPr>
          <w:rFonts w:ascii="Segoe UI" w:hAnsi="Segoe UI" w:cs="Segoe UI"/>
        </w:rPr>
        <w:t xml:space="preserve">describes </w:t>
      </w:r>
      <w:r w:rsidRPr="26A8B252">
        <w:rPr>
          <w:rFonts w:ascii="Segoe UI" w:hAnsi="Segoe UI" w:cs="Segoe UI"/>
        </w:rPr>
        <w:t xml:space="preserve">how </w:t>
      </w:r>
      <w:r w:rsidR="2A90992B" w:rsidRPr="736A6D4F">
        <w:rPr>
          <w:rFonts w:ascii="Segoe UI" w:hAnsi="Segoe UI" w:cs="Segoe UI"/>
        </w:rPr>
        <w:t xml:space="preserve">the USPTO projects </w:t>
      </w:r>
      <w:r w:rsidRPr="26A8B252">
        <w:rPr>
          <w:rFonts w:ascii="Segoe UI" w:hAnsi="Segoe UI" w:cs="Segoe UI"/>
        </w:rPr>
        <w:t>aggregate fee revenue</w:t>
      </w:r>
      <w:r w:rsidR="15DB1FD4" w:rsidRPr="26A8B252">
        <w:rPr>
          <w:rFonts w:ascii="Segoe UI" w:hAnsi="Segoe UI" w:cs="Segoe UI"/>
        </w:rPr>
        <w:t xml:space="preserve"> (total money transferred to the </w:t>
      </w:r>
      <w:r w:rsidR="2A90992B" w:rsidRPr="736A6D4F">
        <w:rPr>
          <w:rFonts w:ascii="Segoe UI" w:hAnsi="Segoe UI" w:cs="Segoe UI"/>
        </w:rPr>
        <w:t xml:space="preserve">agency </w:t>
      </w:r>
      <w:r w:rsidR="15DB1FD4" w:rsidRPr="26A8B252">
        <w:rPr>
          <w:rFonts w:ascii="Segoe UI" w:hAnsi="Segoe UI" w:cs="Segoe UI"/>
        </w:rPr>
        <w:t>by patent applicants and patent holders)</w:t>
      </w:r>
      <w:r w:rsidR="59F69DFC" w:rsidRPr="26A8B252">
        <w:rPr>
          <w:rFonts w:ascii="Segoe UI" w:hAnsi="Segoe UI" w:cs="Segoe UI"/>
        </w:rPr>
        <w:t>.</w:t>
      </w:r>
      <w:r w:rsidR="15DB1FD4" w:rsidRPr="26A8B252">
        <w:rPr>
          <w:rFonts w:ascii="Segoe UI" w:hAnsi="Segoe UI" w:cs="Segoe UI"/>
        </w:rPr>
        <w:t xml:space="preserve"> </w:t>
      </w:r>
      <w:r w:rsidR="45B7D7EE" w:rsidRPr="26A8B252">
        <w:rPr>
          <w:rFonts w:ascii="Segoe UI" w:hAnsi="Segoe UI" w:cs="Segoe UI"/>
        </w:rPr>
        <w:t>The</w:t>
      </w:r>
      <w:r w:rsidR="2A90992B" w:rsidRPr="736A6D4F">
        <w:rPr>
          <w:rFonts w:ascii="Segoe UI" w:hAnsi="Segoe UI" w:cs="Segoe UI"/>
        </w:rPr>
        <w:t>se</w:t>
      </w:r>
      <w:r w:rsidR="45B7D7EE" w:rsidRPr="26A8B252">
        <w:rPr>
          <w:rFonts w:ascii="Segoe UI" w:hAnsi="Segoe UI" w:cs="Segoe UI"/>
        </w:rPr>
        <w:t xml:space="preserve"> projections incorporate </w:t>
      </w:r>
      <w:r w:rsidR="15DB1FD4" w:rsidRPr="26A8B252">
        <w:rPr>
          <w:rFonts w:ascii="Segoe UI" w:hAnsi="Segoe UI" w:cs="Segoe UI"/>
        </w:rPr>
        <w:t>analy</w:t>
      </w:r>
      <w:r w:rsidR="45B7D7EE" w:rsidRPr="26A8B252">
        <w:rPr>
          <w:rFonts w:ascii="Segoe UI" w:hAnsi="Segoe UI" w:cs="Segoe UI"/>
        </w:rPr>
        <w:t>s</w:t>
      </w:r>
      <w:r w:rsidR="2DC6A976" w:rsidRPr="26A8B252">
        <w:rPr>
          <w:rFonts w:ascii="Segoe UI" w:hAnsi="Segoe UI" w:cs="Segoe UI"/>
        </w:rPr>
        <w:t>is of</w:t>
      </w:r>
      <w:r w:rsidR="15DB1FD4" w:rsidRPr="26A8B252">
        <w:rPr>
          <w:rFonts w:ascii="Segoe UI" w:hAnsi="Segoe UI" w:cs="Segoe UI"/>
        </w:rPr>
        <w:t xml:space="preserve"> the RGDP (the broadest measure of economic activity) and other influential factors such as non</w:t>
      </w:r>
      <w:r w:rsidR="19DD1FB2" w:rsidRPr="736A6D4F" w:rsidDel="4E0F1105">
        <w:rPr>
          <w:rFonts w:ascii="Segoe UI" w:hAnsi="Segoe UI" w:cs="Segoe UI"/>
        </w:rPr>
        <w:t>-</w:t>
      </w:r>
      <w:r w:rsidR="15DB1FD4" w:rsidRPr="26A8B252">
        <w:rPr>
          <w:rFonts w:ascii="Segoe UI" w:hAnsi="Segoe UI" w:cs="Segoe UI"/>
        </w:rPr>
        <w:t xml:space="preserve">domestic patent activity, legislation, process efficiencies, </w:t>
      </w:r>
      <w:r w:rsidR="76F9F15B" w:rsidRPr="26A8B252">
        <w:rPr>
          <w:rFonts w:ascii="Segoe UI" w:hAnsi="Segoe UI" w:cs="Segoe UI"/>
        </w:rPr>
        <w:t xml:space="preserve">court decisions, </w:t>
      </w:r>
      <w:r w:rsidR="15DB1FD4" w:rsidRPr="26A8B252">
        <w:rPr>
          <w:rFonts w:ascii="Segoe UI" w:hAnsi="Segoe UI" w:cs="Segoe UI"/>
        </w:rPr>
        <w:t>fee changes, and anticipated applicant behavior.</w:t>
      </w:r>
      <w:r w:rsidR="45CD739F" w:rsidRPr="26A8B252">
        <w:rPr>
          <w:rFonts w:ascii="Segoe UI" w:hAnsi="Segoe UI" w:cs="Segoe UI"/>
        </w:rPr>
        <w:t xml:space="preserve"> </w:t>
      </w:r>
      <w:r w:rsidR="15DB1FD4" w:rsidRPr="26A8B252">
        <w:rPr>
          <w:rFonts w:ascii="Segoe UI" w:hAnsi="Segoe UI" w:cs="Segoe UI"/>
        </w:rPr>
        <w:t>Additional detail</w:t>
      </w:r>
      <w:r w:rsidR="1D5F2A57" w:rsidRPr="736A6D4F">
        <w:rPr>
          <w:rFonts w:ascii="Segoe UI" w:hAnsi="Segoe UI" w:cs="Segoe UI"/>
        </w:rPr>
        <w:t>s</w:t>
      </w:r>
      <w:r w:rsidR="15DB1FD4" w:rsidRPr="26A8B252">
        <w:rPr>
          <w:rFonts w:ascii="Segoe UI" w:hAnsi="Segoe UI" w:cs="Segoe UI"/>
        </w:rPr>
        <w:t xml:space="preserve"> about the aggregate fee revenue estimates for each alternative, including projected workloads by fee</w:t>
      </w:r>
      <w:r w:rsidR="59F69DFC" w:rsidRPr="26A8B252">
        <w:rPr>
          <w:rFonts w:ascii="Segoe UI" w:hAnsi="Segoe UI" w:cs="Segoe UI"/>
        </w:rPr>
        <w:t xml:space="preserve"> code</w:t>
      </w:r>
      <w:r w:rsidR="213BDC05" w:rsidRPr="26A8B252">
        <w:rPr>
          <w:rFonts w:ascii="Segoe UI" w:hAnsi="Segoe UI" w:cs="Segoe UI"/>
        </w:rPr>
        <w:t>,</w:t>
      </w:r>
      <w:r w:rsidR="15DB1FD4" w:rsidRPr="26A8B252">
        <w:rPr>
          <w:rFonts w:ascii="Segoe UI" w:hAnsi="Segoe UI" w:cs="Segoe UI"/>
        </w:rPr>
        <w:t xml:space="preserve"> </w:t>
      </w:r>
      <w:r w:rsidR="1D5F2A57" w:rsidRPr="736A6D4F">
        <w:rPr>
          <w:rFonts w:ascii="Segoe UI" w:hAnsi="Segoe UI" w:cs="Segoe UI"/>
        </w:rPr>
        <w:t>are</w:t>
      </w:r>
      <w:r w:rsidR="15DB1FD4" w:rsidRPr="26A8B252">
        <w:rPr>
          <w:rFonts w:ascii="Segoe UI" w:hAnsi="Segoe UI" w:cs="Segoe UI"/>
        </w:rPr>
        <w:t xml:space="preserve"> available in “</w:t>
      </w:r>
      <w:r w:rsidR="15DB1FD4" w:rsidRPr="26A8B252">
        <w:rPr>
          <w:rFonts w:ascii="Segoe UI" w:hAnsi="Segoe UI" w:cs="Segoe UI"/>
          <w:color w:val="000000" w:themeColor="text1"/>
        </w:rPr>
        <w:t>Setting and Adjusting Patent Fe</w:t>
      </w:r>
      <w:r w:rsidR="15DB1FD4" w:rsidRPr="26A8B252">
        <w:rPr>
          <w:rFonts w:ascii="Segoe UI" w:hAnsi="Segoe UI" w:cs="Segoe UI"/>
        </w:rPr>
        <w:t>e</w:t>
      </w:r>
      <w:r w:rsidR="15DB1FD4" w:rsidRPr="26A8B252">
        <w:rPr>
          <w:rFonts w:ascii="Segoe UI" w:hAnsi="Segoe UI" w:cs="Segoe UI"/>
          <w:color w:val="000000" w:themeColor="text1"/>
        </w:rPr>
        <w:t>s</w:t>
      </w:r>
      <w:r w:rsidR="3E43DBED" w:rsidRPr="26A8B252">
        <w:rPr>
          <w:rFonts w:ascii="Segoe UI" w:hAnsi="Segoe UI" w:cs="Segoe UI"/>
          <w:color w:val="000000" w:themeColor="text1"/>
        </w:rPr>
        <w:t xml:space="preserve"> </w:t>
      </w:r>
      <w:r w:rsidR="5C32596B" w:rsidRPr="736A6D4F">
        <w:rPr>
          <w:rFonts w:ascii="Segoe UI" w:hAnsi="Segoe UI" w:cs="Segoe UI"/>
          <w:color w:val="000000" w:themeColor="text1"/>
        </w:rPr>
        <w:t>D</w:t>
      </w:r>
      <w:r w:rsidR="3E43DBED" w:rsidRPr="26A8B252">
        <w:rPr>
          <w:rFonts w:ascii="Segoe UI" w:hAnsi="Segoe UI" w:cs="Segoe UI"/>
          <w:color w:val="000000" w:themeColor="text1"/>
        </w:rPr>
        <w:t>uring Fiscal Year 20</w:t>
      </w:r>
      <w:r w:rsidR="1F152A97" w:rsidRPr="26A8B252">
        <w:rPr>
          <w:rFonts w:ascii="Segoe UI" w:hAnsi="Segoe UI" w:cs="Segoe UI"/>
          <w:color w:val="000000" w:themeColor="text1"/>
        </w:rPr>
        <w:t>2</w:t>
      </w:r>
      <w:r w:rsidR="3367BB17" w:rsidRPr="26A8B252">
        <w:rPr>
          <w:rFonts w:ascii="Segoe UI" w:hAnsi="Segoe UI" w:cs="Segoe UI"/>
          <w:color w:val="000000" w:themeColor="text1"/>
        </w:rPr>
        <w:t>5</w:t>
      </w:r>
      <w:r w:rsidR="213BDC05" w:rsidRPr="26A8B252">
        <w:rPr>
          <w:rFonts w:ascii="Segoe UI" w:hAnsi="Segoe UI" w:cs="Segoe UI"/>
          <w:color w:val="000000" w:themeColor="text1"/>
        </w:rPr>
        <w:t>—</w:t>
      </w:r>
      <w:r w:rsidR="15DB1FD4" w:rsidRPr="26A8B252">
        <w:rPr>
          <w:rFonts w:ascii="Segoe UI" w:hAnsi="Segoe UI" w:cs="Segoe UI"/>
          <w:color w:val="000000" w:themeColor="text1"/>
        </w:rPr>
        <w:t>Aggregate Revenue Tables</w:t>
      </w:r>
      <w:r w:rsidR="1D5F2A57" w:rsidRPr="736A6D4F">
        <w:rPr>
          <w:rFonts w:ascii="Segoe UI" w:hAnsi="Segoe UI" w:cs="Segoe UI"/>
          <w:color w:val="000000" w:themeColor="text1"/>
        </w:rPr>
        <w:t>,</w:t>
      </w:r>
      <w:r w:rsidR="57A627B3" w:rsidRPr="26A8B252">
        <w:rPr>
          <w:rFonts w:ascii="Segoe UI" w:hAnsi="Segoe UI" w:cs="Segoe UI"/>
          <w:color w:val="000000" w:themeColor="text1"/>
        </w:rPr>
        <w:t>”</w:t>
      </w:r>
      <w:r w:rsidR="1D5F2A57" w:rsidRPr="736A6D4F">
        <w:rPr>
          <w:rFonts w:ascii="Segoe UI" w:hAnsi="Segoe UI" w:cs="Segoe UI"/>
        </w:rPr>
        <w:t xml:space="preserve"> </w:t>
      </w:r>
      <w:r w:rsidR="388853E0" w:rsidRPr="26A8B252">
        <w:rPr>
          <w:rFonts w:ascii="Segoe UI" w:hAnsi="Segoe UI" w:cs="Segoe UI"/>
        </w:rPr>
        <w:t>available</w:t>
      </w:r>
      <w:r w:rsidR="15DB1FD4" w:rsidRPr="26A8B252">
        <w:rPr>
          <w:rFonts w:ascii="Segoe UI" w:hAnsi="Segoe UI" w:cs="Segoe UI"/>
        </w:rPr>
        <w:t xml:space="preserve"> </w:t>
      </w:r>
      <w:r w:rsidR="48C7D3C1" w:rsidRPr="26A8B252">
        <w:rPr>
          <w:rFonts w:ascii="Segoe UI" w:hAnsi="Segoe UI" w:cs="Segoe UI"/>
          <w:color w:val="000000" w:themeColor="text1"/>
        </w:rPr>
        <w:t xml:space="preserve">on </w:t>
      </w:r>
      <w:r w:rsidR="31A1273B" w:rsidRPr="26A8B252">
        <w:rPr>
          <w:rFonts w:ascii="Segoe UI" w:hAnsi="Segoe UI" w:cs="Segoe UI"/>
          <w:color w:val="000000" w:themeColor="text1"/>
        </w:rPr>
        <w:t>the</w:t>
      </w:r>
      <w:r w:rsidR="002D2F8A">
        <w:rPr>
          <w:rFonts w:ascii="Segoe UI" w:hAnsi="Segoe UI" w:cs="Segoe UI"/>
          <w:color w:val="000000" w:themeColor="text1"/>
        </w:rPr>
        <w:t xml:space="preserve"> </w:t>
      </w:r>
      <w:hyperlink r:id="rId31" w:history="1">
        <w:r w:rsidR="002D2F8A" w:rsidRPr="002D2F8A">
          <w:rPr>
            <w:rStyle w:val="Hyperlink"/>
            <w:rFonts w:ascii="Segoe UI" w:hAnsi="Segoe UI" w:cs="Segoe UI"/>
          </w:rPr>
          <w:t>fee setting and adjusting section of the USPTO website</w:t>
        </w:r>
      </w:hyperlink>
      <w:r w:rsidR="498411A2" w:rsidRPr="26A8B252">
        <w:rPr>
          <w:rFonts w:ascii="Segoe UI" w:hAnsi="Segoe UI" w:cs="Segoe UI"/>
        </w:rPr>
        <w:t>.</w:t>
      </w:r>
      <w:r w:rsidR="45CD739F" w:rsidRPr="26A8B252">
        <w:rPr>
          <w:rFonts w:ascii="Segoe UI" w:hAnsi="Segoe UI" w:cs="Segoe UI"/>
        </w:rPr>
        <w:t xml:space="preserve"> </w:t>
      </w:r>
      <w:r w:rsidR="15DB1FD4" w:rsidRPr="26A8B252">
        <w:rPr>
          <w:rFonts w:ascii="Segoe UI" w:hAnsi="Segoe UI" w:cs="Segoe UI"/>
        </w:rPr>
        <w:t>For a discussion of how the</w:t>
      </w:r>
      <w:r w:rsidR="0430009D" w:rsidRPr="736A6D4F">
        <w:rPr>
          <w:rFonts w:ascii="Segoe UI" w:hAnsi="Segoe UI" w:cs="Segoe UI"/>
        </w:rPr>
        <w:t xml:space="preserve"> USPTO projects</w:t>
      </w:r>
      <w:r w:rsidR="15DB1FD4" w:rsidRPr="26A8B252">
        <w:rPr>
          <w:rFonts w:ascii="Segoe UI" w:hAnsi="Segoe UI" w:cs="Segoe UI"/>
        </w:rPr>
        <w:t xml:space="preserve"> revenues</w:t>
      </w:r>
      <w:r w:rsidR="59F69DFC" w:rsidRPr="26A8B252">
        <w:rPr>
          <w:rFonts w:ascii="Segoe UI" w:hAnsi="Segoe UI" w:cs="Segoe UI"/>
        </w:rPr>
        <w:t xml:space="preserve"> </w:t>
      </w:r>
      <w:r w:rsidR="15DB1FD4" w:rsidRPr="26A8B252">
        <w:rPr>
          <w:rFonts w:ascii="Segoe UI" w:hAnsi="Segoe UI" w:cs="Segoe UI"/>
        </w:rPr>
        <w:t>for each</w:t>
      </w:r>
      <w:r w:rsidR="2B91E417" w:rsidRPr="26A8B252">
        <w:rPr>
          <w:rFonts w:ascii="Segoe UI" w:hAnsi="Segoe UI" w:cs="Segoe UI"/>
        </w:rPr>
        <w:t xml:space="preserve"> </w:t>
      </w:r>
      <w:r w:rsidR="15DB1FD4" w:rsidRPr="26A8B252">
        <w:rPr>
          <w:rFonts w:ascii="Segoe UI" w:hAnsi="Segoe UI" w:cs="Segoe UI"/>
        </w:rPr>
        <w:t xml:space="preserve">alternative, </w:t>
      </w:r>
      <w:r w:rsidR="15DB1FD4" w:rsidRPr="00C00878">
        <w:rPr>
          <w:rFonts w:ascii="Segoe UI" w:hAnsi="Segoe UI" w:cs="Segoe UI"/>
        </w:rPr>
        <w:t>see</w:t>
      </w:r>
      <w:r w:rsidR="15DB1FD4" w:rsidRPr="002C6702">
        <w:rPr>
          <w:rFonts w:ascii="Segoe UI" w:hAnsi="Segoe UI" w:cs="Segoe UI"/>
        </w:rPr>
        <w:t xml:space="preserve"> </w:t>
      </w:r>
      <w:r w:rsidR="15DB1FD4" w:rsidRPr="293D3C50">
        <w:rPr>
          <w:rFonts w:ascii="Segoe UI" w:hAnsi="Segoe UI" w:cs="Segoe UI"/>
        </w:rPr>
        <w:t xml:space="preserve">the </w:t>
      </w:r>
      <w:r w:rsidR="19DD1FB2" w:rsidRPr="736A6D4F" w:rsidDel="2F928949">
        <w:rPr>
          <w:rFonts w:ascii="Segoe UI" w:hAnsi="Segoe UI" w:cs="Segoe UI"/>
        </w:rPr>
        <w:t>I</w:t>
      </w:r>
      <w:r w:rsidR="3367BB17" w:rsidRPr="26A8B252">
        <w:rPr>
          <w:rFonts w:ascii="Segoe UI" w:hAnsi="Segoe UI" w:cs="Segoe UI"/>
        </w:rPr>
        <w:t>nitial</w:t>
      </w:r>
      <w:r w:rsidR="190E6432" w:rsidRPr="26A8B252">
        <w:rPr>
          <w:rFonts w:ascii="Segoe UI" w:hAnsi="Segoe UI" w:cs="Segoe UI"/>
        </w:rPr>
        <w:t xml:space="preserve"> </w:t>
      </w:r>
      <w:r w:rsidR="19DD1FB2" w:rsidRPr="736A6D4F" w:rsidDel="4E0F1105">
        <w:rPr>
          <w:rFonts w:ascii="Segoe UI" w:hAnsi="Segoe UI" w:cs="Segoe UI"/>
        </w:rPr>
        <w:t>R</w:t>
      </w:r>
      <w:r w:rsidR="15DB1FD4" w:rsidRPr="26A8B252">
        <w:rPr>
          <w:rFonts w:ascii="Segoe UI" w:hAnsi="Segoe UI" w:cs="Segoe UI"/>
        </w:rPr>
        <w:t xml:space="preserve">egulatory </w:t>
      </w:r>
      <w:r w:rsidR="19DD1FB2" w:rsidRPr="736A6D4F" w:rsidDel="4E0F1105">
        <w:rPr>
          <w:rFonts w:ascii="Segoe UI" w:hAnsi="Segoe UI" w:cs="Segoe UI"/>
        </w:rPr>
        <w:t>F</w:t>
      </w:r>
      <w:r w:rsidR="15DB1FD4" w:rsidRPr="26A8B252">
        <w:rPr>
          <w:rFonts w:ascii="Segoe UI" w:hAnsi="Segoe UI" w:cs="Segoe UI"/>
        </w:rPr>
        <w:t xml:space="preserve">lexibility </w:t>
      </w:r>
      <w:r w:rsidR="19DD1FB2" w:rsidRPr="736A6D4F" w:rsidDel="4E0F1105">
        <w:rPr>
          <w:rFonts w:ascii="Segoe UI" w:hAnsi="Segoe UI" w:cs="Segoe UI"/>
        </w:rPr>
        <w:t>A</w:t>
      </w:r>
      <w:r w:rsidR="15DB1FD4" w:rsidRPr="26A8B252">
        <w:rPr>
          <w:rFonts w:ascii="Segoe UI" w:hAnsi="Segoe UI" w:cs="Segoe UI"/>
        </w:rPr>
        <w:t>nalysis (</w:t>
      </w:r>
      <w:r w:rsidR="3367BB17" w:rsidRPr="26A8B252">
        <w:rPr>
          <w:rFonts w:ascii="Segoe UI" w:hAnsi="Segoe UI" w:cs="Segoe UI"/>
        </w:rPr>
        <w:t>I</w:t>
      </w:r>
      <w:r w:rsidR="15DB1FD4" w:rsidRPr="26A8B252">
        <w:rPr>
          <w:rFonts w:ascii="Segoe UI" w:hAnsi="Segoe UI" w:cs="Segoe UI"/>
        </w:rPr>
        <w:t>RFA) contained within the</w:t>
      </w:r>
      <w:r w:rsidR="000E20E9">
        <w:rPr>
          <w:rFonts w:ascii="Segoe UI" w:hAnsi="Segoe UI" w:cs="Segoe UI"/>
        </w:rPr>
        <w:t xml:space="preserve"> final rule</w:t>
      </w:r>
      <w:r w:rsidR="15DB1FD4" w:rsidRPr="26A8B252">
        <w:rPr>
          <w:rFonts w:ascii="Segoe UI" w:hAnsi="Segoe UI" w:cs="Segoe UI"/>
        </w:rPr>
        <w:t xml:space="preserve"> and the “Setting and Adjusting Patent Fees </w:t>
      </w:r>
      <w:r w:rsidR="42D2CFB8" w:rsidRPr="736A6D4F">
        <w:rPr>
          <w:rFonts w:ascii="Segoe UI" w:hAnsi="Segoe UI" w:cs="Segoe UI"/>
        </w:rPr>
        <w:t>D</w:t>
      </w:r>
      <w:r w:rsidR="5D73FE0C" w:rsidRPr="26A8B252">
        <w:rPr>
          <w:rFonts w:ascii="Segoe UI" w:hAnsi="Segoe UI" w:cs="Segoe UI"/>
        </w:rPr>
        <w:t>uring Fiscal Year 20</w:t>
      </w:r>
      <w:r w:rsidR="1F152A97" w:rsidRPr="26A8B252">
        <w:rPr>
          <w:rFonts w:ascii="Segoe UI" w:hAnsi="Segoe UI" w:cs="Segoe UI"/>
        </w:rPr>
        <w:t>2</w:t>
      </w:r>
      <w:r w:rsidR="3367BB17" w:rsidRPr="26A8B252">
        <w:rPr>
          <w:rFonts w:ascii="Segoe UI" w:hAnsi="Segoe UI" w:cs="Segoe UI"/>
        </w:rPr>
        <w:t>5</w:t>
      </w:r>
      <w:r w:rsidR="213BDC05" w:rsidRPr="26A8B252">
        <w:rPr>
          <w:rFonts w:ascii="Segoe UI" w:hAnsi="Segoe UI" w:cs="Segoe UI"/>
        </w:rPr>
        <w:t>—</w:t>
      </w:r>
      <w:r w:rsidR="15DB1FD4" w:rsidRPr="26A8B252">
        <w:rPr>
          <w:rFonts w:ascii="Segoe UI" w:hAnsi="Segoe UI" w:cs="Segoe UI"/>
        </w:rPr>
        <w:t>Aggregate Revenue Estimating Methodology” supplement</w:t>
      </w:r>
      <w:r w:rsidR="5CC40D09" w:rsidRPr="26A8B252">
        <w:rPr>
          <w:rFonts w:ascii="Segoe UI" w:hAnsi="Segoe UI" w:cs="Segoe UI"/>
        </w:rPr>
        <w:t xml:space="preserve"> </w:t>
      </w:r>
      <w:r w:rsidR="5CC40D09" w:rsidRPr="26A8B252">
        <w:rPr>
          <w:rFonts w:ascii="Segoe UI" w:hAnsi="Segoe UI" w:cs="Segoe UI"/>
          <w:color w:val="000000" w:themeColor="text1"/>
        </w:rPr>
        <w:t xml:space="preserve">available on the </w:t>
      </w:r>
      <w:hyperlink r:id="rId32" w:history="1">
        <w:r w:rsidR="57A627B3" w:rsidRPr="26A8B252">
          <w:rPr>
            <w:rStyle w:val="Hyperlink"/>
            <w:rFonts w:ascii="Segoe UI" w:hAnsi="Segoe UI" w:cs="Segoe UI"/>
          </w:rPr>
          <w:t>fe</w:t>
        </w:r>
        <w:r w:rsidR="5CC40D09" w:rsidRPr="26A8B252">
          <w:rPr>
            <w:rStyle w:val="Hyperlink"/>
            <w:rFonts w:ascii="Segoe UI" w:hAnsi="Segoe UI" w:cs="Segoe UI"/>
          </w:rPr>
          <w:t>e setting section of the USPTO website</w:t>
        </w:r>
      </w:hyperlink>
      <w:r w:rsidR="15DB1FD4" w:rsidRPr="26A8B252">
        <w:rPr>
          <w:rFonts w:ascii="Segoe UI" w:hAnsi="Segoe UI" w:cs="Segoe UI"/>
        </w:rPr>
        <w:t>.</w:t>
      </w:r>
    </w:p>
    <w:p w14:paraId="4532AC58" w14:textId="651503F3" w:rsidR="000E3708" w:rsidRPr="000E20E9" w:rsidRDefault="2A266564" w:rsidP="293D3C50">
      <w:pPr>
        <w:spacing w:line="360" w:lineRule="auto"/>
        <w:ind w:firstLine="450"/>
        <w:rPr>
          <w:rFonts w:ascii="Segoe UI" w:hAnsi="Segoe UI" w:cs="Segoe UI"/>
          <w:szCs w:val="24"/>
        </w:rPr>
      </w:pPr>
      <w:r w:rsidRPr="293D3C50">
        <w:rPr>
          <w:rFonts w:ascii="Segoe UI" w:hAnsi="Segoe UI" w:cs="Segoe UI"/>
        </w:rPr>
        <w:t xml:space="preserve">In </w:t>
      </w:r>
      <w:r w:rsidR="21111133" w:rsidRPr="293D3C50">
        <w:rPr>
          <w:rFonts w:ascii="Segoe UI" w:hAnsi="Segoe UI" w:cs="Segoe UI"/>
        </w:rPr>
        <w:t>estimat</w:t>
      </w:r>
      <w:r w:rsidRPr="293D3C50">
        <w:rPr>
          <w:rFonts w:ascii="Segoe UI" w:hAnsi="Segoe UI" w:cs="Segoe UI"/>
        </w:rPr>
        <w:t>ing</w:t>
      </w:r>
      <w:r w:rsidR="21111133" w:rsidRPr="293D3C50">
        <w:rPr>
          <w:rFonts w:ascii="Segoe UI" w:hAnsi="Segoe UI" w:cs="Segoe UI"/>
        </w:rPr>
        <w:t xml:space="preserve"> aggregate revenue for the Baseline and </w:t>
      </w:r>
      <w:r w:rsidR="6087665B" w:rsidRPr="293D3C50">
        <w:rPr>
          <w:rFonts w:ascii="Segoe UI" w:hAnsi="Segoe UI" w:cs="Segoe UI"/>
        </w:rPr>
        <w:t>other</w:t>
      </w:r>
      <w:r w:rsidR="21111133" w:rsidRPr="293D3C50">
        <w:rPr>
          <w:rFonts w:ascii="Segoe UI" w:hAnsi="Segoe UI" w:cs="Segoe UI"/>
        </w:rPr>
        <w:t xml:space="preserve"> alternative</w:t>
      </w:r>
      <w:r w:rsidR="6087665B" w:rsidRPr="293D3C50">
        <w:rPr>
          <w:rFonts w:ascii="Segoe UI" w:hAnsi="Segoe UI" w:cs="Segoe UI"/>
        </w:rPr>
        <w:t>s</w:t>
      </w:r>
      <w:r w:rsidR="21111133" w:rsidRPr="293D3C50">
        <w:rPr>
          <w:rFonts w:ascii="Segoe UI" w:hAnsi="Segoe UI" w:cs="Segoe UI"/>
        </w:rPr>
        <w:t xml:space="preserve">, </w:t>
      </w:r>
      <w:r w:rsidR="15DB1FD4" w:rsidRPr="293D3C50">
        <w:rPr>
          <w:rFonts w:ascii="Segoe UI" w:hAnsi="Segoe UI" w:cs="Segoe UI"/>
        </w:rPr>
        <w:t xml:space="preserve">the </w:t>
      </w:r>
      <w:r w:rsidR="5E625008" w:rsidRPr="293D3C50">
        <w:rPr>
          <w:rFonts w:ascii="Segoe UI" w:hAnsi="Segoe UI" w:cs="Segoe UI"/>
        </w:rPr>
        <w:t xml:space="preserve">USPTO analyzed the </w:t>
      </w:r>
      <w:r w:rsidR="21111133" w:rsidRPr="293D3C50">
        <w:rPr>
          <w:rFonts w:ascii="Segoe UI" w:hAnsi="Segoe UI" w:cs="Segoe UI"/>
        </w:rPr>
        <w:t>relevant factors and indicators</w:t>
      </w:r>
      <w:r w:rsidR="15DB1FD4" w:rsidRPr="293D3C50">
        <w:rPr>
          <w:rFonts w:ascii="Segoe UI" w:hAnsi="Segoe UI" w:cs="Segoe UI"/>
        </w:rPr>
        <w:t xml:space="preserve"> described above </w:t>
      </w:r>
      <w:r w:rsidR="21111133" w:rsidRPr="293D3C50">
        <w:rPr>
          <w:rFonts w:ascii="Segoe UI" w:hAnsi="Segoe UI" w:cs="Segoe UI"/>
        </w:rPr>
        <w:t>to pro</w:t>
      </w:r>
      <w:r w:rsidR="7D1771FE" w:rsidRPr="293D3C50">
        <w:rPr>
          <w:rFonts w:ascii="Segoe UI" w:hAnsi="Segoe UI" w:cs="Segoe UI"/>
        </w:rPr>
        <w:t>ject</w:t>
      </w:r>
      <w:r w:rsidR="21111133" w:rsidRPr="293D3C50">
        <w:rPr>
          <w:rFonts w:ascii="Segoe UI" w:hAnsi="Segoe UI" w:cs="Segoe UI"/>
        </w:rPr>
        <w:t xml:space="preserve"> fee </w:t>
      </w:r>
      <w:r w:rsidR="21111133" w:rsidRPr="293D3C50">
        <w:rPr>
          <w:rFonts w:ascii="Segoe UI" w:hAnsi="Segoe UI" w:cs="Segoe UI"/>
        </w:rPr>
        <w:lastRenderedPageBreak/>
        <w:t xml:space="preserve">workload volumes for the five-year planning horizon (FY </w:t>
      </w:r>
      <w:r w:rsidR="18518FB5" w:rsidRPr="293D3C50">
        <w:rPr>
          <w:rFonts w:ascii="Segoe UI" w:hAnsi="Segoe UI" w:cs="Segoe UI"/>
        </w:rPr>
        <w:t>202</w:t>
      </w:r>
      <w:r w:rsidR="51B709A4" w:rsidRPr="293D3C50">
        <w:rPr>
          <w:rFonts w:ascii="Segoe UI" w:hAnsi="Segoe UI" w:cs="Segoe UI"/>
        </w:rPr>
        <w:t>5</w:t>
      </w:r>
      <w:r w:rsidR="5F786E37" w:rsidRPr="293D3C50">
        <w:rPr>
          <w:rFonts w:ascii="Segoe UI" w:hAnsi="Segoe UI" w:cs="Segoe UI"/>
        </w:rPr>
        <w:t>-</w:t>
      </w:r>
      <w:r w:rsidR="21111133" w:rsidRPr="293D3C50">
        <w:rPr>
          <w:rFonts w:ascii="Segoe UI" w:hAnsi="Segoe UI" w:cs="Segoe UI"/>
        </w:rPr>
        <w:t>FY 202</w:t>
      </w:r>
      <w:r w:rsidR="51B709A4" w:rsidRPr="293D3C50">
        <w:rPr>
          <w:rFonts w:ascii="Segoe UI" w:hAnsi="Segoe UI" w:cs="Segoe UI"/>
        </w:rPr>
        <w:t>9</w:t>
      </w:r>
      <w:r w:rsidR="21111133" w:rsidRPr="293D3C50">
        <w:rPr>
          <w:rFonts w:ascii="Segoe UI" w:hAnsi="Segoe UI" w:cs="Segoe UI"/>
        </w:rPr>
        <w:t>).</w:t>
      </w:r>
      <w:r w:rsidR="45CD739F" w:rsidRPr="293D3C50">
        <w:rPr>
          <w:rFonts w:ascii="Segoe UI" w:hAnsi="Segoe UI" w:cs="Segoe UI"/>
        </w:rPr>
        <w:t xml:space="preserve"> </w:t>
      </w:r>
      <w:r w:rsidR="037CC04B" w:rsidRPr="293D3C50">
        <w:rPr>
          <w:rFonts w:ascii="Segoe UI" w:hAnsi="Segoe UI" w:cs="Segoe UI"/>
        </w:rPr>
        <w:t xml:space="preserve">The availability of aggregate revenue directly impacts the USPTO’s ability to deliver services per its performance commitments. </w:t>
      </w:r>
      <w:r w:rsidR="554BDBC7" w:rsidRPr="293D3C50">
        <w:rPr>
          <w:rFonts w:ascii="Segoe UI" w:hAnsi="Segoe UI" w:cs="Segoe UI"/>
        </w:rPr>
        <w:t xml:space="preserve">Table 3-1 shows two performance metrics </w:t>
      </w:r>
      <w:r w:rsidR="554BDBC7" w:rsidRPr="000E20E9">
        <w:rPr>
          <w:rFonts w:ascii="Segoe UI" w:hAnsi="Segoe UI" w:cs="Segoe UI"/>
          <w:szCs w:val="24"/>
        </w:rPr>
        <w:t xml:space="preserve">the USPTO used in </w:t>
      </w:r>
      <w:r w:rsidR="76FE087E" w:rsidRPr="000E20E9">
        <w:rPr>
          <w:rFonts w:ascii="Segoe UI" w:hAnsi="Segoe UI" w:cs="Segoe UI"/>
          <w:szCs w:val="24"/>
        </w:rPr>
        <w:t>developing the four alternatives,</w:t>
      </w:r>
      <w:r w:rsidR="554BDBC7" w:rsidRPr="000E20E9">
        <w:rPr>
          <w:rFonts w:ascii="Segoe UI" w:hAnsi="Segoe UI" w:cs="Segoe UI"/>
          <w:szCs w:val="24"/>
        </w:rPr>
        <w:t xml:space="preserve"> and the forecasted values at the end of the five-year period. </w:t>
      </w:r>
      <w:r w:rsidR="26B872C0" w:rsidRPr="000E20E9">
        <w:rPr>
          <w:rFonts w:ascii="Segoe UI" w:hAnsi="Segoe UI" w:cs="Segoe UI"/>
          <w:szCs w:val="24"/>
        </w:rPr>
        <w:t>Since Alternatives 1, 2, and 3 generate similar aggregate revenue, they are based on the same PPM</w:t>
      </w:r>
      <w:r w:rsidR="6C7B0270" w:rsidRPr="000E20E9">
        <w:rPr>
          <w:rFonts w:ascii="Segoe UI" w:hAnsi="Segoe UI" w:cs="Segoe UI"/>
          <w:szCs w:val="24"/>
        </w:rPr>
        <w:t>;</w:t>
      </w:r>
      <w:r w:rsidR="3B247780" w:rsidRPr="000E20E9">
        <w:rPr>
          <w:rFonts w:ascii="Segoe UI" w:hAnsi="Segoe UI" w:cs="Segoe UI"/>
          <w:szCs w:val="24"/>
        </w:rPr>
        <w:t xml:space="preserve"> </w:t>
      </w:r>
      <w:r w:rsidR="212CA450" w:rsidRPr="00367605">
        <w:rPr>
          <w:rFonts w:ascii="Segoe UI" w:hAnsi="Segoe UI" w:cs="Segoe UI"/>
          <w:szCs w:val="24"/>
        </w:rPr>
        <w:t>i</w:t>
      </w:r>
      <w:r w:rsidR="13B342C2" w:rsidRPr="00367605">
        <w:rPr>
          <w:rFonts w:ascii="Segoe UI" w:hAnsi="Segoe UI" w:cs="Segoe UI"/>
          <w:szCs w:val="24"/>
        </w:rPr>
        <w:t>mpacts on the production model due to the alternative fee schedules could</w:t>
      </w:r>
      <w:r w:rsidR="26B872C0" w:rsidRPr="00367605">
        <w:rPr>
          <w:rFonts w:ascii="Segoe UI" w:hAnsi="Segoe UI" w:cs="Segoe UI"/>
          <w:szCs w:val="24"/>
        </w:rPr>
        <w:t xml:space="preserve"> be minimized by efficiently managing resources to ensure performance metrics are met. </w:t>
      </w:r>
      <w:hyperlink r:id="rId33">
        <w:r w:rsidRPr="001C36C8">
          <w:rPr>
            <w:rStyle w:val="Hyperlink"/>
            <w:rFonts w:ascii="Segoe UI" w:hAnsi="Segoe UI" w:cs="Segoe UI"/>
            <w:szCs w:val="24"/>
          </w:rPr>
          <w:t>https://www.uspto.gov/sites/default/files/documents/Elasticity_Appendix.docx</w:t>
        </w:r>
      </w:hyperlink>
      <w:r w:rsidR="006E8130" w:rsidRPr="000E20E9">
        <w:rPr>
          <w:rFonts w:ascii="Segoe UI" w:hAnsi="Segoe UI" w:cs="Segoe UI"/>
          <w:szCs w:val="24"/>
        </w:rPr>
        <w:t xml:space="preserve"> For purposes of comparison, the Baseline uses the same production models as the other alternatives, but the aggregate revenue resulting from the Baseline would require the USPTO to reduce planned spending, which would impede the agency’s ability to achieve these performance levels and other strategic priorities.</w:t>
      </w:r>
    </w:p>
    <w:p w14:paraId="171A7797" w14:textId="35D28806" w:rsidR="000E3708" w:rsidRPr="00CF6436" w:rsidRDefault="2F0300BE" w:rsidP="00C54800">
      <w:pPr>
        <w:spacing w:line="360" w:lineRule="auto"/>
        <w:ind w:firstLine="450"/>
        <w:jc w:val="center"/>
        <w:rPr>
          <w:rFonts w:ascii="Segoe UI" w:hAnsi="Segoe UI" w:cs="Segoe UI"/>
        </w:rPr>
      </w:pPr>
      <w:r w:rsidRPr="17CECF10">
        <w:rPr>
          <w:rFonts w:ascii="Segoe UI" w:hAnsi="Segoe UI" w:cs="Segoe UI"/>
          <w:b/>
          <w:bCs/>
          <w:szCs w:val="24"/>
        </w:rPr>
        <w:t>Table 3-1</w:t>
      </w:r>
    </w:p>
    <w:tbl>
      <w:tblPr>
        <w:tblStyle w:val="TableGrid"/>
        <w:tblW w:w="5000" w:type="pct"/>
        <w:jc w:val="center"/>
        <w:tblLook w:val="06A0" w:firstRow="1" w:lastRow="0" w:firstColumn="1" w:lastColumn="0" w:noHBand="1" w:noVBand="1"/>
        <w:tblCaption w:val="PTA Performance Metrics"/>
        <w:tblDescription w:val="A table showing PTA perfomrance metrics."/>
      </w:tblPr>
      <w:tblGrid>
        <w:gridCol w:w="6700"/>
        <w:gridCol w:w="2204"/>
      </w:tblGrid>
      <w:tr w:rsidR="00C54800" w:rsidRPr="00C01468" w14:paraId="32E766CD" w14:textId="77777777" w:rsidTr="00EF7167">
        <w:trPr>
          <w:trHeight w:val="270"/>
          <w:tblHeader/>
          <w:jc w:val="center"/>
        </w:trPr>
        <w:tc>
          <w:tcPr>
            <w:tcW w:w="2500" w:type="pct"/>
            <w:noWrap/>
            <w:vAlign w:val="center"/>
            <w:hideMark/>
          </w:tcPr>
          <w:p w14:paraId="24BB55A1" w14:textId="7C7D047F" w:rsidR="00C54800" w:rsidRPr="00630321" w:rsidRDefault="00C54800" w:rsidP="006613C3">
            <w:pPr>
              <w:keepNext/>
              <w:tabs>
                <w:tab w:val="left" w:pos="3744"/>
              </w:tabs>
              <w:spacing w:line="276" w:lineRule="auto"/>
              <w:jc w:val="center"/>
              <w:rPr>
                <w:rFonts w:ascii="Segoe UI" w:eastAsia="Segoe UI" w:hAnsi="Segoe UI" w:cs="Segoe UI"/>
                <w:sz w:val="22"/>
              </w:rPr>
            </w:pPr>
            <w:r w:rsidRPr="00630321">
              <w:rPr>
                <w:rFonts w:ascii="Segoe UI" w:eastAsia="Times New Roman" w:hAnsi="Segoe UI" w:cs="Segoe UI"/>
                <w:b/>
                <w:bCs/>
                <w:color w:val="000000" w:themeColor="text1"/>
                <w:sz w:val="22"/>
              </w:rPr>
              <w:t>Performance metrics</w:t>
            </w:r>
          </w:p>
        </w:tc>
        <w:tc>
          <w:tcPr>
            <w:tcW w:w="2500" w:type="pct"/>
            <w:noWrap/>
            <w:vAlign w:val="center"/>
            <w:hideMark/>
          </w:tcPr>
          <w:p w14:paraId="41D0D230" w14:textId="4C49A890" w:rsidR="00C54800" w:rsidRPr="00630321" w:rsidRDefault="00C54800" w:rsidP="006613C3">
            <w:pPr>
              <w:keepNext/>
              <w:tabs>
                <w:tab w:val="left" w:pos="3744"/>
              </w:tabs>
              <w:spacing w:line="276" w:lineRule="auto"/>
              <w:jc w:val="center"/>
              <w:rPr>
                <w:rFonts w:ascii="Segoe UI" w:eastAsia="Segoe UI" w:hAnsi="Segoe UI" w:cs="Segoe UI"/>
                <w:b/>
                <w:sz w:val="22"/>
              </w:rPr>
            </w:pPr>
            <w:r w:rsidRPr="00630321">
              <w:rPr>
                <w:rFonts w:ascii="Segoe UI" w:eastAsia="Times New Roman" w:hAnsi="Segoe UI" w:cs="Segoe UI"/>
                <w:b/>
                <w:bCs/>
                <w:color w:val="000000"/>
                <w:sz w:val="22"/>
              </w:rPr>
              <w:t>Alternatives</w:t>
            </w:r>
          </w:p>
        </w:tc>
      </w:tr>
      <w:tr w:rsidR="00C54800" w:rsidRPr="00A405F1" w14:paraId="5EBC1F6C" w14:textId="77777777" w:rsidTr="00EF7167">
        <w:trPr>
          <w:trHeight w:val="302"/>
          <w:jc w:val="center"/>
        </w:trPr>
        <w:tc>
          <w:tcPr>
            <w:tcW w:w="2500" w:type="pct"/>
            <w:shd w:val="clear" w:color="auto" w:fill="D9D9D6"/>
            <w:noWrap/>
            <w:hideMark/>
          </w:tcPr>
          <w:p w14:paraId="725F9705" w14:textId="46437465" w:rsidR="00C54800" w:rsidRPr="00630321" w:rsidRDefault="00C54800" w:rsidP="00C54800">
            <w:pPr>
              <w:keepNext/>
              <w:tabs>
                <w:tab w:val="left" w:pos="3744"/>
              </w:tabs>
              <w:spacing w:line="276" w:lineRule="auto"/>
              <w:rPr>
                <w:rFonts w:ascii="Segoe UI" w:eastAsia="Segoe UI" w:hAnsi="Segoe UI" w:cs="Segoe UI"/>
                <w:b/>
                <w:bCs/>
                <w:sz w:val="22"/>
              </w:rPr>
            </w:pPr>
            <w:r w:rsidRPr="00630321">
              <w:rPr>
                <w:rFonts w:ascii="Segoe UI" w:hAnsi="Segoe UI" w:cs="Segoe UI"/>
                <w:sz w:val="22"/>
              </w:rPr>
              <w:t>Total patent term adjustment (PTA) compliance—all mailed actions</w:t>
            </w:r>
          </w:p>
        </w:tc>
        <w:tc>
          <w:tcPr>
            <w:tcW w:w="2500" w:type="pct"/>
            <w:tcBorders>
              <w:top w:val="nil"/>
              <w:left w:val="nil"/>
              <w:bottom w:val="single" w:sz="8" w:space="0" w:color="auto"/>
              <w:right w:val="single" w:sz="8" w:space="0" w:color="auto"/>
            </w:tcBorders>
            <w:shd w:val="clear" w:color="auto" w:fill="D9D9D6"/>
            <w:noWrap/>
            <w:hideMark/>
          </w:tcPr>
          <w:p w14:paraId="58317EC5" w14:textId="07BBC7E5" w:rsidR="00C54800" w:rsidRPr="00630321" w:rsidRDefault="00C54800" w:rsidP="00C54800">
            <w:pPr>
              <w:keepNext/>
              <w:tabs>
                <w:tab w:val="left" w:pos="3744"/>
              </w:tabs>
              <w:spacing w:line="276" w:lineRule="auto"/>
              <w:jc w:val="right"/>
              <w:rPr>
                <w:rFonts w:ascii="Segoe UI" w:eastAsia="Segoe UI" w:hAnsi="Segoe UI" w:cs="Segoe UI"/>
                <w:sz w:val="22"/>
                <w:highlight w:val="yellow"/>
              </w:rPr>
            </w:pPr>
            <w:r w:rsidRPr="00630321">
              <w:rPr>
                <w:rFonts w:ascii="Segoe UI" w:hAnsi="Segoe UI" w:cs="Segoe UI"/>
                <w:sz w:val="22"/>
              </w:rPr>
              <w:t>80%</w:t>
            </w:r>
          </w:p>
        </w:tc>
      </w:tr>
      <w:tr w:rsidR="00C54800" w:rsidRPr="00A405F1" w14:paraId="0670B678" w14:textId="77777777" w:rsidTr="00EF7167">
        <w:trPr>
          <w:trHeight w:val="302"/>
          <w:jc w:val="center"/>
        </w:trPr>
        <w:tc>
          <w:tcPr>
            <w:tcW w:w="2500" w:type="pct"/>
            <w:noWrap/>
          </w:tcPr>
          <w:p w14:paraId="720E67B8" w14:textId="58104C69" w:rsidR="00C54800" w:rsidRPr="00630321" w:rsidRDefault="00C54800" w:rsidP="00C54800">
            <w:pPr>
              <w:keepNext/>
              <w:tabs>
                <w:tab w:val="left" w:pos="3744"/>
              </w:tabs>
              <w:spacing w:line="276" w:lineRule="auto"/>
              <w:rPr>
                <w:rFonts w:ascii="Segoe UI" w:eastAsia="Segoe UI" w:hAnsi="Segoe UI" w:cs="Segoe UI"/>
                <w:b/>
                <w:bCs/>
                <w:sz w:val="22"/>
              </w:rPr>
            </w:pPr>
            <w:r w:rsidRPr="00630321">
              <w:rPr>
                <w:rFonts w:ascii="Segoe UI" w:hAnsi="Segoe UI" w:cs="Segoe UI"/>
                <w:sz w:val="22"/>
              </w:rPr>
              <w:t>Total PTA compliance—remaining inventory</w:t>
            </w:r>
          </w:p>
        </w:tc>
        <w:tc>
          <w:tcPr>
            <w:tcW w:w="2500" w:type="pct"/>
            <w:tcBorders>
              <w:top w:val="nil"/>
              <w:left w:val="nil"/>
              <w:bottom w:val="single" w:sz="8" w:space="0" w:color="auto"/>
              <w:right w:val="single" w:sz="8" w:space="0" w:color="auto"/>
            </w:tcBorders>
            <w:shd w:val="clear" w:color="auto" w:fill="auto"/>
            <w:noWrap/>
          </w:tcPr>
          <w:p w14:paraId="2DADF6DB" w14:textId="23106617" w:rsidR="00C54800" w:rsidRPr="00630321" w:rsidRDefault="00C54800" w:rsidP="00C54800">
            <w:pPr>
              <w:keepNext/>
              <w:tabs>
                <w:tab w:val="left" w:pos="3744"/>
              </w:tabs>
              <w:spacing w:line="276" w:lineRule="auto"/>
              <w:jc w:val="right"/>
              <w:rPr>
                <w:rFonts w:ascii="Segoe UI" w:eastAsia="Segoe UI" w:hAnsi="Segoe UI" w:cs="Segoe UI"/>
                <w:sz w:val="22"/>
                <w:highlight w:val="yellow"/>
              </w:rPr>
            </w:pPr>
            <w:r w:rsidRPr="00630321">
              <w:rPr>
                <w:rFonts w:ascii="Segoe UI" w:hAnsi="Segoe UI" w:cs="Segoe UI"/>
                <w:sz w:val="22"/>
              </w:rPr>
              <w:t>81%</w:t>
            </w:r>
          </w:p>
        </w:tc>
      </w:tr>
    </w:tbl>
    <w:p w14:paraId="0039954D" w14:textId="77777777" w:rsidR="00C54800" w:rsidRDefault="00C54800" w:rsidP="293D3C50">
      <w:pPr>
        <w:spacing w:line="360" w:lineRule="auto"/>
        <w:ind w:firstLine="450"/>
        <w:rPr>
          <w:rFonts w:ascii="Segoe UI" w:hAnsi="Segoe UI" w:cs="Segoe UI"/>
        </w:rPr>
      </w:pPr>
    </w:p>
    <w:p w14:paraId="478C455E" w14:textId="34BAE03F" w:rsidR="00DD7AD8" w:rsidRPr="00CF6436" w:rsidRDefault="2EC24AC8" w:rsidP="293D3C50">
      <w:pPr>
        <w:spacing w:line="360" w:lineRule="auto"/>
        <w:ind w:firstLine="450"/>
        <w:rPr>
          <w:rStyle w:val="Hyperlink"/>
          <w:rFonts w:ascii="Segoe UI" w:hAnsi="Segoe UI" w:cs="Segoe UI"/>
          <w:color w:val="FF0000"/>
          <w:u w:val="none"/>
        </w:rPr>
      </w:pPr>
      <w:r w:rsidRPr="293D3C50">
        <w:rPr>
          <w:rFonts w:ascii="Segoe UI" w:hAnsi="Segoe UI" w:cs="Segoe UI"/>
        </w:rPr>
        <w:t xml:space="preserve">For Alternatives 1, 2, and 3, the USPTO used elasticity-adjusted workloads. The USPTO recognizes that most fees have some price elasticity, which generally refers to how sensitive applicants and patentees are to fee (price) changes in terms of their decisions to pursue patenting. </w:t>
      </w:r>
      <w:r w:rsidR="5268F2D2" w:rsidRPr="293D3C50">
        <w:rPr>
          <w:rFonts w:ascii="Segoe UI" w:hAnsi="Segoe UI" w:cs="Segoe UI"/>
        </w:rPr>
        <w:t>As discussed above, aggregate revenue estimates for the alternatives are built from the same PPM; therefore, workloads vary between alternatives based solely on price elasticities</w:t>
      </w:r>
      <w:r w:rsidR="5BBC57D2" w:rsidRPr="293D3C50">
        <w:rPr>
          <w:rFonts w:ascii="Segoe UI" w:hAnsi="Segoe UI" w:cs="Segoe UI"/>
        </w:rPr>
        <w:t>.</w:t>
      </w:r>
      <w:r w:rsidR="5268F2D2" w:rsidRPr="293D3C50">
        <w:rPr>
          <w:rFonts w:ascii="Segoe UI" w:hAnsi="Segoe UI" w:cs="Segoe UI"/>
        </w:rPr>
        <w:t xml:space="preserve"> </w:t>
      </w:r>
      <w:r w:rsidRPr="293D3C50">
        <w:rPr>
          <w:rFonts w:ascii="Segoe UI" w:hAnsi="Segoe UI" w:cs="Segoe UI"/>
        </w:rPr>
        <w:t xml:space="preserve">For Alternative 2 in particular, the USPTO recognizes that there would be changes in applicant demand related to adjustments of both entry and maintenance fee rates. In discussions of each alternative, the analysis includes additional insights on the magnitude and direction of these changes. A more detailed description of price elasticity is </w:t>
      </w:r>
      <w:r w:rsidRPr="293D3C50">
        <w:rPr>
          <w:rFonts w:ascii="Segoe UI" w:hAnsi="Segoe UI" w:cs="Segoe UI"/>
        </w:rPr>
        <w:lastRenderedPageBreak/>
        <w:t>contained in “</w:t>
      </w:r>
      <w:hyperlink r:id="rId34" w:history="1">
        <w:r w:rsidR="00F918FB" w:rsidRPr="00F918FB">
          <w:rPr>
            <w:rStyle w:val="Hyperlink"/>
            <w:rFonts w:ascii="Segoe UI" w:hAnsi="Segoe UI" w:cs="Segoe UI"/>
          </w:rPr>
          <w:t>Setting and Adjusting Patent Fees During Fiscal Year 2020—Description of Elasticity Estimates</w:t>
        </w:r>
      </w:hyperlink>
      <w:r w:rsidRPr="293D3C50">
        <w:rPr>
          <w:rFonts w:ascii="Segoe UI" w:hAnsi="Segoe UI" w:cs="Segoe UI"/>
        </w:rPr>
        <w:t>.”</w:t>
      </w:r>
    </w:p>
    <w:p w14:paraId="6D6AAB6D" w14:textId="744EA5BF" w:rsidR="00DD7AD8" w:rsidRPr="00CF6436" w:rsidRDefault="00DD7AD8" w:rsidP="293D3C50">
      <w:pPr>
        <w:spacing w:line="360" w:lineRule="auto"/>
        <w:rPr>
          <w:rFonts w:ascii="Segoe UI" w:hAnsi="Segoe UI" w:cs="Segoe UI"/>
        </w:rPr>
      </w:pPr>
    </w:p>
    <w:p w14:paraId="303F710E" w14:textId="77777777" w:rsidR="00117429" w:rsidRPr="00CF6436" w:rsidRDefault="00E73092" w:rsidP="00EA247B">
      <w:pPr>
        <w:pStyle w:val="Heading3Numbering"/>
        <w:numPr>
          <w:ilvl w:val="2"/>
          <w:numId w:val="7"/>
        </w:numPr>
        <w:spacing w:line="360" w:lineRule="auto"/>
        <w:ind w:left="0" w:firstLine="0"/>
        <w:rPr>
          <w:rFonts w:ascii="Segoe UI" w:hAnsi="Segoe UI" w:cs="Segoe UI"/>
        </w:rPr>
      </w:pPr>
      <w:r w:rsidRPr="00CF6436">
        <w:rPr>
          <w:rFonts w:ascii="Segoe UI" w:hAnsi="Segoe UI" w:cs="Segoe UI"/>
        </w:rPr>
        <w:t>Aggregate Patent Costs</w:t>
      </w:r>
    </w:p>
    <w:p w14:paraId="2657EDF9" w14:textId="50F4FE86" w:rsidR="00852BC0" w:rsidRPr="00CF6436" w:rsidRDefault="5918DE1D" w:rsidP="293D3C50">
      <w:pPr>
        <w:spacing w:line="360" w:lineRule="auto"/>
        <w:ind w:firstLine="450"/>
        <w:rPr>
          <w:rFonts w:ascii="Segoe UI" w:hAnsi="Segoe UI" w:cs="Segoe UI"/>
          <w:color w:val="000000" w:themeColor="text1"/>
        </w:rPr>
      </w:pPr>
      <w:r w:rsidRPr="293D3C50">
        <w:rPr>
          <w:rFonts w:ascii="Segoe UI" w:hAnsi="Segoe UI" w:cs="Segoe UI"/>
        </w:rPr>
        <w:t>As mentioned in the</w:t>
      </w:r>
      <w:r w:rsidR="000E20E9">
        <w:rPr>
          <w:rFonts w:ascii="Segoe UI" w:hAnsi="Segoe UI" w:cs="Segoe UI"/>
        </w:rPr>
        <w:t xml:space="preserve"> final rule</w:t>
      </w:r>
      <w:r w:rsidRPr="293D3C50">
        <w:rPr>
          <w:rFonts w:ascii="Segoe UI" w:hAnsi="Segoe UI" w:cs="Segoe UI"/>
        </w:rPr>
        <w:t xml:space="preserve"> (see Part IV</w:t>
      </w:r>
      <w:r w:rsidR="6A6E3933" w:rsidRPr="293D3C50">
        <w:rPr>
          <w:rFonts w:ascii="Segoe UI" w:hAnsi="Segoe UI" w:cs="Segoe UI"/>
        </w:rPr>
        <w:t>: Rulemaking Goals and Strategies</w:t>
      </w:r>
      <w:r w:rsidRPr="293D3C50">
        <w:rPr>
          <w:rFonts w:ascii="Segoe UI" w:hAnsi="Segoe UI" w:cs="Segoe UI"/>
        </w:rPr>
        <w:t>), t</w:t>
      </w:r>
      <w:r w:rsidR="23009EA2" w:rsidRPr="293D3C50">
        <w:rPr>
          <w:rFonts w:ascii="Segoe UI" w:hAnsi="Segoe UI" w:cs="Segoe UI"/>
        </w:rPr>
        <w:t xml:space="preserve">he basis for calculating </w:t>
      </w:r>
      <w:r w:rsidR="2DE4EF15" w:rsidRPr="293D3C50">
        <w:rPr>
          <w:rFonts w:ascii="Segoe UI" w:hAnsi="Segoe UI" w:cs="Segoe UI"/>
        </w:rPr>
        <w:t>aggregate patent costs</w:t>
      </w:r>
      <w:r w:rsidR="23009EA2" w:rsidRPr="293D3C50">
        <w:rPr>
          <w:rFonts w:ascii="Segoe UI" w:hAnsi="Segoe UI" w:cs="Segoe UI"/>
        </w:rPr>
        <w:t xml:space="preserve"> is routine </w:t>
      </w:r>
      <w:r w:rsidR="0C818FA2" w:rsidRPr="293D3C50">
        <w:rPr>
          <w:rFonts w:ascii="Segoe UI" w:hAnsi="Segoe UI" w:cs="Segoe UI"/>
        </w:rPr>
        <w:t xml:space="preserve">in </w:t>
      </w:r>
      <w:r w:rsidR="4A0932CF" w:rsidRPr="293D3C50">
        <w:rPr>
          <w:rFonts w:ascii="Segoe UI" w:hAnsi="Segoe UI" w:cs="Segoe UI"/>
        </w:rPr>
        <w:t xml:space="preserve">the </w:t>
      </w:r>
      <w:r w:rsidR="23009EA2" w:rsidRPr="293D3C50">
        <w:rPr>
          <w:rFonts w:ascii="Segoe UI" w:hAnsi="Segoe UI" w:cs="Segoe UI"/>
        </w:rPr>
        <w:t>USPTO</w:t>
      </w:r>
      <w:r w:rsidR="3778CFCB" w:rsidRPr="293D3C50">
        <w:rPr>
          <w:rFonts w:ascii="Segoe UI" w:hAnsi="Segoe UI" w:cs="Segoe UI"/>
        </w:rPr>
        <w:t>’s</w:t>
      </w:r>
      <w:r w:rsidR="23009EA2" w:rsidRPr="293D3C50">
        <w:rPr>
          <w:rFonts w:ascii="Segoe UI" w:hAnsi="Segoe UI" w:cs="Segoe UI"/>
        </w:rPr>
        <w:t xml:space="preserve"> budget formulation and planning.</w:t>
      </w:r>
      <w:r w:rsidR="1B256616" w:rsidRPr="293D3C50">
        <w:rPr>
          <w:rFonts w:ascii="Segoe UI" w:hAnsi="Segoe UI" w:cs="Segoe UI"/>
        </w:rPr>
        <w:t xml:space="preserve"> </w:t>
      </w:r>
      <w:r w:rsidR="23009EA2" w:rsidRPr="293D3C50">
        <w:rPr>
          <w:rFonts w:ascii="Segoe UI" w:hAnsi="Segoe UI" w:cs="Segoe UI"/>
        </w:rPr>
        <w:t>The USPTO budget is a five-year plan</w:t>
      </w:r>
      <w:r w:rsidR="0C818FA2" w:rsidRPr="293D3C50">
        <w:rPr>
          <w:rFonts w:ascii="Segoe UI" w:hAnsi="Segoe UI" w:cs="Segoe UI"/>
        </w:rPr>
        <w:t xml:space="preserve">, </w:t>
      </w:r>
      <w:r w:rsidR="23009EA2" w:rsidRPr="293D3C50">
        <w:rPr>
          <w:rFonts w:ascii="Segoe UI" w:hAnsi="Segoe UI" w:cs="Segoe UI"/>
        </w:rPr>
        <w:t>prepared annually</w:t>
      </w:r>
      <w:r w:rsidR="0C818FA2" w:rsidRPr="293D3C50">
        <w:rPr>
          <w:rFonts w:ascii="Segoe UI" w:hAnsi="Segoe UI" w:cs="Segoe UI"/>
        </w:rPr>
        <w:t xml:space="preserve">, </w:t>
      </w:r>
      <w:r w:rsidR="48A065EF" w:rsidRPr="293D3C50">
        <w:rPr>
          <w:rFonts w:ascii="Segoe UI" w:hAnsi="Segoe UI" w:cs="Segoe UI"/>
        </w:rPr>
        <w:t xml:space="preserve">with projections </w:t>
      </w:r>
      <w:r w:rsidR="23009EA2" w:rsidRPr="293D3C50">
        <w:rPr>
          <w:rFonts w:ascii="Segoe UI" w:hAnsi="Segoe UI" w:cs="Segoe UI"/>
        </w:rPr>
        <w:t xml:space="preserve">for </w:t>
      </w:r>
      <w:r w:rsidR="0C818FA2" w:rsidRPr="293D3C50">
        <w:rPr>
          <w:rFonts w:ascii="Segoe UI" w:hAnsi="Segoe UI" w:cs="Segoe UI"/>
        </w:rPr>
        <w:t xml:space="preserve">executing </w:t>
      </w:r>
      <w:r w:rsidR="23009EA2" w:rsidRPr="293D3C50">
        <w:rPr>
          <w:rFonts w:ascii="Segoe UI" w:hAnsi="Segoe UI" w:cs="Segoe UI"/>
        </w:rPr>
        <w:t xml:space="preserve">base programs </w:t>
      </w:r>
      <w:r w:rsidR="157519C1" w:rsidRPr="293D3C50">
        <w:rPr>
          <w:rFonts w:ascii="Segoe UI" w:hAnsi="Segoe UI" w:cs="Segoe UI"/>
        </w:rPr>
        <w:t>(</w:t>
      </w:r>
      <w:r w:rsidR="0C818FA2" w:rsidRPr="293D3C50">
        <w:rPr>
          <w:rFonts w:ascii="Segoe UI" w:hAnsi="Segoe UI" w:cs="Segoe UI"/>
        </w:rPr>
        <w:t>p</w:t>
      </w:r>
      <w:r w:rsidR="157519C1" w:rsidRPr="293D3C50">
        <w:rPr>
          <w:rFonts w:ascii="Segoe UI" w:hAnsi="Segoe UI" w:cs="Segoe UI"/>
        </w:rPr>
        <w:t xml:space="preserve">atent operations) </w:t>
      </w:r>
      <w:r w:rsidR="23009EA2" w:rsidRPr="293D3C50">
        <w:rPr>
          <w:rFonts w:ascii="Segoe UI" w:hAnsi="Segoe UI" w:cs="Segoe UI"/>
        </w:rPr>
        <w:t xml:space="preserve">and implementing strategic </w:t>
      </w:r>
      <w:r w:rsidR="4826160D" w:rsidRPr="293D3C50">
        <w:rPr>
          <w:rFonts w:ascii="Segoe UI" w:hAnsi="Segoe UI" w:cs="Segoe UI"/>
        </w:rPr>
        <w:t>priorities</w:t>
      </w:r>
      <w:r w:rsidR="23009EA2" w:rsidRPr="293D3C50">
        <w:rPr>
          <w:rFonts w:ascii="Segoe UI" w:hAnsi="Segoe UI" w:cs="Segoe UI"/>
        </w:rPr>
        <w:t>.</w:t>
      </w:r>
      <w:r w:rsidR="1B256616" w:rsidRPr="293D3C50">
        <w:rPr>
          <w:rFonts w:ascii="Segoe UI" w:hAnsi="Segoe UI" w:cs="Segoe UI"/>
        </w:rPr>
        <w:t xml:space="preserve"> </w:t>
      </w:r>
      <w:r w:rsidR="17818324" w:rsidRPr="293D3C50">
        <w:rPr>
          <w:rFonts w:ascii="Segoe UI" w:hAnsi="Segoe UI" w:cs="Segoe UI"/>
        </w:rPr>
        <w:t xml:space="preserve">As discussed above, the USPTO’s </w:t>
      </w:r>
      <w:r w:rsidR="19E26A0C" w:rsidRPr="293D3C50">
        <w:rPr>
          <w:rFonts w:ascii="Segoe UI" w:hAnsi="Segoe UI" w:cs="Segoe UI"/>
        </w:rPr>
        <w:t>analysis</w:t>
      </w:r>
      <w:r w:rsidR="17818324" w:rsidRPr="293D3C50">
        <w:rPr>
          <w:rFonts w:ascii="Segoe UI" w:hAnsi="Segoe UI" w:cs="Segoe UI"/>
        </w:rPr>
        <w:t xml:space="preserve"> is based on the same PPM for each alternative, and therefore </w:t>
      </w:r>
      <w:r w:rsidR="06E67DA4" w:rsidRPr="293D3C50">
        <w:rPr>
          <w:rFonts w:ascii="Segoe UI" w:hAnsi="Segoe UI" w:cs="Segoe UI"/>
          <w:color w:val="000000" w:themeColor="text1"/>
        </w:rPr>
        <w:t>e</w:t>
      </w:r>
      <w:r w:rsidR="3C69B298" w:rsidRPr="293D3C50">
        <w:rPr>
          <w:rFonts w:ascii="Segoe UI" w:hAnsi="Segoe UI" w:cs="Segoe UI"/>
          <w:color w:val="000000" w:themeColor="text1"/>
        </w:rPr>
        <w:t xml:space="preserve">stimated budgetary requirements are the same for the Baseline and all </w:t>
      </w:r>
      <w:r w:rsidR="30EDB4F3" w:rsidRPr="293D3C50">
        <w:rPr>
          <w:rFonts w:ascii="Segoe UI" w:hAnsi="Segoe UI" w:cs="Segoe UI"/>
          <w:color w:val="000000" w:themeColor="text1"/>
        </w:rPr>
        <w:t xml:space="preserve">other </w:t>
      </w:r>
      <w:r w:rsidR="3C69B298" w:rsidRPr="293D3C50">
        <w:rPr>
          <w:rFonts w:ascii="Segoe UI" w:hAnsi="Segoe UI" w:cs="Segoe UI"/>
          <w:color w:val="000000" w:themeColor="text1"/>
        </w:rPr>
        <w:t>alternatives</w:t>
      </w:r>
      <w:r w:rsidR="4C0D516F" w:rsidRPr="293D3C50">
        <w:rPr>
          <w:rFonts w:ascii="Segoe UI" w:hAnsi="Segoe UI" w:cs="Segoe UI"/>
          <w:color w:val="000000" w:themeColor="text1"/>
        </w:rPr>
        <w:t>.</w:t>
      </w:r>
      <w:r w:rsidR="1B256616" w:rsidRPr="293D3C50">
        <w:rPr>
          <w:rFonts w:ascii="Segoe UI" w:hAnsi="Segoe UI" w:cs="Segoe UI"/>
          <w:color w:val="000000" w:themeColor="text1"/>
        </w:rPr>
        <w:t xml:space="preserve"> </w:t>
      </w:r>
    </w:p>
    <w:p w14:paraId="0CE0F4B0" w14:textId="2E2E7E39" w:rsidR="00852BC0" w:rsidRPr="00CF6436" w:rsidRDefault="0DA35C41" w:rsidP="293D3C50">
      <w:pPr>
        <w:spacing w:line="360" w:lineRule="auto"/>
        <w:ind w:firstLine="450"/>
        <w:rPr>
          <w:rFonts w:ascii="Segoe UI" w:hAnsi="Segoe UI" w:cs="Segoe UI"/>
          <w:color w:val="000000"/>
        </w:rPr>
      </w:pPr>
      <w:r w:rsidRPr="293D3C50">
        <w:rPr>
          <w:rFonts w:ascii="Segoe UI" w:hAnsi="Segoe UI" w:cs="Segoe UI"/>
          <w:color w:val="000000" w:themeColor="text1"/>
        </w:rPr>
        <w:t xml:space="preserve">Aggregate patent costs </w:t>
      </w:r>
      <w:r w:rsidR="107482EB" w:rsidRPr="293D3C50">
        <w:rPr>
          <w:rFonts w:ascii="Segoe UI" w:hAnsi="Segoe UI" w:cs="Segoe UI"/>
          <w:color w:val="000000" w:themeColor="text1"/>
        </w:rPr>
        <w:t xml:space="preserve">are </w:t>
      </w:r>
      <w:r w:rsidRPr="293D3C50">
        <w:rPr>
          <w:rFonts w:ascii="Segoe UI" w:hAnsi="Segoe UI" w:cs="Segoe UI"/>
          <w:color w:val="000000" w:themeColor="text1"/>
        </w:rPr>
        <w:t xml:space="preserve">the total of estimated budgetary requirements and </w:t>
      </w:r>
      <w:r w:rsidR="35D0CEE0" w:rsidRPr="293D3C50">
        <w:rPr>
          <w:rFonts w:ascii="Segoe UI" w:hAnsi="Segoe UI" w:cs="Segoe UI"/>
          <w:color w:val="000000" w:themeColor="text1"/>
        </w:rPr>
        <w:t xml:space="preserve">planned </w:t>
      </w:r>
      <w:r w:rsidR="03C17F6D" w:rsidRPr="293D3C50">
        <w:rPr>
          <w:rFonts w:ascii="Segoe UI" w:hAnsi="Segoe UI" w:cs="Segoe UI"/>
          <w:color w:val="000000" w:themeColor="text1"/>
        </w:rPr>
        <w:t xml:space="preserve">deposits to the </w:t>
      </w:r>
      <w:r w:rsidRPr="293D3C50">
        <w:rPr>
          <w:rFonts w:ascii="Segoe UI" w:hAnsi="Segoe UI" w:cs="Segoe UI"/>
          <w:color w:val="000000" w:themeColor="text1"/>
        </w:rPr>
        <w:t>operating reserve.</w:t>
      </w:r>
      <w:r w:rsidR="1B256616" w:rsidRPr="293D3C50">
        <w:rPr>
          <w:rFonts w:ascii="Segoe UI" w:hAnsi="Segoe UI" w:cs="Segoe UI"/>
          <w:color w:val="000000" w:themeColor="text1"/>
        </w:rPr>
        <w:t xml:space="preserve"> </w:t>
      </w:r>
      <w:r w:rsidR="5234916E" w:rsidRPr="293D3C50">
        <w:rPr>
          <w:rFonts w:ascii="Segoe UI" w:hAnsi="Segoe UI" w:cs="Segoe UI"/>
        </w:rPr>
        <w:t>Table 3</w:t>
      </w:r>
      <w:r w:rsidR="6FBC2424" w:rsidRPr="293D3C50">
        <w:rPr>
          <w:rFonts w:ascii="Segoe UI" w:hAnsi="Segoe UI" w:cs="Segoe UI"/>
        </w:rPr>
        <w:t>-</w:t>
      </w:r>
      <w:r w:rsidR="3B741365" w:rsidRPr="293D3C50">
        <w:rPr>
          <w:rFonts w:ascii="Segoe UI" w:hAnsi="Segoe UI" w:cs="Segoe UI"/>
        </w:rPr>
        <w:t>2</w:t>
      </w:r>
      <w:r w:rsidR="6FBC2424" w:rsidRPr="293D3C50">
        <w:rPr>
          <w:rFonts w:ascii="Segoe UI" w:hAnsi="Segoe UI" w:cs="Segoe UI"/>
        </w:rPr>
        <w:t xml:space="preserve"> provides </w:t>
      </w:r>
      <w:r w:rsidR="1E15A768" w:rsidRPr="293D3C50">
        <w:rPr>
          <w:rFonts w:ascii="Segoe UI" w:hAnsi="Segoe UI" w:cs="Segoe UI"/>
        </w:rPr>
        <w:t>budgetary requirement</w:t>
      </w:r>
      <w:r w:rsidR="61C4F422" w:rsidRPr="293D3C50">
        <w:rPr>
          <w:rFonts w:ascii="Segoe UI" w:hAnsi="Segoe UI" w:cs="Segoe UI"/>
        </w:rPr>
        <w:t>s</w:t>
      </w:r>
      <w:r w:rsidR="1E15A768" w:rsidRPr="293D3C50">
        <w:rPr>
          <w:rFonts w:ascii="Segoe UI" w:hAnsi="Segoe UI" w:cs="Segoe UI"/>
        </w:rPr>
        <w:t xml:space="preserve">, </w:t>
      </w:r>
      <w:r w:rsidR="6FBC2424" w:rsidRPr="293D3C50">
        <w:rPr>
          <w:rFonts w:ascii="Segoe UI" w:hAnsi="Segoe UI" w:cs="Segoe UI"/>
        </w:rPr>
        <w:t xml:space="preserve">projected </w:t>
      </w:r>
      <w:r w:rsidR="7EE44950" w:rsidRPr="293D3C50">
        <w:rPr>
          <w:rFonts w:ascii="Segoe UI" w:hAnsi="Segoe UI" w:cs="Segoe UI"/>
        </w:rPr>
        <w:t>aggregate patent revenue</w:t>
      </w:r>
      <w:r w:rsidR="43BCC6FD" w:rsidRPr="293D3C50">
        <w:rPr>
          <w:rFonts w:ascii="Segoe UI" w:hAnsi="Segoe UI" w:cs="Segoe UI"/>
        </w:rPr>
        <w:t>,</w:t>
      </w:r>
      <w:r w:rsidR="7EE44950" w:rsidRPr="293D3C50">
        <w:rPr>
          <w:rFonts w:ascii="Segoe UI" w:hAnsi="Segoe UI" w:cs="Segoe UI"/>
        </w:rPr>
        <w:t xml:space="preserve"> and </w:t>
      </w:r>
      <w:r w:rsidR="7359B691" w:rsidRPr="293D3C50">
        <w:rPr>
          <w:rFonts w:ascii="Segoe UI" w:hAnsi="Segoe UI" w:cs="Segoe UI"/>
        </w:rPr>
        <w:t>the resulting patent operating reserve levels</w:t>
      </w:r>
      <w:r w:rsidR="7EE44950" w:rsidRPr="293D3C50">
        <w:rPr>
          <w:rFonts w:ascii="Segoe UI" w:hAnsi="Segoe UI" w:cs="Segoe UI"/>
        </w:rPr>
        <w:t xml:space="preserve"> </w:t>
      </w:r>
      <w:r w:rsidR="6FBC2424" w:rsidRPr="293D3C50">
        <w:rPr>
          <w:rFonts w:ascii="Segoe UI" w:hAnsi="Segoe UI" w:cs="Segoe UI"/>
        </w:rPr>
        <w:t>for each alternative.</w:t>
      </w:r>
      <w:r w:rsidR="3EA45133" w:rsidRPr="293D3C50">
        <w:rPr>
          <w:rFonts w:ascii="Segoe UI" w:hAnsi="Segoe UI" w:cs="Segoe UI"/>
        </w:rPr>
        <w:t xml:space="preserve"> </w:t>
      </w:r>
      <w:r w:rsidR="4095090E" w:rsidRPr="293D3C50">
        <w:rPr>
          <w:rFonts w:ascii="Segoe UI" w:hAnsi="Segoe UI" w:cs="Segoe UI"/>
        </w:rPr>
        <w:t xml:space="preserve">Since </w:t>
      </w:r>
      <w:r w:rsidR="4095090E" w:rsidRPr="293D3C50">
        <w:rPr>
          <w:rFonts w:ascii="Segoe UI" w:hAnsi="Segoe UI" w:cs="Segoe UI"/>
          <w:color w:val="000000" w:themeColor="text1"/>
        </w:rPr>
        <w:t xml:space="preserve">planned deposits to the operating reserve are an important part of aggregate patent costs, </w:t>
      </w:r>
      <w:r w:rsidR="22F4BEDC" w:rsidRPr="293D3C50">
        <w:rPr>
          <w:rFonts w:ascii="Segoe UI" w:hAnsi="Segoe UI" w:cs="Segoe UI"/>
          <w:color w:val="000000" w:themeColor="text1"/>
        </w:rPr>
        <w:t>monitoring the projected operating reserve levels is key when analyzing costs.</w:t>
      </w:r>
    </w:p>
    <w:p w14:paraId="2D17CC2B" w14:textId="77777777" w:rsidR="00045D92" w:rsidRPr="00CF6436" w:rsidRDefault="00045D92" w:rsidP="00CF6436">
      <w:pPr>
        <w:spacing w:after="200" w:line="360" w:lineRule="auto"/>
        <w:rPr>
          <w:rFonts w:ascii="Segoe UI" w:eastAsiaTheme="minorHAnsi" w:hAnsi="Segoe UI" w:cs="Segoe UI"/>
          <w:b/>
          <w:szCs w:val="24"/>
        </w:rPr>
      </w:pPr>
    </w:p>
    <w:p w14:paraId="05006B5C" w14:textId="77777777" w:rsidR="00852BC0" w:rsidRPr="00CF6436" w:rsidRDefault="6EE40993" w:rsidP="17CECF10">
      <w:pPr>
        <w:keepNext/>
        <w:tabs>
          <w:tab w:val="left" w:pos="3744"/>
        </w:tabs>
        <w:spacing w:line="360" w:lineRule="auto"/>
        <w:jc w:val="center"/>
        <w:rPr>
          <w:rFonts w:ascii="Segoe UI" w:hAnsi="Segoe UI" w:cs="Segoe UI"/>
          <w:b/>
          <w:bCs/>
          <w:szCs w:val="24"/>
        </w:rPr>
      </w:pPr>
      <w:r w:rsidRPr="17CECF10">
        <w:rPr>
          <w:rFonts w:ascii="Segoe UI" w:hAnsi="Segoe UI" w:cs="Segoe UI"/>
          <w:b/>
          <w:bCs/>
          <w:szCs w:val="24"/>
        </w:rPr>
        <w:lastRenderedPageBreak/>
        <w:t xml:space="preserve">Table </w:t>
      </w:r>
      <w:r w:rsidR="0A2043C2" w:rsidRPr="17CECF10">
        <w:rPr>
          <w:rFonts w:ascii="Segoe UI" w:hAnsi="Segoe UI" w:cs="Segoe UI"/>
          <w:b/>
          <w:bCs/>
          <w:szCs w:val="24"/>
        </w:rPr>
        <w:t>3</w:t>
      </w:r>
      <w:r w:rsidRPr="17CECF10">
        <w:rPr>
          <w:rFonts w:ascii="Segoe UI" w:hAnsi="Segoe UI" w:cs="Segoe UI"/>
          <w:b/>
          <w:bCs/>
          <w:szCs w:val="24"/>
        </w:rPr>
        <w:t>-</w:t>
      </w:r>
      <w:r w:rsidR="57E59946" w:rsidRPr="17CECF10">
        <w:rPr>
          <w:rFonts w:ascii="Segoe UI" w:hAnsi="Segoe UI" w:cs="Segoe UI"/>
          <w:b/>
          <w:bCs/>
          <w:szCs w:val="24"/>
        </w:rPr>
        <w:t>2</w:t>
      </w:r>
    </w:p>
    <w:tbl>
      <w:tblPr>
        <w:tblStyle w:val="TableGrid"/>
        <w:tblW w:w="5000" w:type="pct"/>
        <w:jc w:val="center"/>
        <w:tblLook w:val="04A0" w:firstRow="1" w:lastRow="0" w:firstColumn="1" w:lastColumn="0" w:noHBand="0" w:noVBand="1"/>
        <w:tblCaption w:val="Aggregate Patent Costs and Revenue by Alternative"/>
        <w:tblDescription w:val="Table displays budgetary requirements, other income, and optimal operating reserve levels for FY 2017 through FY 2021. Displays projected aggregate patent revenue and end of year operating reserve for FY 2017 through FY 2021 for the four alternatives considered."/>
      </w:tblPr>
      <w:tblGrid>
        <w:gridCol w:w="3790"/>
        <w:gridCol w:w="1031"/>
        <w:gridCol w:w="1031"/>
        <w:gridCol w:w="1031"/>
        <w:gridCol w:w="1031"/>
        <w:gridCol w:w="990"/>
      </w:tblGrid>
      <w:tr w:rsidR="00852BC0" w:rsidRPr="00CF6436" w14:paraId="74DF68D5" w14:textId="77777777" w:rsidTr="00C54800">
        <w:trPr>
          <w:trHeight w:val="509"/>
          <w:tblHeader/>
          <w:jc w:val="center"/>
        </w:trPr>
        <w:tc>
          <w:tcPr>
            <w:tcW w:w="5000" w:type="pct"/>
            <w:gridSpan w:val="6"/>
            <w:vAlign w:val="center"/>
            <w:hideMark/>
          </w:tcPr>
          <w:p w14:paraId="7C2364D0" w14:textId="1900DD42" w:rsidR="00852BC0" w:rsidRPr="00C01468" w:rsidRDefault="2ADFF4CA" w:rsidP="00296381">
            <w:pPr>
              <w:keepNext/>
              <w:tabs>
                <w:tab w:val="left" w:pos="3744"/>
              </w:tabs>
              <w:spacing w:line="276" w:lineRule="auto"/>
              <w:jc w:val="center"/>
              <w:rPr>
                <w:rFonts w:ascii="Segoe UI" w:eastAsia="Segoe UI" w:hAnsi="Segoe UI" w:cs="Segoe UI"/>
                <w:b/>
                <w:bCs/>
                <w:sz w:val="22"/>
              </w:rPr>
            </w:pPr>
            <w:r w:rsidRPr="17CECF10">
              <w:rPr>
                <w:rFonts w:ascii="Segoe UI" w:eastAsia="Segoe UI" w:hAnsi="Segoe UI" w:cs="Segoe UI"/>
                <w:b/>
                <w:bCs/>
                <w:sz w:val="22"/>
              </w:rPr>
              <w:t>Budgetary Requirements</w:t>
            </w:r>
            <w:r w:rsidR="7C9416EF" w:rsidRPr="17CECF10">
              <w:rPr>
                <w:rFonts w:ascii="Segoe UI" w:eastAsia="Segoe UI" w:hAnsi="Segoe UI" w:cs="Segoe UI"/>
                <w:b/>
                <w:bCs/>
                <w:sz w:val="22"/>
              </w:rPr>
              <w:t xml:space="preserve"> and </w:t>
            </w:r>
            <w:r w:rsidR="590B8171" w:rsidRPr="17CECF10">
              <w:rPr>
                <w:rFonts w:ascii="Segoe UI" w:eastAsia="Segoe UI" w:hAnsi="Segoe UI" w:cs="Segoe UI"/>
                <w:b/>
                <w:bCs/>
                <w:sz w:val="22"/>
              </w:rPr>
              <w:t xml:space="preserve">Projected </w:t>
            </w:r>
            <w:r w:rsidR="3D1872D9" w:rsidRPr="17CECF10">
              <w:rPr>
                <w:rFonts w:ascii="Segoe UI" w:eastAsia="Segoe UI" w:hAnsi="Segoe UI" w:cs="Segoe UI"/>
                <w:b/>
                <w:bCs/>
                <w:sz w:val="22"/>
              </w:rPr>
              <w:t>A</w:t>
            </w:r>
            <w:r w:rsidR="7C9416EF" w:rsidRPr="17CECF10">
              <w:rPr>
                <w:rFonts w:ascii="Segoe UI" w:eastAsia="Segoe UI" w:hAnsi="Segoe UI" w:cs="Segoe UI"/>
                <w:b/>
                <w:bCs/>
                <w:sz w:val="22"/>
              </w:rPr>
              <w:t xml:space="preserve">ggregate </w:t>
            </w:r>
            <w:r w:rsidR="3D1872D9" w:rsidRPr="17CECF10">
              <w:rPr>
                <w:rFonts w:ascii="Segoe UI" w:eastAsia="Segoe UI" w:hAnsi="Segoe UI" w:cs="Segoe UI"/>
                <w:b/>
                <w:bCs/>
                <w:sz w:val="22"/>
              </w:rPr>
              <w:t>P</w:t>
            </w:r>
            <w:r w:rsidR="7C9416EF" w:rsidRPr="17CECF10">
              <w:rPr>
                <w:rFonts w:ascii="Segoe UI" w:eastAsia="Segoe UI" w:hAnsi="Segoe UI" w:cs="Segoe UI"/>
                <w:b/>
                <w:bCs/>
                <w:sz w:val="22"/>
              </w:rPr>
              <w:t xml:space="preserve">atent </w:t>
            </w:r>
            <w:r w:rsidR="3D1872D9" w:rsidRPr="17CECF10">
              <w:rPr>
                <w:rFonts w:ascii="Segoe UI" w:eastAsia="Segoe UI" w:hAnsi="Segoe UI" w:cs="Segoe UI"/>
                <w:b/>
                <w:bCs/>
                <w:sz w:val="22"/>
              </w:rPr>
              <w:t>R</w:t>
            </w:r>
            <w:r w:rsidR="7C9416EF" w:rsidRPr="17CECF10">
              <w:rPr>
                <w:rFonts w:ascii="Segoe UI" w:eastAsia="Segoe UI" w:hAnsi="Segoe UI" w:cs="Segoe UI"/>
                <w:b/>
                <w:bCs/>
                <w:sz w:val="22"/>
              </w:rPr>
              <w:t xml:space="preserve">evenue </w:t>
            </w:r>
            <w:r w:rsidR="452D05F2" w:rsidRPr="17CECF10">
              <w:rPr>
                <w:rFonts w:ascii="Segoe UI" w:eastAsia="Segoe UI" w:hAnsi="Segoe UI" w:cs="Segoe UI"/>
                <w:b/>
                <w:bCs/>
                <w:sz w:val="22"/>
              </w:rPr>
              <w:t xml:space="preserve">by </w:t>
            </w:r>
            <w:r w:rsidR="3D1872D9" w:rsidRPr="17CECF10">
              <w:rPr>
                <w:rFonts w:ascii="Segoe UI" w:eastAsia="Segoe UI" w:hAnsi="Segoe UI" w:cs="Segoe UI"/>
                <w:b/>
                <w:bCs/>
                <w:sz w:val="22"/>
              </w:rPr>
              <w:t>A</w:t>
            </w:r>
            <w:r w:rsidR="452D05F2" w:rsidRPr="17CECF10">
              <w:rPr>
                <w:rFonts w:ascii="Segoe UI" w:eastAsia="Segoe UI" w:hAnsi="Segoe UI" w:cs="Segoe UI"/>
                <w:b/>
                <w:bCs/>
                <w:sz w:val="22"/>
              </w:rPr>
              <w:t>lternative</w:t>
            </w:r>
            <w:r w:rsidR="0D0F7B65">
              <w:br/>
            </w:r>
            <w:r w:rsidR="452D05F2" w:rsidRPr="17CECF10">
              <w:rPr>
                <w:rFonts w:ascii="Segoe UI" w:eastAsia="Segoe UI" w:hAnsi="Segoe UI" w:cs="Segoe UI"/>
                <w:b/>
                <w:bCs/>
                <w:sz w:val="22"/>
              </w:rPr>
              <w:t>(dollars in millions)</w:t>
            </w:r>
          </w:p>
        </w:tc>
      </w:tr>
      <w:tr w:rsidR="00852BC0" w:rsidRPr="00CF6436" w14:paraId="39717513" w14:textId="77777777" w:rsidTr="00C54800">
        <w:trPr>
          <w:trHeight w:val="270"/>
          <w:tblHeader/>
          <w:jc w:val="center"/>
        </w:trPr>
        <w:tc>
          <w:tcPr>
            <w:tcW w:w="2288" w:type="pct"/>
            <w:noWrap/>
            <w:vAlign w:val="center"/>
            <w:hideMark/>
          </w:tcPr>
          <w:p w14:paraId="39C5BB86" w14:textId="24263633" w:rsidR="00852BC0" w:rsidRPr="00C01468" w:rsidRDefault="00852BC0" w:rsidP="00296381">
            <w:pPr>
              <w:keepNext/>
              <w:tabs>
                <w:tab w:val="left" w:pos="3744"/>
              </w:tabs>
              <w:spacing w:line="276" w:lineRule="auto"/>
              <w:jc w:val="center"/>
              <w:rPr>
                <w:rFonts w:ascii="Segoe UI" w:eastAsia="Segoe UI" w:hAnsi="Segoe UI" w:cs="Segoe UI"/>
                <w:sz w:val="22"/>
              </w:rPr>
            </w:pPr>
          </w:p>
        </w:tc>
        <w:tc>
          <w:tcPr>
            <w:tcW w:w="514" w:type="pct"/>
            <w:noWrap/>
            <w:vAlign w:val="center"/>
            <w:hideMark/>
          </w:tcPr>
          <w:p w14:paraId="71B7DF2A" w14:textId="3A616D78" w:rsidR="00852BC0" w:rsidRPr="00C01468" w:rsidRDefault="00852BC0" w:rsidP="00296381">
            <w:pPr>
              <w:keepNext/>
              <w:tabs>
                <w:tab w:val="left" w:pos="3744"/>
              </w:tabs>
              <w:spacing w:line="276" w:lineRule="auto"/>
              <w:jc w:val="center"/>
              <w:rPr>
                <w:rFonts w:ascii="Segoe UI" w:eastAsia="Segoe UI" w:hAnsi="Segoe UI" w:cs="Segoe UI"/>
                <w:b/>
                <w:sz w:val="22"/>
              </w:rPr>
            </w:pPr>
            <w:r w:rsidRPr="00C01468">
              <w:rPr>
                <w:rFonts w:ascii="Segoe UI" w:eastAsia="Segoe UI" w:hAnsi="Segoe UI" w:cs="Segoe UI"/>
                <w:b/>
                <w:sz w:val="22"/>
              </w:rPr>
              <w:t>FY 20</w:t>
            </w:r>
            <w:r w:rsidR="0053256C" w:rsidRPr="00C01468">
              <w:rPr>
                <w:rFonts w:ascii="Segoe UI" w:eastAsia="Segoe UI" w:hAnsi="Segoe UI" w:cs="Segoe UI"/>
                <w:b/>
                <w:sz w:val="22"/>
              </w:rPr>
              <w:t>2</w:t>
            </w:r>
            <w:r w:rsidR="00F26559" w:rsidRPr="00C01468">
              <w:rPr>
                <w:rFonts w:ascii="Segoe UI" w:eastAsia="Segoe UI" w:hAnsi="Segoe UI" w:cs="Segoe UI"/>
                <w:b/>
                <w:sz w:val="22"/>
              </w:rPr>
              <w:t>5</w:t>
            </w:r>
          </w:p>
        </w:tc>
        <w:tc>
          <w:tcPr>
            <w:tcW w:w="514" w:type="pct"/>
            <w:noWrap/>
            <w:vAlign w:val="center"/>
            <w:hideMark/>
          </w:tcPr>
          <w:p w14:paraId="35F94625" w14:textId="1E3FDD02" w:rsidR="00852BC0" w:rsidRPr="00C01468" w:rsidRDefault="00852BC0" w:rsidP="00296381">
            <w:pPr>
              <w:keepNext/>
              <w:tabs>
                <w:tab w:val="left" w:pos="3744"/>
              </w:tabs>
              <w:spacing w:line="276" w:lineRule="auto"/>
              <w:jc w:val="center"/>
              <w:rPr>
                <w:rFonts w:ascii="Segoe UI" w:eastAsia="Segoe UI" w:hAnsi="Segoe UI" w:cs="Segoe UI"/>
                <w:b/>
                <w:sz w:val="22"/>
              </w:rPr>
            </w:pPr>
            <w:r w:rsidRPr="00C01468">
              <w:rPr>
                <w:rFonts w:ascii="Segoe UI" w:eastAsia="Segoe UI" w:hAnsi="Segoe UI" w:cs="Segoe UI"/>
                <w:b/>
                <w:sz w:val="22"/>
              </w:rPr>
              <w:t>FY 20</w:t>
            </w:r>
            <w:r w:rsidR="0053256C" w:rsidRPr="00C01468">
              <w:rPr>
                <w:rFonts w:ascii="Segoe UI" w:eastAsia="Segoe UI" w:hAnsi="Segoe UI" w:cs="Segoe UI"/>
                <w:b/>
                <w:sz w:val="22"/>
              </w:rPr>
              <w:t>2</w:t>
            </w:r>
            <w:r w:rsidR="00F26559" w:rsidRPr="00C01468">
              <w:rPr>
                <w:rFonts w:ascii="Segoe UI" w:eastAsia="Segoe UI" w:hAnsi="Segoe UI" w:cs="Segoe UI"/>
                <w:b/>
                <w:sz w:val="22"/>
              </w:rPr>
              <w:t>6</w:t>
            </w:r>
          </w:p>
        </w:tc>
        <w:tc>
          <w:tcPr>
            <w:tcW w:w="514" w:type="pct"/>
            <w:noWrap/>
            <w:vAlign w:val="center"/>
            <w:hideMark/>
          </w:tcPr>
          <w:p w14:paraId="3704C4E5" w14:textId="2A960DF7" w:rsidR="00852BC0" w:rsidRPr="00C01468" w:rsidRDefault="00852BC0" w:rsidP="00296381">
            <w:pPr>
              <w:keepNext/>
              <w:tabs>
                <w:tab w:val="left" w:pos="3744"/>
              </w:tabs>
              <w:spacing w:line="276" w:lineRule="auto"/>
              <w:jc w:val="center"/>
              <w:rPr>
                <w:rFonts w:ascii="Segoe UI" w:eastAsia="Segoe UI" w:hAnsi="Segoe UI" w:cs="Segoe UI"/>
                <w:b/>
                <w:sz w:val="22"/>
              </w:rPr>
            </w:pPr>
            <w:r w:rsidRPr="00C01468">
              <w:rPr>
                <w:rFonts w:ascii="Segoe UI" w:eastAsia="Segoe UI" w:hAnsi="Segoe UI" w:cs="Segoe UI"/>
                <w:b/>
                <w:sz w:val="22"/>
              </w:rPr>
              <w:t>FY 20</w:t>
            </w:r>
            <w:r w:rsidR="0053256C" w:rsidRPr="00C01468">
              <w:rPr>
                <w:rFonts w:ascii="Segoe UI" w:eastAsia="Segoe UI" w:hAnsi="Segoe UI" w:cs="Segoe UI"/>
                <w:b/>
                <w:sz w:val="22"/>
              </w:rPr>
              <w:t>2</w:t>
            </w:r>
            <w:r w:rsidR="00F26559" w:rsidRPr="00C01468">
              <w:rPr>
                <w:rFonts w:ascii="Segoe UI" w:eastAsia="Segoe UI" w:hAnsi="Segoe UI" w:cs="Segoe UI"/>
                <w:b/>
                <w:sz w:val="22"/>
              </w:rPr>
              <w:t>7</w:t>
            </w:r>
          </w:p>
        </w:tc>
        <w:tc>
          <w:tcPr>
            <w:tcW w:w="514" w:type="pct"/>
            <w:noWrap/>
            <w:vAlign w:val="center"/>
            <w:hideMark/>
          </w:tcPr>
          <w:p w14:paraId="4D025BA8" w14:textId="48724A85" w:rsidR="00852BC0" w:rsidRPr="00C01468" w:rsidRDefault="00852BC0" w:rsidP="00296381">
            <w:pPr>
              <w:keepNext/>
              <w:tabs>
                <w:tab w:val="left" w:pos="3744"/>
              </w:tabs>
              <w:spacing w:line="276" w:lineRule="auto"/>
              <w:jc w:val="center"/>
              <w:rPr>
                <w:rFonts w:ascii="Segoe UI" w:eastAsia="Segoe UI" w:hAnsi="Segoe UI" w:cs="Segoe UI"/>
                <w:b/>
                <w:sz w:val="22"/>
              </w:rPr>
            </w:pPr>
            <w:r w:rsidRPr="00C01468">
              <w:rPr>
                <w:rFonts w:ascii="Segoe UI" w:eastAsia="Segoe UI" w:hAnsi="Segoe UI" w:cs="Segoe UI"/>
                <w:b/>
                <w:sz w:val="22"/>
              </w:rPr>
              <w:t>FY 202</w:t>
            </w:r>
            <w:r w:rsidR="00F26559" w:rsidRPr="00C01468">
              <w:rPr>
                <w:rFonts w:ascii="Segoe UI" w:eastAsia="Segoe UI" w:hAnsi="Segoe UI" w:cs="Segoe UI"/>
                <w:b/>
                <w:sz w:val="22"/>
              </w:rPr>
              <w:t>8</w:t>
            </w:r>
          </w:p>
        </w:tc>
        <w:tc>
          <w:tcPr>
            <w:tcW w:w="657" w:type="pct"/>
            <w:noWrap/>
            <w:vAlign w:val="center"/>
            <w:hideMark/>
          </w:tcPr>
          <w:p w14:paraId="770E996A" w14:textId="172A9B25" w:rsidR="00B40CB4" w:rsidRPr="00C01468" w:rsidRDefault="00852BC0" w:rsidP="00296381">
            <w:pPr>
              <w:keepNext/>
              <w:tabs>
                <w:tab w:val="left" w:pos="3744"/>
              </w:tabs>
              <w:spacing w:line="276" w:lineRule="auto"/>
              <w:jc w:val="center"/>
              <w:rPr>
                <w:rFonts w:ascii="Segoe UI" w:eastAsia="Segoe UI" w:hAnsi="Segoe UI" w:cs="Segoe UI"/>
                <w:b/>
                <w:sz w:val="22"/>
              </w:rPr>
            </w:pPr>
            <w:r w:rsidRPr="00C01468">
              <w:rPr>
                <w:rFonts w:ascii="Segoe UI" w:eastAsia="Segoe UI" w:hAnsi="Segoe UI" w:cs="Segoe UI"/>
                <w:b/>
                <w:sz w:val="22"/>
              </w:rPr>
              <w:t>FY</w:t>
            </w:r>
          </w:p>
          <w:p w14:paraId="6E832D65" w14:textId="4C1231D1" w:rsidR="00852BC0" w:rsidRPr="00C01468" w:rsidRDefault="00852BC0" w:rsidP="00296381">
            <w:pPr>
              <w:keepNext/>
              <w:tabs>
                <w:tab w:val="left" w:pos="3744"/>
              </w:tabs>
              <w:spacing w:line="276" w:lineRule="auto"/>
              <w:jc w:val="center"/>
              <w:rPr>
                <w:rFonts w:ascii="Segoe UI" w:eastAsia="Segoe UI" w:hAnsi="Segoe UI" w:cs="Segoe UI"/>
                <w:b/>
                <w:sz w:val="22"/>
              </w:rPr>
            </w:pPr>
            <w:r w:rsidRPr="00C01468">
              <w:rPr>
                <w:rFonts w:ascii="Segoe UI" w:eastAsia="Segoe UI" w:hAnsi="Segoe UI" w:cs="Segoe UI"/>
                <w:b/>
                <w:sz w:val="22"/>
              </w:rPr>
              <w:t>202</w:t>
            </w:r>
            <w:r w:rsidR="00F26559" w:rsidRPr="00C01468">
              <w:rPr>
                <w:rFonts w:ascii="Segoe UI" w:eastAsia="Segoe UI" w:hAnsi="Segoe UI" w:cs="Segoe UI"/>
                <w:b/>
                <w:sz w:val="22"/>
              </w:rPr>
              <w:t>9</w:t>
            </w:r>
          </w:p>
        </w:tc>
      </w:tr>
      <w:tr w:rsidR="00211D89" w:rsidRPr="00CF6436" w14:paraId="09B4DA65" w14:textId="77777777" w:rsidTr="00C54800">
        <w:trPr>
          <w:cantSplit/>
          <w:trHeight w:val="302"/>
          <w:jc w:val="center"/>
        </w:trPr>
        <w:tc>
          <w:tcPr>
            <w:tcW w:w="2288" w:type="pct"/>
            <w:shd w:val="clear" w:color="auto" w:fill="D9D9D6"/>
            <w:noWrap/>
            <w:vAlign w:val="center"/>
            <w:hideMark/>
          </w:tcPr>
          <w:p w14:paraId="50A53DA2" w14:textId="673C87FA" w:rsidR="00211D89" w:rsidRPr="00C01468" w:rsidRDefault="00211D89" w:rsidP="00211D89">
            <w:pPr>
              <w:keepNext/>
              <w:tabs>
                <w:tab w:val="left" w:pos="3744"/>
              </w:tabs>
              <w:spacing w:line="276" w:lineRule="auto"/>
              <w:rPr>
                <w:rFonts w:ascii="Segoe UI" w:eastAsia="Segoe UI" w:hAnsi="Segoe UI" w:cs="Segoe UI"/>
                <w:b/>
                <w:bCs/>
                <w:sz w:val="22"/>
              </w:rPr>
            </w:pPr>
            <w:r w:rsidRPr="00C01468">
              <w:rPr>
                <w:rFonts w:ascii="Segoe UI" w:eastAsia="Segoe UI" w:hAnsi="Segoe UI" w:cs="Segoe UI"/>
                <w:b/>
                <w:bCs/>
                <w:color w:val="000000" w:themeColor="text1"/>
                <w:sz w:val="22"/>
              </w:rPr>
              <w:t>Budgetary requirements</w:t>
            </w:r>
          </w:p>
        </w:tc>
        <w:tc>
          <w:tcPr>
            <w:tcW w:w="514" w:type="pct"/>
            <w:tcBorders>
              <w:top w:val="nil"/>
              <w:left w:val="nil"/>
              <w:bottom w:val="single" w:sz="8" w:space="0" w:color="auto"/>
              <w:right w:val="single" w:sz="8" w:space="0" w:color="auto"/>
            </w:tcBorders>
            <w:shd w:val="clear" w:color="auto" w:fill="D9D9D6"/>
            <w:noWrap/>
            <w:vAlign w:val="center"/>
            <w:hideMark/>
          </w:tcPr>
          <w:p w14:paraId="6E3A409F" w14:textId="61D52874" w:rsidR="00211D89" w:rsidRPr="00A405F1" w:rsidRDefault="00211D89" w:rsidP="00211D89">
            <w:pPr>
              <w:keepNext/>
              <w:tabs>
                <w:tab w:val="left" w:pos="3744"/>
              </w:tabs>
              <w:spacing w:line="276" w:lineRule="auto"/>
              <w:jc w:val="right"/>
              <w:rPr>
                <w:rFonts w:ascii="Segoe UI" w:eastAsia="Segoe UI" w:hAnsi="Segoe UI" w:cs="Segoe UI"/>
                <w:sz w:val="22"/>
                <w:highlight w:val="yellow"/>
              </w:rPr>
            </w:pPr>
            <w:r w:rsidRPr="00211D5B">
              <w:rPr>
                <w:rFonts w:ascii="Segoe UI" w:hAnsi="Segoe UI" w:cs="Segoe UI"/>
                <w:sz w:val="22"/>
              </w:rPr>
              <w:t>$3,975</w:t>
            </w:r>
          </w:p>
        </w:tc>
        <w:tc>
          <w:tcPr>
            <w:tcW w:w="514" w:type="pct"/>
            <w:tcBorders>
              <w:top w:val="nil"/>
              <w:left w:val="nil"/>
              <w:bottom w:val="single" w:sz="8" w:space="0" w:color="auto"/>
              <w:right w:val="single" w:sz="8" w:space="0" w:color="auto"/>
            </w:tcBorders>
            <w:shd w:val="clear" w:color="auto" w:fill="D9D9D6"/>
            <w:noWrap/>
            <w:vAlign w:val="center"/>
            <w:hideMark/>
          </w:tcPr>
          <w:p w14:paraId="4BCE0C9F" w14:textId="497DD8CF" w:rsidR="00211D89" w:rsidRPr="00A405F1" w:rsidRDefault="00211D89" w:rsidP="00211D89">
            <w:pPr>
              <w:keepNext/>
              <w:tabs>
                <w:tab w:val="left" w:pos="3744"/>
              </w:tabs>
              <w:spacing w:line="276" w:lineRule="auto"/>
              <w:jc w:val="right"/>
              <w:rPr>
                <w:rFonts w:ascii="Segoe UI" w:eastAsia="Segoe UI" w:hAnsi="Segoe UI" w:cs="Segoe UI"/>
                <w:sz w:val="22"/>
                <w:highlight w:val="yellow"/>
              </w:rPr>
            </w:pPr>
            <w:r w:rsidRPr="00211D5B">
              <w:rPr>
                <w:rFonts w:ascii="Segoe UI" w:hAnsi="Segoe UI" w:cs="Segoe UI"/>
                <w:sz w:val="22"/>
              </w:rPr>
              <w:t>$4,102</w:t>
            </w:r>
          </w:p>
        </w:tc>
        <w:tc>
          <w:tcPr>
            <w:tcW w:w="514" w:type="pct"/>
            <w:tcBorders>
              <w:top w:val="nil"/>
              <w:left w:val="nil"/>
              <w:bottom w:val="single" w:sz="8" w:space="0" w:color="auto"/>
              <w:right w:val="single" w:sz="8" w:space="0" w:color="auto"/>
            </w:tcBorders>
            <w:shd w:val="clear" w:color="auto" w:fill="D9D9D6"/>
            <w:noWrap/>
            <w:vAlign w:val="center"/>
            <w:hideMark/>
          </w:tcPr>
          <w:p w14:paraId="3AC70927" w14:textId="7BF361E6" w:rsidR="00211D89" w:rsidRPr="00A405F1" w:rsidRDefault="00211D89" w:rsidP="00211D89">
            <w:pPr>
              <w:keepNext/>
              <w:tabs>
                <w:tab w:val="left" w:pos="3744"/>
              </w:tabs>
              <w:spacing w:line="276" w:lineRule="auto"/>
              <w:jc w:val="right"/>
              <w:rPr>
                <w:rFonts w:ascii="Segoe UI" w:eastAsia="Segoe UI" w:hAnsi="Segoe UI" w:cs="Segoe UI"/>
                <w:sz w:val="22"/>
                <w:highlight w:val="yellow"/>
              </w:rPr>
            </w:pPr>
            <w:r w:rsidRPr="00211D5B">
              <w:rPr>
                <w:rFonts w:ascii="Segoe UI" w:hAnsi="Segoe UI" w:cs="Segoe UI"/>
                <w:sz w:val="22"/>
              </w:rPr>
              <w:t>$4,268</w:t>
            </w:r>
          </w:p>
        </w:tc>
        <w:tc>
          <w:tcPr>
            <w:tcW w:w="514" w:type="pct"/>
            <w:tcBorders>
              <w:top w:val="nil"/>
              <w:left w:val="nil"/>
              <w:bottom w:val="single" w:sz="8" w:space="0" w:color="auto"/>
              <w:right w:val="single" w:sz="8" w:space="0" w:color="auto"/>
            </w:tcBorders>
            <w:shd w:val="clear" w:color="auto" w:fill="D9D9D6"/>
            <w:noWrap/>
            <w:vAlign w:val="center"/>
            <w:hideMark/>
          </w:tcPr>
          <w:p w14:paraId="00B6EB66" w14:textId="42FFB98D" w:rsidR="00211D89" w:rsidRPr="00A405F1" w:rsidRDefault="00211D89" w:rsidP="00211D89">
            <w:pPr>
              <w:keepNext/>
              <w:tabs>
                <w:tab w:val="left" w:pos="3744"/>
              </w:tabs>
              <w:spacing w:line="276" w:lineRule="auto"/>
              <w:jc w:val="right"/>
              <w:rPr>
                <w:rFonts w:ascii="Segoe UI" w:eastAsia="Segoe UI" w:hAnsi="Segoe UI" w:cs="Segoe UI"/>
                <w:sz w:val="22"/>
                <w:highlight w:val="yellow"/>
              </w:rPr>
            </w:pPr>
            <w:r w:rsidRPr="00211D5B">
              <w:rPr>
                <w:rFonts w:ascii="Segoe UI" w:hAnsi="Segoe UI" w:cs="Segoe UI"/>
                <w:sz w:val="22"/>
              </w:rPr>
              <w:t>$4,431</w:t>
            </w:r>
          </w:p>
        </w:tc>
        <w:tc>
          <w:tcPr>
            <w:tcW w:w="657" w:type="pct"/>
            <w:tcBorders>
              <w:top w:val="nil"/>
              <w:left w:val="nil"/>
              <w:bottom w:val="single" w:sz="8" w:space="0" w:color="auto"/>
              <w:right w:val="single" w:sz="8" w:space="0" w:color="auto"/>
            </w:tcBorders>
            <w:shd w:val="clear" w:color="auto" w:fill="D9D9D6"/>
            <w:noWrap/>
            <w:vAlign w:val="center"/>
            <w:hideMark/>
          </w:tcPr>
          <w:p w14:paraId="04714D73" w14:textId="677E3FF2" w:rsidR="00211D89" w:rsidRPr="00A405F1" w:rsidRDefault="00211D89" w:rsidP="00211D89">
            <w:pPr>
              <w:keepNext/>
              <w:tabs>
                <w:tab w:val="left" w:pos="3744"/>
              </w:tabs>
              <w:spacing w:line="276" w:lineRule="auto"/>
              <w:jc w:val="right"/>
              <w:rPr>
                <w:rFonts w:ascii="Segoe UI" w:eastAsia="Segoe UI" w:hAnsi="Segoe UI" w:cs="Segoe UI"/>
                <w:sz w:val="22"/>
                <w:highlight w:val="yellow"/>
              </w:rPr>
            </w:pPr>
            <w:r w:rsidRPr="00211D5B">
              <w:rPr>
                <w:rFonts w:ascii="Segoe UI" w:hAnsi="Segoe UI" w:cs="Segoe UI"/>
                <w:sz w:val="22"/>
              </w:rPr>
              <w:t>$4,600</w:t>
            </w:r>
          </w:p>
        </w:tc>
      </w:tr>
      <w:tr w:rsidR="00211D89" w:rsidRPr="00CF6436" w14:paraId="06AEB00F" w14:textId="77777777" w:rsidTr="00C54800">
        <w:trPr>
          <w:cantSplit/>
          <w:trHeight w:val="302"/>
          <w:jc w:val="center"/>
        </w:trPr>
        <w:tc>
          <w:tcPr>
            <w:tcW w:w="2288" w:type="pct"/>
            <w:noWrap/>
            <w:vAlign w:val="center"/>
          </w:tcPr>
          <w:p w14:paraId="7A2B1AB4" w14:textId="08208E1A" w:rsidR="00211D89" w:rsidRPr="00C01468" w:rsidRDefault="72D3DA9B" w:rsidP="17CECF10">
            <w:pPr>
              <w:keepNext/>
              <w:tabs>
                <w:tab w:val="left" w:pos="3744"/>
              </w:tabs>
              <w:spacing w:line="276" w:lineRule="auto"/>
              <w:rPr>
                <w:rFonts w:ascii="Segoe UI" w:eastAsia="Segoe UI" w:hAnsi="Segoe UI" w:cs="Segoe UI"/>
                <w:b/>
                <w:bCs/>
                <w:sz w:val="22"/>
              </w:rPr>
            </w:pPr>
            <w:r w:rsidRPr="17CECF10">
              <w:rPr>
                <w:rFonts w:ascii="Segoe UI" w:eastAsia="Segoe UI" w:hAnsi="Segoe UI" w:cs="Segoe UI"/>
                <w:b/>
                <w:bCs/>
                <w:color w:val="000000"/>
                <w:sz w:val="22"/>
              </w:rPr>
              <w:t>Other income</w:t>
            </w:r>
            <w:r w:rsidR="00211D89" w:rsidRPr="17CECF10">
              <w:rPr>
                <w:rStyle w:val="FootnoteReference"/>
                <w:rFonts w:ascii="Segoe UI" w:eastAsia="Segoe UI" w:hAnsi="Segoe UI" w:cs="Segoe UI"/>
                <w:b/>
                <w:bCs/>
                <w:color w:val="000000"/>
                <w:sz w:val="22"/>
              </w:rPr>
              <w:footnoteReference w:id="2"/>
            </w:r>
          </w:p>
        </w:tc>
        <w:tc>
          <w:tcPr>
            <w:tcW w:w="514" w:type="pct"/>
            <w:tcBorders>
              <w:top w:val="nil"/>
              <w:left w:val="nil"/>
              <w:bottom w:val="single" w:sz="8" w:space="0" w:color="auto"/>
              <w:right w:val="single" w:sz="8" w:space="0" w:color="auto"/>
            </w:tcBorders>
            <w:shd w:val="clear" w:color="auto" w:fill="auto"/>
            <w:noWrap/>
            <w:vAlign w:val="center"/>
          </w:tcPr>
          <w:p w14:paraId="62AC6D4C" w14:textId="71680C11" w:rsidR="00211D89" w:rsidRPr="00A405F1" w:rsidRDefault="00211D89" w:rsidP="00211D89">
            <w:pPr>
              <w:keepNext/>
              <w:tabs>
                <w:tab w:val="left" w:pos="3744"/>
              </w:tabs>
              <w:spacing w:line="276" w:lineRule="auto"/>
              <w:jc w:val="right"/>
              <w:rPr>
                <w:rFonts w:ascii="Segoe UI" w:eastAsia="Segoe UI" w:hAnsi="Segoe UI" w:cs="Segoe UI"/>
                <w:sz w:val="22"/>
                <w:highlight w:val="yellow"/>
              </w:rPr>
            </w:pPr>
            <w:r w:rsidRPr="00211D5B">
              <w:rPr>
                <w:rFonts w:ascii="Segoe UI" w:hAnsi="Segoe UI" w:cs="Segoe UI"/>
                <w:sz w:val="22"/>
              </w:rPr>
              <w:t>$50</w:t>
            </w:r>
          </w:p>
        </w:tc>
        <w:tc>
          <w:tcPr>
            <w:tcW w:w="514" w:type="pct"/>
            <w:tcBorders>
              <w:top w:val="nil"/>
              <w:left w:val="nil"/>
              <w:bottom w:val="single" w:sz="8" w:space="0" w:color="auto"/>
              <w:right w:val="single" w:sz="8" w:space="0" w:color="auto"/>
            </w:tcBorders>
            <w:shd w:val="clear" w:color="auto" w:fill="auto"/>
            <w:noWrap/>
            <w:vAlign w:val="center"/>
          </w:tcPr>
          <w:p w14:paraId="0BE9DD0C" w14:textId="3FA3CA42" w:rsidR="00211D89" w:rsidRPr="00A405F1" w:rsidRDefault="00211D89" w:rsidP="00211D89">
            <w:pPr>
              <w:keepNext/>
              <w:tabs>
                <w:tab w:val="left" w:pos="3744"/>
              </w:tabs>
              <w:spacing w:line="276" w:lineRule="auto"/>
              <w:jc w:val="right"/>
              <w:rPr>
                <w:rFonts w:ascii="Segoe UI" w:eastAsia="Segoe UI" w:hAnsi="Segoe UI" w:cs="Segoe UI"/>
                <w:sz w:val="22"/>
                <w:highlight w:val="yellow"/>
              </w:rPr>
            </w:pPr>
            <w:r w:rsidRPr="00211D5B">
              <w:rPr>
                <w:rFonts w:ascii="Segoe UI" w:hAnsi="Segoe UI" w:cs="Segoe UI"/>
                <w:sz w:val="22"/>
              </w:rPr>
              <w:t>$50</w:t>
            </w:r>
          </w:p>
        </w:tc>
        <w:tc>
          <w:tcPr>
            <w:tcW w:w="514" w:type="pct"/>
            <w:tcBorders>
              <w:top w:val="nil"/>
              <w:left w:val="nil"/>
              <w:bottom w:val="single" w:sz="8" w:space="0" w:color="auto"/>
              <w:right w:val="single" w:sz="8" w:space="0" w:color="auto"/>
            </w:tcBorders>
            <w:shd w:val="clear" w:color="auto" w:fill="auto"/>
            <w:noWrap/>
            <w:vAlign w:val="center"/>
          </w:tcPr>
          <w:p w14:paraId="25D1C012" w14:textId="099316FA" w:rsidR="00211D89" w:rsidRPr="00A405F1" w:rsidRDefault="00211D89" w:rsidP="00211D89">
            <w:pPr>
              <w:keepNext/>
              <w:tabs>
                <w:tab w:val="left" w:pos="3744"/>
              </w:tabs>
              <w:spacing w:line="276" w:lineRule="auto"/>
              <w:jc w:val="right"/>
              <w:rPr>
                <w:rFonts w:ascii="Segoe UI" w:eastAsia="Segoe UI" w:hAnsi="Segoe UI" w:cs="Segoe UI"/>
                <w:sz w:val="22"/>
                <w:highlight w:val="yellow"/>
              </w:rPr>
            </w:pPr>
            <w:r w:rsidRPr="00211D5B">
              <w:rPr>
                <w:rFonts w:ascii="Segoe UI" w:hAnsi="Segoe UI" w:cs="Segoe UI"/>
                <w:sz w:val="22"/>
              </w:rPr>
              <w:t>$50</w:t>
            </w:r>
          </w:p>
        </w:tc>
        <w:tc>
          <w:tcPr>
            <w:tcW w:w="514" w:type="pct"/>
            <w:tcBorders>
              <w:top w:val="nil"/>
              <w:left w:val="nil"/>
              <w:bottom w:val="single" w:sz="8" w:space="0" w:color="auto"/>
              <w:right w:val="single" w:sz="8" w:space="0" w:color="auto"/>
            </w:tcBorders>
            <w:shd w:val="clear" w:color="auto" w:fill="auto"/>
            <w:noWrap/>
            <w:vAlign w:val="center"/>
          </w:tcPr>
          <w:p w14:paraId="7AC23A8B" w14:textId="6AE535DB" w:rsidR="00211D89" w:rsidRPr="00A405F1" w:rsidRDefault="00211D89" w:rsidP="00211D89">
            <w:pPr>
              <w:keepNext/>
              <w:tabs>
                <w:tab w:val="left" w:pos="3744"/>
              </w:tabs>
              <w:spacing w:line="276" w:lineRule="auto"/>
              <w:jc w:val="right"/>
              <w:rPr>
                <w:rFonts w:ascii="Segoe UI" w:eastAsia="Segoe UI" w:hAnsi="Segoe UI" w:cs="Segoe UI"/>
                <w:sz w:val="22"/>
                <w:highlight w:val="yellow"/>
              </w:rPr>
            </w:pPr>
            <w:r w:rsidRPr="00211D5B">
              <w:rPr>
                <w:rFonts w:ascii="Segoe UI" w:hAnsi="Segoe UI" w:cs="Segoe UI"/>
                <w:sz w:val="22"/>
              </w:rPr>
              <w:t>$50</w:t>
            </w:r>
          </w:p>
        </w:tc>
        <w:tc>
          <w:tcPr>
            <w:tcW w:w="657" w:type="pct"/>
            <w:tcBorders>
              <w:top w:val="nil"/>
              <w:left w:val="nil"/>
              <w:bottom w:val="single" w:sz="8" w:space="0" w:color="auto"/>
              <w:right w:val="single" w:sz="8" w:space="0" w:color="auto"/>
            </w:tcBorders>
            <w:shd w:val="clear" w:color="auto" w:fill="auto"/>
            <w:noWrap/>
            <w:vAlign w:val="center"/>
          </w:tcPr>
          <w:p w14:paraId="084CD5B2" w14:textId="765005DF" w:rsidR="00211D89" w:rsidRPr="00A405F1" w:rsidRDefault="00211D89" w:rsidP="00211D89">
            <w:pPr>
              <w:keepNext/>
              <w:tabs>
                <w:tab w:val="left" w:pos="3744"/>
              </w:tabs>
              <w:spacing w:line="276" w:lineRule="auto"/>
              <w:jc w:val="right"/>
              <w:rPr>
                <w:rFonts w:ascii="Segoe UI" w:eastAsia="Segoe UI" w:hAnsi="Segoe UI" w:cs="Segoe UI"/>
                <w:sz w:val="22"/>
                <w:highlight w:val="yellow"/>
              </w:rPr>
            </w:pPr>
            <w:r w:rsidRPr="00211D5B">
              <w:rPr>
                <w:rFonts w:ascii="Segoe UI" w:hAnsi="Segoe UI" w:cs="Segoe UI"/>
                <w:sz w:val="22"/>
              </w:rPr>
              <w:t>$50</w:t>
            </w:r>
          </w:p>
        </w:tc>
      </w:tr>
      <w:tr w:rsidR="00211D89" w:rsidRPr="00CF6436" w14:paraId="568AF642" w14:textId="77777777" w:rsidTr="00C54800">
        <w:trPr>
          <w:cantSplit/>
          <w:trHeight w:val="302"/>
          <w:jc w:val="center"/>
        </w:trPr>
        <w:tc>
          <w:tcPr>
            <w:tcW w:w="2288" w:type="pct"/>
            <w:shd w:val="clear" w:color="auto" w:fill="D9D9D6"/>
            <w:noWrap/>
            <w:vAlign w:val="center"/>
            <w:hideMark/>
          </w:tcPr>
          <w:p w14:paraId="76A4F13C" w14:textId="49CBFCF5" w:rsidR="00211D89" w:rsidRPr="00C01468" w:rsidRDefault="3949F0A2" w:rsidP="7DBA78AB">
            <w:pPr>
              <w:keepNext/>
              <w:tabs>
                <w:tab w:val="left" w:pos="3744"/>
              </w:tabs>
              <w:spacing w:line="276" w:lineRule="auto"/>
              <w:rPr>
                <w:rFonts w:ascii="Segoe UI" w:eastAsia="Segoe UI" w:hAnsi="Segoe UI" w:cs="Segoe UI"/>
                <w:b/>
                <w:bCs/>
                <w:sz w:val="22"/>
              </w:rPr>
            </w:pPr>
            <w:r w:rsidRPr="7DBA78AB">
              <w:rPr>
                <w:rFonts w:ascii="Segoe UI" w:eastAsia="Segoe UI" w:hAnsi="Segoe UI" w:cs="Segoe UI"/>
                <w:b/>
                <w:bCs/>
                <w:color w:val="000000" w:themeColor="text1"/>
                <w:sz w:val="22"/>
              </w:rPr>
              <w:t>Optimal operating reserve level</w:t>
            </w:r>
          </w:p>
        </w:tc>
        <w:tc>
          <w:tcPr>
            <w:tcW w:w="514" w:type="pct"/>
            <w:tcBorders>
              <w:top w:val="nil"/>
              <w:left w:val="nil"/>
              <w:bottom w:val="single" w:sz="8" w:space="0" w:color="auto"/>
              <w:right w:val="single" w:sz="8" w:space="0" w:color="auto"/>
            </w:tcBorders>
            <w:shd w:val="clear" w:color="auto" w:fill="D9D9D6"/>
            <w:noWrap/>
            <w:vAlign w:val="center"/>
            <w:hideMark/>
          </w:tcPr>
          <w:p w14:paraId="30C77712" w14:textId="76FE2AD4" w:rsidR="00211D89" w:rsidRPr="00A405F1" w:rsidRDefault="00211D89" w:rsidP="00211D89">
            <w:pPr>
              <w:keepNext/>
              <w:tabs>
                <w:tab w:val="left" w:pos="3744"/>
              </w:tabs>
              <w:spacing w:line="276" w:lineRule="auto"/>
              <w:jc w:val="right"/>
              <w:rPr>
                <w:rFonts w:ascii="Segoe UI" w:eastAsia="Segoe UI" w:hAnsi="Segoe UI" w:cs="Segoe UI"/>
                <w:sz w:val="22"/>
                <w:highlight w:val="yellow"/>
              </w:rPr>
            </w:pPr>
            <w:r w:rsidRPr="00211D5B">
              <w:rPr>
                <w:rFonts w:ascii="Segoe UI" w:hAnsi="Segoe UI" w:cs="Segoe UI"/>
                <w:sz w:val="22"/>
              </w:rPr>
              <w:t>$874</w:t>
            </w:r>
          </w:p>
        </w:tc>
        <w:tc>
          <w:tcPr>
            <w:tcW w:w="514" w:type="pct"/>
            <w:tcBorders>
              <w:top w:val="nil"/>
              <w:left w:val="nil"/>
              <w:bottom w:val="single" w:sz="8" w:space="0" w:color="auto"/>
              <w:right w:val="single" w:sz="8" w:space="0" w:color="auto"/>
            </w:tcBorders>
            <w:shd w:val="clear" w:color="auto" w:fill="D9D9D6"/>
            <w:noWrap/>
            <w:vAlign w:val="center"/>
            <w:hideMark/>
          </w:tcPr>
          <w:p w14:paraId="6F2FB325" w14:textId="0FBDF9BC" w:rsidR="00211D89" w:rsidRPr="00A405F1" w:rsidRDefault="00211D89" w:rsidP="00211D89">
            <w:pPr>
              <w:keepNext/>
              <w:tabs>
                <w:tab w:val="left" w:pos="3744"/>
              </w:tabs>
              <w:spacing w:line="276" w:lineRule="auto"/>
              <w:jc w:val="right"/>
              <w:rPr>
                <w:rFonts w:ascii="Segoe UI" w:eastAsia="Segoe UI" w:hAnsi="Segoe UI" w:cs="Segoe UI"/>
                <w:sz w:val="22"/>
                <w:highlight w:val="yellow"/>
              </w:rPr>
            </w:pPr>
            <w:r w:rsidRPr="00211D5B">
              <w:rPr>
                <w:rFonts w:ascii="Segoe UI" w:hAnsi="Segoe UI" w:cs="Segoe UI"/>
                <w:sz w:val="22"/>
              </w:rPr>
              <w:t>$902</w:t>
            </w:r>
          </w:p>
        </w:tc>
        <w:tc>
          <w:tcPr>
            <w:tcW w:w="514" w:type="pct"/>
            <w:tcBorders>
              <w:top w:val="nil"/>
              <w:left w:val="nil"/>
              <w:bottom w:val="single" w:sz="8" w:space="0" w:color="auto"/>
              <w:right w:val="single" w:sz="8" w:space="0" w:color="auto"/>
            </w:tcBorders>
            <w:shd w:val="clear" w:color="auto" w:fill="D9D9D6"/>
            <w:noWrap/>
            <w:vAlign w:val="center"/>
            <w:hideMark/>
          </w:tcPr>
          <w:p w14:paraId="13F888D5" w14:textId="0622585F" w:rsidR="00211D89" w:rsidRPr="00A405F1" w:rsidRDefault="00211D89" w:rsidP="00211D89">
            <w:pPr>
              <w:keepNext/>
              <w:tabs>
                <w:tab w:val="left" w:pos="3744"/>
              </w:tabs>
              <w:spacing w:line="276" w:lineRule="auto"/>
              <w:jc w:val="right"/>
              <w:rPr>
                <w:rFonts w:ascii="Segoe UI" w:eastAsia="Segoe UI" w:hAnsi="Segoe UI" w:cs="Segoe UI"/>
                <w:sz w:val="22"/>
                <w:highlight w:val="yellow"/>
              </w:rPr>
            </w:pPr>
            <w:r w:rsidRPr="00211D5B">
              <w:rPr>
                <w:rFonts w:ascii="Segoe UI" w:hAnsi="Segoe UI" w:cs="Segoe UI"/>
                <w:sz w:val="22"/>
              </w:rPr>
              <w:t>$939</w:t>
            </w:r>
          </w:p>
        </w:tc>
        <w:tc>
          <w:tcPr>
            <w:tcW w:w="514" w:type="pct"/>
            <w:tcBorders>
              <w:top w:val="nil"/>
              <w:left w:val="nil"/>
              <w:bottom w:val="single" w:sz="8" w:space="0" w:color="auto"/>
              <w:right w:val="single" w:sz="8" w:space="0" w:color="auto"/>
            </w:tcBorders>
            <w:shd w:val="clear" w:color="auto" w:fill="D9D9D6"/>
            <w:noWrap/>
            <w:vAlign w:val="center"/>
            <w:hideMark/>
          </w:tcPr>
          <w:p w14:paraId="40A6068E" w14:textId="6EA4FB64" w:rsidR="00211D89" w:rsidRPr="00A405F1" w:rsidRDefault="00211D89" w:rsidP="00211D89">
            <w:pPr>
              <w:keepNext/>
              <w:tabs>
                <w:tab w:val="left" w:pos="3744"/>
              </w:tabs>
              <w:spacing w:line="276" w:lineRule="auto"/>
              <w:jc w:val="right"/>
              <w:rPr>
                <w:rFonts w:ascii="Segoe UI" w:eastAsia="Segoe UI" w:hAnsi="Segoe UI" w:cs="Segoe UI"/>
                <w:sz w:val="22"/>
                <w:highlight w:val="yellow"/>
              </w:rPr>
            </w:pPr>
            <w:r w:rsidRPr="00211D5B">
              <w:rPr>
                <w:rFonts w:ascii="Segoe UI" w:hAnsi="Segoe UI" w:cs="Segoe UI"/>
                <w:sz w:val="22"/>
              </w:rPr>
              <w:t>$975</w:t>
            </w:r>
          </w:p>
        </w:tc>
        <w:tc>
          <w:tcPr>
            <w:tcW w:w="657" w:type="pct"/>
            <w:tcBorders>
              <w:top w:val="nil"/>
              <w:left w:val="nil"/>
              <w:bottom w:val="single" w:sz="8" w:space="0" w:color="auto"/>
              <w:right w:val="single" w:sz="8" w:space="0" w:color="auto"/>
            </w:tcBorders>
            <w:shd w:val="clear" w:color="auto" w:fill="D9D9D6"/>
            <w:noWrap/>
            <w:vAlign w:val="center"/>
            <w:hideMark/>
          </w:tcPr>
          <w:p w14:paraId="3C5651C0" w14:textId="4A4D2516" w:rsidR="00211D89" w:rsidRPr="00A405F1" w:rsidRDefault="00211D89" w:rsidP="00211D89">
            <w:pPr>
              <w:keepNext/>
              <w:tabs>
                <w:tab w:val="left" w:pos="3744"/>
              </w:tabs>
              <w:spacing w:line="276" w:lineRule="auto"/>
              <w:jc w:val="right"/>
              <w:rPr>
                <w:rFonts w:ascii="Segoe UI" w:eastAsia="Segoe UI" w:hAnsi="Segoe UI" w:cs="Segoe UI"/>
                <w:sz w:val="22"/>
                <w:highlight w:val="yellow"/>
              </w:rPr>
            </w:pPr>
            <w:r w:rsidRPr="00211D5B">
              <w:rPr>
                <w:rFonts w:ascii="Segoe UI" w:hAnsi="Segoe UI" w:cs="Segoe UI"/>
                <w:sz w:val="22"/>
              </w:rPr>
              <w:t>$1,012</w:t>
            </w:r>
          </w:p>
        </w:tc>
      </w:tr>
      <w:tr w:rsidR="009008DD" w:rsidRPr="00CF6436" w14:paraId="7D14241C" w14:textId="77777777" w:rsidTr="00C54800">
        <w:trPr>
          <w:cantSplit/>
          <w:trHeight w:val="302"/>
          <w:jc w:val="center"/>
        </w:trPr>
        <w:tc>
          <w:tcPr>
            <w:tcW w:w="2288" w:type="pct"/>
            <w:vAlign w:val="center"/>
            <w:hideMark/>
          </w:tcPr>
          <w:p w14:paraId="2C163511" w14:textId="72C76D90" w:rsidR="009008DD" w:rsidRPr="00C01468" w:rsidRDefault="009008DD" w:rsidP="009008DD">
            <w:pPr>
              <w:keepNext/>
              <w:tabs>
                <w:tab w:val="left" w:pos="3744"/>
              </w:tabs>
              <w:spacing w:line="276" w:lineRule="auto"/>
              <w:rPr>
                <w:rFonts w:ascii="Segoe UI" w:eastAsia="Segoe UI" w:hAnsi="Segoe UI" w:cs="Segoe UI"/>
                <w:b/>
                <w:bCs/>
                <w:sz w:val="22"/>
              </w:rPr>
            </w:pPr>
            <w:r w:rsidRPr="293D3C50">
              <w:rPr>
                <w:rFonts w:ascii="Segoe UI" w:eastAsia="Segoe UI" w:hAnsi="Segoe UI" w:cs="Segoe UI"/>
                <w:b/>
                <w:bCs/>
                <w:color w:val="000000" w:themeColor="text1"/>
                <w:sz w:val="22"/>
              </w:rPr>
              <w:t xml:space="preserve">Alternative 1: </w:t>
            </w:r>
            <w:r>
              <w:rPr>
                <w:rFonts w:ascii="Segoe UI" w:eastAsia="Segoe UI" w:hAnsi="Segoe UI" w:cs="Segoe UI"/>
                <w:b/>
                <w:bCs/>
                <w:color w:val="000000" w:themeColor="text1"/>
                <w:sz w:val="22"/>
              </w:rPr>
              <w:t>Final</w:t>
            </w:r>
            <w:r w:rsidRPr="293D3C50">
              <w:rPr>
                <w:rFonts w:ascii="Segoe UI" w:eastAsia="Segoe UI" w:hAnsi="Segoe UI" w:cs="Segoe UI"/>
                <w:b/>
                <w:bCs/>
                <w:color w:val="000000" w:themeColor="text1"/>
                <w:sz w:val="22"/>
              </w:rPr>
              <w:t xml:space="preserve"> Fee Schedule—Setting and Adjusting Patent Fees During Fiscal Year 2025—aggregate patent revenue</w:t>
            </w:r>
          </w:p>
        </w:tc>
        <w:tc>
          <w:tcPr>
            <w:tcW w:w="514" w:type="pct"/>
            <w:tcBorders>
              <w:top w:val="nil"/>
              <w:left w:val="nil"/>
              <w:bottom w:val="single" w:sz="8" w:space="0" w:color="auto"/>
              <w:right w:val="single" w:sz="8" w:space="0" w:color="auto"/>
            </w:tcBorders>
            <w:shd w:val="clear" w:color="auto" w:fill="auto"/>
            <w:noWrap/>
            <w:vAlign w:val="center"/>
            <w:hideMark/>
          </w:tcPr>
          <w:p w14:paraId="6AFEA703" w14:textId="0AEDEB2C" w:rsidR="009008DD" w:rsidRPr="009008DD" w:rsidRDefault="009008DD" w:rsidP="0040644E">
            <w:pPr>
              <w:keepNext/>
              <w:tabs>
                <w:tab w:val="left" w:pos="3744"/>
              </w:tabs>
              <w:spacing w:line="276" w:lineRule="auto"/>
              <w:jc w:val="right"/>
              <w:rPr>
                <w:rFonts w:ascii="Segoe UI" w:eastAsia="Segoe UI" w:hAnsi="Segoe UI" w:cs="Segoe UI"/>
                <w:sz w:val="22"/>
                <w:highlight w:val="yellow"/>
              </w:rPr>
            </w:pPr>
            <w:r w:rsidRPr="00871AC4">
              <w:rPr>
                <w:rFonts w:ascii="Segoe UI" w:hAnsi="Segoe UI" w:cs="Segoe UI"/>
                <w:sz w:val="22"/>
              </w:rPr>
              <w:t xml:space="preserve">$3,963 </w:t>
            </w:r>
          </w:p>
        </w:tc>
        <w:tc>
          <w:tcPr>
            <w:tcW w:w="514" w:type="pct"/>
            <w:tcBorders>
              <w:top w:val="nil"/>
              <w:left w:val="nil"/>
              <w:bottom w:val="single" w:sz="8" w:space="0" w:color="auto"/>
              <w:right w:val="single" w:sz="8" w:space="0" w:color="auto"/>
            </w:tcBorders>
            <w:shd w:val="clear" w:color="auto" w:fill="auto"/>
            <w:noWrap/>
            <w:vAlign w:val="center"/>
            <w:hideMark/>
          </w:tcPr>
          <w:p w14:paraId="465A1620" w14:textId="6463AC8E" w:rsidR="009008DD" w:rsidRPr="009008DD" w:rsidRDefault="009008DD">
            <w:pPr>
              <w:keepNext/>
              <w:tabs>
                <w:tab w:val="left" w:pos="3744"/>
              </w:tabs>
              <w:spacing w:line="276" w:lineRule="auto"/>
              <w:jc w:val="right"/>
              <w:rPr>
                <w:rFonts w:ascii="Segoe UI" w:eastAsia="Segoe UI" w:hAnsi="Segoe UI" w:cs="Segoe UI"/>
                <w:sz w:val="22"/>
                <w:highlight w:val="yellow"/>
              </w:rPr>
            </w:pPr>
            <w:r w:rsidRPr="00871AC4">
              <w:rPr>
                <w:rFonts w:ascii="Segoe UI" w:hAnsi="Segoe UI" w:cs="Segoe UI"/>
                <w:sz w:val="22"/>
              </w:rPr>
              <w:t xml:space="preserve">$4,240 </w:t>
            </w:r>
          </w:p>
        </w:tc>
        <w:tc>
          <w:tcPr>
            <w:tcW w:w="514" w:type="pct"/>
            <w:tcBorders>
              <w:top w:val="nil"/>
              <w:left w:val="nil"/>
              <w:bottom w:val="single" w:sz="8" w:space="0" w:color="auto"/>
              <w:right w:val="single" w:sz="8" w:space="0" w:color="auto"/>
            </w:tcBorders>
            <w:shd w:val="clear" w:color="auto" w:fill="auto"/>
            <w:noWrap/>
            <w:vAlign w:val="center"/>
            <w:hideMark/>
          </w:tcPr>
          <w:p w14:paraId="090FA32B" w14:textId="5EDFBEEB" w:rsidR="009008DD" w:rsidRPr="009008DD" w:rsidRDefault="009008DD">
            <w:pPr>
              <w:keepNext/>
              <w:tabs>
                <w:tab w:val="left" w:pos="3744"/>
              </w:tabs>
              <w:spacing w:line="276" w:lineRule="auto"/>
              <w:jc w:val="right"/>
              <w:rPr>
                <w:rFonts w:ascii="Segoe UI" w:eastAsia="Segoe UI" w:hAnsi="Segoe UI" w:cs="Segoe UI"/>
                <w:sz w:val="22"/>
                <w:highlight w:val="yellow"/>
              </w:rPr>
            </w:pPr>
            <w:r w:rsidRPr="00871AC4">
              <w:rPr>
                <w:rFonts w:ascii="Segoe UI" w:hAnsi="Segoe UI" w:cs="Segoe UI"/>
                <w:sz w:val="22"/>
              </w:rPr>
              <w:t xml:space="preserve">$4,343 </w:t>
            </w:r>
          </w:p>
        </w:tc>
        <w:tc>
          <w:tcPr>
            <w:tcW w:w="514" w:type="pct"/>
            <w:tcBorders>
              <w:top w:val="nil"/>
              <w:left w:val="nil"/>
              <w:bottom w:val="single" w:sz="8" w:space="0" w:color="auto"/>
              <w:right w:val="single" w:sz="8" w:space="0" w:color="auto"/>
            </w:tcBorders>
            <w:shd w:val="clear" w:color="auto" w:fill="auto"/>
            <w:noWrap/>
            <w:vAlign w:val="center"/>
            <w:hideMark/>
          </w:tcPr>
          <w:p w14:paraId="37F35E6C" w14:textId="48AC1676" w:rsidR="009008DD" w:rsidRPr="009008DD" w:rsidRDefault="009008DD">
            <w:pPr>
              <w:keepNext/>
              <w:tabs>
                <w:tab w:val="left" w:pos="3744"/>
              </w:tabs>
              <w:spacing w:line="276" w:lineRule="auto"/>
              <w:jc w:val="right"/>
              <w:rPr>
                <w:rFonts w:ascii="Segoe UI" w:eastAsia="Segoe UI" w:hAnsi="Segoe UI" w:cs="Segoe UI"/>
                <w:sz w:val="22"/>
                <w:highlight w:val="yellow"/>
              </w:rPr>
            </w:pPr>
            <w:r w:rsidRPr="00871AC4">
              <w:rPr>
                <w:rFonts w:ascii="Segoe UI" w:hAnsi="Segoe UI" w:cs="Segoe UI"/>
                <w:sz w:val="22"/>
              </w:rPr>
              <w:t xml:space="preserve">$4,308 </w:t>
            </w:r>
          </w:p>
        </w:tc>
        <w:tc>
          <w:tcPr>
            <w:tcW w:w="657" w:type="pct"/>
            <w:tcBorders>
              <w:top w:val="nil"/>
              <w:left w:val="nil"/>
              <w:bottom w:val="single" w:sz="8" w:space="0" w:color="auto"/>
              <w:right w:val="single" w:sz="8" w:space="0" w:color="auto"/>
            </w:tcBorders>
            <w:shd w:val="clear" w:color="auto" w:fill="auto"/>
            <w:noWrap/>
            <w:vAlign w:val="center"/>
            <w:hideMark/>
          </w:tcPr>
          <w:p w14:paraId="0E7A18C0" w14:textId="0CE68596" w:rsidR="009008DD" w:rsidRPr="009008DD" w:rsidRDefault="009008DD">
            <w:pPr>
              <w:keepNext/>
              <w:tabs>
                <w:tab w:val="left" w:pos="3744"/>
              </w:tabs>
              <w:spacing w:line="276" w:lineRule="auto"/>
              <w:jc w:val="right"/>
              <w:rPr>
                <w:rFonts w:ascii="Segoe UI" w:eastAsia="Segoe UI" w:hAnsi="Segoe UI" w:cs="Segoe UI"/>
                <w:sz w:val="22"/>
                <w:highlight w:val="yellow"/>
              </w:rPr>
            </w:pPr>
            <w:r w:rsidRPr="00871AC4">
              <w:rPr>
                <w:rFonts w:ascii="Segoe UI" w:hAnsi="Segoe UI" w:cs="Segoe UI"/>
                <w:sz w:val="22"/>
              </w:rPr>
              <w:t xml:space="preserve">$4,317 </w:t>
            </w:r>
          </w:p>
        </w:tc>
      </w:tr>
      <w:tr w:rsidR="009008DD" w:rsidRPr="00CF6436" w14:paraId="3E168AAD" w14:textId="77777777" w:rsidTr="00C54800">
        <w:trPr>
          <w:cantSplit/>
          <w:trHeight w:val="302"/>
          <w:jc w:val="center"/>
        </w:trPr>
        <w:tc>
          <w:tcPr>
            <w:tcW w:w="2288" w:type="pct"/>
            <w:shd w:val="clear" w:color="auto" w:fill="D9D9D6"/>
            <w:vAlign w:val="center"/>
            <w:hideMark/>
          </w:tcPr>
          <w:p w14:paraId="08BA4661" w14:textId="3B4401CF" w:rsidR="009008DD" w:rsidRPr="00C01468" w:rsidRDefault="009008DD" w:rsidP="009008DD">
            <w:pPr>
              <w:keepNext/>
              <w:tabs>
                <w:tab w:val="left" w:pos="3744"/>
              </w:tabs>
              <w:spacing w:line="276" w:lineRule="auto"/>
              <w:jc w:val="right"/>
              <w:rPr>
                <w:rFonts w:ascii="Segoe UI" w:eastAsia="Segoe UI" w:hAnsi="Segoe UI" w:cs="Segoe UI"/>
                <w:i/>
                <w:iCs/>
                <w:color w:val="000000" w:themeColor="text1"/>
                <w:sz w:val="22"/>
              </w:rPr>
            </w:pPr>
            <w:r w:rsidRPr="293D3C50">
              <w:rPr>
                <w:rFonts w:ascii="Segoe UI" w:eastAsia="Segoe UI" w:hAnsi="Segoe UI" w:cs="Segoe UI"/>
                <w:i/>
                <w:iCs/>
                <w:color w:val="000000" w:themeColor="text1"/>
                <w:sz w:val="22"/>
              </w:rPr>
              <w:t>End-of-year (EOY) operating reserve Alternative 1</w:t>
            </w:r>
          </w:p>
        </w:tc>
        <w:tc>
          <w:tcPr>
            <w:tcW w:w="514" w:type="pct"/>
            <w:tcBorders>
              <w:top w:val="nil"/>
              <w:left w:val="nil"/>
              <w:bottom w:val="single" w:sz="8" w:space="0" w:color="auto"/>
              <w:right w:val="single" w:sz="8" w:space="0" w:color="auto"/>
            </w:tcBorders>
            <w:shd w:val="clear" w:color="auto" w:fill="D9D9D6"/>
            <w:noWrap/>
            <w:vAlign w:val="center"/>
            <w:hideMark/>
          </w:tcPr>
          <w:p w14:paraId="6D2AA29F" w14:textId="67C0958A" w:rsidR="009008DD" w:rsidRPr="009008DD" w:rsidRDefault="009008DD" w:rsidP="0040644E">
            <w:pPr>
              <w:keepNext/>
              <w:tabs>
                <w:tab w:val="left" w:pos="3744"/>
              </w:tabs>
              <w:spacing w:line="276" w:lineRule="auto"/>
              <w:jc w:val="right"/>
              <w:rPr>
                <w:rFonts w:ascii="Segoe UI" w:eastAsia="Segoe UI" w:hAnsi="Segoe UI" w:cs="Segoe UI"/>
                <w:sz w:val="22"/>
                <w:highlight w:val="yellow"/>
              </w:rPr>
            </w:pPr>
            <w:r w:rsidRPr="00871AC4">
              <w:rPr>
                <w:rFonts w:ascii="Segoe UI" w:hAnsi="Segoe UI" w:cs="Segoe UI"/>
                <w:sz w:val="22"/>
              </w:rPr>
              <w:t xml:space="preserve">$831 </w:t>
            </w:r>
          </w:p>
        </w:tc>
        <w:tc>
          <w:tcPr>
            <w:tcW w:w="514" w:type="pct"/>
            <w:tcBorders>
              <w:top w:val="nil"/>
              <w:left w:val="nil"/>
              <w:bottom w:val="single" w:sz="8" w:space="0" w:color="auto"/>
              <w:right w:val="single" w:sz="8" w:space="0" w:color="auto"/>
            </w:tcBorders>
            <w:shd w:val="clear" w:color="auto" w:fill="D9D9D6"/>
            <w:noWrap/>
            <w:vAlign w:val="center"/>
            <w:hideMark/>
          </w:tcPr>
          <w:p w14:paraId="17AD8E1F" w14:textId="6235B243" w:rsidR="009008DD" w:rsidRPr="009008DD" w:rsidRDefault="009008DD">
            <w:pPr>
              <w:keepNext/>
              <w:tabs>
                <w:tab w:val="left" w:pos="3744"/>
              </w:tabs>
              <w:spacing w:line="276" w:lineRule="auto"/>
              <w:jc w:val="right"/>
              <w:rPr>
                <w:rFonts w:ascii="Segoe UI" w:eastAsia="Segoe UI" w:hAnsi="Segoe UI" w:cs="Segoe UI"/>
                <w:sz w:val="22"/>
                <w:highlight w:val="yellow"/>
              </w:rPr>
            </w:pPr>
            <w:r w:rsidRPr="00871AC4">
              <w:rPr>
                <w:rFonts w:ascii="Segoe UI" w:hAnsi="Segoe UI" w:cs="Segoe UI"/>
                <w:sz w:val="22"/>
              </w:rPr>
              <w:t xml:space="preserve">$1,018 </w:t>
            </w:r>
          </w:p>
        </w:tc>
        <w:tc>
          <w:tcPr>
            <w:tcW w:w="514" w:type="pct"/>
            <w:tcBorders>
              <w:top w:val="nil"/>
              <w:left w:val="nil"/>
              <w:bottom w:val="single" w:sz="8" w:space="0" w:color="auto"/>
              <w:right w:val="single" w:sz="8" w:space="0" w:color="auto"/>
            </w:tcBorders>
            <w:shd w:val="clear" w:color="auto" w:fill="D9D9D6"/>
            <w:noWrap/>
            <w:vAlign w:val="center"/>
            <w:hideMark/>
          </w:tcPr>
          <w:p w14:paraId="78320583" w14:textId="41049A18" w:rsidR="009008DD" w:rsidRPr="009008DD" w:rsidRDefault="009008DD">
            <w:pPr>
              <w:keepNext/>
              <w:tabs>
                <w:tab w:val="left" w:pos="3744"/>
              </w:tabs>
              <w:spacing w:line="276" w:lineRule="auto"/>
              <w:jc w:val="right"/>
              <w:rPr>
                <w:rFonts w:ascii="Segoe UI" w:eastAsia="Segoe UI" w:hAnsi="Segoe UI" w:cs="Segoe UI"/>
                <w:sz w:val="22"/>
                <w:highlight w:val="yellow"/>
              </w:rPr>
            </w:pPr>
            <w:r w:rsidRPr="00871AC4">
              <w:rPr>
                <w:rFonts w:ascii="Segoe UI" w:hAnsi="Segoe UI" w:cs="Segoe UI"/>
                <w:sz w:val="22"/>
              </w:rPr>
              <w:t xml:space="preserve">$1,143 </w:t>
            </w:r>
          </w:p>
        </w:tc>
        <w:tc>
          <w:tcPr>
            <w:tcW w:w="514" w:type="pct"/>
            <w:tcBorders>
              <w:top w:val="nil"/>
              <w:left w:val="nil"/>
              <w:bottom w:val="single" w:sz="8" w:space="0" w:color="auto"/>
              <w:right w:val="single" w:sz="8" w:space="0" w:color="auto"/>
            </w:tcBorders>
            <w:shd w:val="clear" w:color="auto" w:fill="D9D9D6"/>
            <w:noWrap/>
            <w:vAlign w:val="center"/>
            <w:hideMark/>
          </w:tcPr>
          <w:p w14:paraId="320A7305" w14:textId="689857D1" w:rsidR="009008DD" w:rsidRPr="009008DD" w:rsidRDefault="009008DD">
            <w:pPr>
              <w:keepNext/>
              <w:tabs>
                <w:tab w:val="left" w:pos="3744"/>
              </w:tabs>
              <w:spacing w:line="276" w:lineRule="auto"/>
              <w:jc w:val="right"/>
              <w:rPr>
                <w:rFonts w:ascii="Segoe UI" w:eastAsia="Segoe UI" w:hAnsi="Segoe UI" w:cs="Segoe UI"/>
                <w:sz w:val="22"/>
                <w:highlight w:val="yellow"/>
              </w:rPr>
            </w:pPr>
            <w:r w:rsidRPr="00871AC4">
              <w:rPr>
                <w:rFonts w:ascii="Segoe UI" w:hAnsi="Segoe UI" w:cs="Segoe UI"/>
                <w:sz w:val="22"/>
              </w:rPr>
              <w:t xml:space="preserve">$1,070 </w:t>
            </w:r>
          </w:p>
        </w:tc>
        <w:tc>
          <w:tcPr>
            <w:tcW w:w="657" w:type="pct"/>
            <w:tcBorders>
              <w:top w:val="nil"/>
              <w:left w:val="nil"/>
              <w:bottom w:val="single" w:sz="8" w:space="0" w:color="auto"/>
              <w:right w:val="single" w:sz="8" w:space="0" w:color="auto"/>
            </w:tcBorders>
            <w:shd w:val="clear" w:color="auto" w:fill="D9D9D6"/>
            <w:noWrap/>
            <w:vAlign w:val="center"/>
            <w:hideMark/>
          </w:tcPr>
          <w:p w14:paraId="55EB472E" w14:textId="376DE99B" w:rsidR="009008DD" w:rsidRPr="009008DD" w:rsidRDefault="009008DD">
            <w:pPr>
              <w:keepNext/>
              <w:tabs>
                <w:tab w:val="left" w:pos="3744"/>
              </w:tabs>
              <w:spacing w:line="276" w:lineRule="auto"/>
              <w:jc w:val="right"/>
              <w:rPr>
                <w:rFonts w:ascii="Segoe UI" w:eastAsia="Segoe UI" w:hAnsi="Segoe UI" w:cs="Segoe UI"/>
                <w:sz w:val="22"/>
                <w:highlight w:val="yellow"/>
              </w:rPr>
            </w:pPr>
            <w:r w:rsidRPr="00871AC4">
              <w:rPr>
                <w:rFonts w:ascii="Segoe UI" w:hAnsi="Segoe UI" w:cs="Segoe UI"/>
                <w:sz w:val="22"/>
              </w:rPr>
              <w:t xml:space="preserve">$837 </w:t>
            </w:r>
          </w:p>
        </w:tc>
      </w:tr>
      <w:tr w:rsidR="009008DD" w:rsidRPr="00CF6436" w14:paraId="1C2B4925" w14:textId="77777777" w:rsidTr="00C54800">
        <w:trPr>
          <w:cantSplit/>
          <w:trHeight w:val="302"/>
          <w:jc w:val="center"/>
        </w:trPr>
        <w:tc>
          <w:tcPr>
            <w:tcW w:w="2288" w:type="pct"/>
            <w:vAlign w:val="center"/>
            <w:hideMark/>
          </w:tcPr>
          <w:p w14:paraId="01D2D5F5" w14:textId="0963D596" w:rsidR="009008DD" w:rsidRPr="00C01468" w:rsidRDefault="009008DD" w:rsidP="009008DD">
            <w:pPr>
              <w:keepNext/>
              <w:tabs>
                <w:tab w:val="left" w:pos="3744"/>
              </w:tabs>
              <w:spacing w:line="276" w:lineRule="auto"/>
              <w:rPr>
                <w:rFonts w:ascii="Segoe UI" w:eastAsia="Segoe UI" w:hAnsi="Segoe UI" w:cs="Segoe UI"/>
                <w:b/>
                <w:bCs/>
                <w:sz w:val="22"/>
              </w:rPr>
            </w:pPr>
            <w:r w:rsidRPr="293D3C50">
              <w:rPr>
                <w:rFonts w:ascii="Segoe UI" w:eastAsia="Segoe UI" w:hAnsi="Segoe UI" w:cs="Segoe UI"/>
                <w:b/>
                <w:bCs/>
                <w:color w:val="000000" w:themeColor="text1"/>
                <w:sz w:val="22"/>
              </w:rPr>
              <w:t>Alternative 2: Unit Cost Recovery—aggregate patent revenue</w:t>
            </w:r>
          </w:p>
        </w:tc>
        <w:tc>
          <w:tcPr>
            <w:tcW w:w="514" w:type="pct"/>
            <w:tcBorders>
              <w:top w:val="nil"/>
              <w:left w:val="nil"/>
              <w:bottom w:val="single" w:sz="8" w:space="0" w:color="auto"/>
              <w:right w:val="single" w:sz="8" w:space="0" w:color="auto"/>
            </w:tcBorders>
            <w:shd w:val="clear" w:color="auto" w:fill="auto"/>
            <w:noWrap/>
            <w:vAlign w:val="center"/>
            <w:hideMark/>
          </w:tcPr>
          <w:p w14:paraId="1066D9F2" w14:textId="7D644C1C" w:rsidR="009008DD" w:rsidRPr="009008DD" w:rsidRDefault="009008DD" w:rsidP="0040644E">
            <w:pPr>
              <w:keepNext/>
              <w:tabs>
                <w:tab w:val="left" w:pos="3744"/>
              </w:tabs>
              <w:spacing w:line="276" w:lineRule="auto"/>
              <w:jc w:val="right"/>
              <w:rPr>
                <w:rFonts w:ascii="Segoe UI" w:eastAsia="Segoe UI" w:hAnsi="Segoe UI" w:cs="Segoe UI"/>
                <w:sz w:val="22"/>
                <w:highlight w:val="yellow"/>
              </w:rPr>
            </w:pPr>
            <w:r w:rsidRPr="00871AC4">
              <w:rPr>
                <w:rFonts w:ascii="Segoe UI" w:hAnsi="Segoe UI" w:cs="Segoe UI"/>
                <w:sz w:val="22"/>
              </w:rPr>
              <w:t xml:space="preserve">$4,026 </w:t>
            </w:r>
          </w:p>
        </w:tc>
        <w:tc>
          <w:tcPr>
            <w:tcW w:w="514" w:type="pct"/>
            <w:tcBorders>
              <w:top w:val="nil"/>
              <w:left w:val="nil"/>
              <w:bottom w:val="single" w:sz="8" w:space="0" w:color="auto"/>
              <w:right w:val="single" w:sz="8" w:space="0" w:color="auto"/>
            </w:tcBorders>
            <w:shd w:val="clear" w:color="auto" w:fill="auto"/>
            <w:noWrap/>
            <w:vAlign w:val="center"/>
            <w:hideMark/>
          </w:tcPr>
          <w:p w14:paraId="54C3C666" w14:textId="0BC8BDD2" w:rsidR="009008DD" w:rsidRPr="009008DD" w:rsidRDefault="009008DD">
            <w:pPr>
              <w:keepNext/>
              <w:tabs>
                <w:tab w:val="left" w:pos="3744"/>
              </w:tabs>
              <w:spacing w:line="276" w:lineRule="auto"/>
              <w:jc w:val="right"/>
              <w:rPr>
                <w:rFonts w:ascii="Segoe UI" w:eastAsia="Segoe UI" w:hAnsi="Segoe UI" w:cs="Segoe UI"/>
                <w:sz w:val="22"/>
                <w:highlight w:val="yellow"/>
              </w:rPr>
            </w:pPr>
            <w:r w:rsidRPr="00871AC4">
              <w:rPr>
                <w:rFonts w:ascii="Segoe UI" w:hAnsi="Segoe UI" w:cs="Segoe UI"/>
                <w:sz w:val="22"/>
              </w:rPr>
              <w:t xml:space="preserve">$4,241 </w:t>
            </w:r>
          </w:p>
        </w:tc>
        <w:tc>
          <w:tcPr>
            <w:tcW w:w="514" w:type="pct"/>
            <w:tcBorders>
              <w:top w:val="nil"/>
              <w:left w:val="nil"/>
              <w:bottom w:val="single" w:sz="8" w:space="0" w:color="auto"/>
              <w:right w:val="single" w:sz="8" w:space="0" w:color="auto"/>
            </w:tcBorders>
            <w:shd w:val="clear" w:color="auto" w:fill="auto"/>
            <w:noWrap/>
            <w:vAlign w:val="center"/>
            <w:hideMark/>
          </w:tcPr>
          <w:p w14:paraId="759F0B59" w14:textId="2F26C747" w:rsidR="009008DD" w:rsidRPr="009008DD" w:rsidRDefault="009008DD">
            <w:pPr>
              <w:keepNext/>
              <w:tabs>
                <w:tab w:val="left" w:pos="3744"/>
              </w:tabs>
              <w:spacing w:line="276" w:lineRule="auto"/>
              <w:jc w:val="right"/>
              <w:rPr>
                <w:rFonts w:ascii="Segoe UI" w:eastAsia="Segoe UI" w:hAnsi="Segoe UI" w:cs="Segoe UI"/>
                <w:sz w:val="22"/>
                <w:highlight w:val="yellow"/>
              </w:rPr>
            </w:pPr>
            <w:r w:rsidRPr="00871AC4">
              <w:rPr>
                <w:rFonts w:ascii="Segoe UI" w:hAnsi="Segoe UI" w:cs="Segoe UI"/>
                <w:sz w:val="22"/>
              </w:rPr>
              <w:t xml:space="preserve">$4,333 </w:t>
            </w:r>
          </w:p>
        </w:tc>
        <w:tc>
          <w:tcPr>
            <w:tcW w:w="514" w:type="pct"/>
            <w:tcBorders>
              <w:top w:val="nil"/>
              <w:left w:val="nil"/>
              <w:bottom w:val="single" w:sz="8" w:space="0" w:color="auto"/>
              <w:right w:val="single" w:sz="8" w:space="0" w:color="auto"/>
            </w:tcBorders>
            <w:shd w:val="clear" w:color="auto" w:fill="auto"/>
            <w:noWrap/>
            <w:vAlign w:val="center"/>
            <w:hideMark/>
          </w:tcPr>
          <w:p w14:paraId="71833C6E" w14:textId="7DB7CC26" w:rsidR="009008DD" w:rsidRPr="009008DD" w:rsidRDefault="009008DD">
            <w:pPr>
              <w:keepNext/>
              <w:tabs>
                <w:tab w:val="left" w:pos="3744"/>
              </w:tabs>
              <w:spacing w:line="276" w:lineRule="auto"/>
              <w:jc w:val="right"/>
              <w:rPr>
                <w:rFonts w:ascii="Segoe UI" w:eastAsia="Segoe UI" w:hAnsi="Segoe UI" w:cs="Segoe UI"/>
                <w:sz w:val="22"/>
                <w:highlight w:val="yellow"/>
              </w:rPr>
            </w:pPr>
            <w:r w:rsidRPr="00871AC4">
              <w:rPr>
                <w:rFonts w:ascii="Segoe UI" w:hAnsi="Segoe UI" w:cs="Segoe UI"/>
                <w:sz w:val="22"/>
              </w:rPr>
              <w:t xml:space="preserve">$4,305 </w:t>
            </w:r>
          </w:p>
        </w:tc>
        <w:tc>
          <w:tcPr>
            <w:tcW w:w="657" w:type="pct"/>
            <w:tcBorders>
              <w:top w:val="nil"/>
              <w:left w:val="nil"/>
              <w:bottom w:val="single" w:sz="8" w:space="0" w:color="auto"/>
              <w:right w:val="single" w:sz="8" w:space="0" w:color="auto"/>
            </w:tcBorders>
            <w:shd w:val="clear" w:color="auto" w:fill="auto"/>
            <w:noWrap/>
            <w:vAlign w:val="center"/>
            <w:hideMark/>
          </w:tcPr>
          <w:p w14:paraId="52B245C4" w14:textId="0F1FDA73" w:rsidR="009008DD" w:rsidRPr="009008DD" w:rsidRDefault="009008DD">
            <w:pPr>
              <w:keepNext/>
              <w:tabs>
                <w:tab w:val="left" w:pos="3744"/>
              </w:tabs>
              <w:spacing w:line="276" w:lineRule="auto"/>
              <w:jc w:val="right"/>
              <w:rPr>
                <w:rFonts w:ascii="Segoe UI" w:eastAsia="Segoe UI" w:hAnsi="Segoe UI" w:cs="Segoe UI"/>
                <w:sz w:val="22"/>
                <w:highlight w:val="yellow"/>
              </w:rPr>
            </w:pPr>
            <w:r w:rsidRPr="00871AC4">
              <w:rPr>
                <w:rFonts w:ascii="Segoe UI" w:hAnsi="Segoe UI" w:cs="Segoe UI"/>
                <w:sz w:val="22"/>
              </w:rPr>
              <w:t xml:space="preserve">$4,319 </w:t>
            </w:r>
          </w:p>
        </w:tc>
      </w:tr>
      <w:tr w:rsidR="009008DD" w:rsidRPr="00CF6436" w14:paraId="491A8A4E" w14:textId="77777777" w:rsidTr="00C54800">
        <w:trPr>
          <w:cantSplit/>
          <w:trHeight w:val="302"/>
          <w:jc w:val="center"/>
        </w:trPr>
        <w:tc>
          <w:tcPr>
            <w:tcW w:w="2288" w:type="pct"/>
            <w:shd w:val="clear" w:color="auto" w:fill="D9D9D6"/>
            <w:vAlign w:val="center"/>
            <w:hideMark/>
          </w:tcPr>
          <w:p w14:paraId="43A1DB38" w14:textId="6BFA0D8D" w:rsidR="009008DD" w:rsidRPr="00C01468" w:rsidRDefault="009008DD" w:rsidP="009008DD">
            <w:pPr>
              <w:keepNext/>
              <w:tabs>
                <w:tab w:val="left" w:pos="3744"/>
              </w:tabs>
              <w:spacing w:line="276" w:lineRule="auto"/>
              <w:jc w:val="right"/>
              <w:rPr>
                <w:rFonts w:ascii="Segoe UI" w:eastAsia="Segoe UI" w:hAnsi="Segoe UI" w:cs="Segoe UI"/>
                <w:i/>
                <w:iCs/>
                <w:color w:val="000000" w:themeColor="text1"/>
                <w:sz w:val="22"/>
              </w:rPr>
            </w:pPr>
            <w:r w:rsidRPr="293D3C50">
              <w:rPr>
                <w:rFonts w:ascii="Segoe UI" w:eastAsia="Segoe UI" w:hAnsi="Segoe UI" w:cs="Segoe UI"/>
                <w:i/>
                <w:iCs/>
                <w:color w:val="000000" w:themeColor="text1"/>
                <w:sz w:val="22"/>
              </w:rPr>
              <w:t>EOY operating reserve Alternative 2</w:t>
            </w:r>
          </w:p>
        </w:tc>
        <w:tc>
          <w:tcPr>
            <w:tcW w:w="514" w:type="pct"/>
            <w:tcBorders>
              <w:top w:val="nil"/>
              <w:left w:val="nil"/>
              <w:bottom w:val="single" w:sz="8" w:space="0" w:color="auto"/>
              <w:right w:val="single" w:sz="8" w:space="0" w:color="auto"/>
            </w:tcBorders>
            <w:shd w:val="clear" w:color="auto" w:fill="D9D9D6"/>
            <w:noWrap/>
            <w:vAlign w:val="center"/>
            <w:hideMark/>
          </w:tcPr>
          <w:p w14:paraId="3363D7D3" w14:textId="3A7E8066" w:rsidR="009008DD" w:rsidRPr="009008DD" w:rsidRDefault="009008DD" w:rsidP="0040644E">
            <w:pPr>
              <w:keepNext/>
              <w:tabs>
                <w:tab w:val="left" w:pos="3744"/>
              </w:tabs>
              <w:spacing w:line="276" w:lineRule="auto"/>
              <w:jc w:val="right"/>
              <w:rPr>
                <w:rFonts w:ascii="Segoe UI" w:eastAsia="Segoe UI" w:hAnsi="Segoe UI" w:cs="Segoe UI"/>
                <w:sz w:val="22"/>
                <w:highlight w:val="yellow"/>
              </w:rPr>
            </w:pPr>
            <w:r w:rsidRPr="00871AC4">
              <w:rPr>
                <w:rFonts w:ascii="Segoe UI" w:hAnsi="Segoe UI" w:cs="Segoe UI"/>
                <w:sz w:val="22"/>
              </w:rPr>
              <w:t xml:space="preserve">$894 </w:t>
            </w:r>
          </w:p>
        </w:tc>
        <w:tc>
          <w:tcPr>
            <w:tcW w:w="514" w:type="pct"/>
            <w:tcBorders>
              <w:top w:val="nil"/>
              <w:left w:val="nil"/>
              <w:bottom w:val="single" w:sz="8" w:space="0" w:color="auto"/>
              <w:right w:val="single" w:sz="8" w:space="0" w:color="auto"/>
            </w:tcBorders>
            <w:shd w:val="clear" w:color="auto" w:fill="D9D9D6"/>
            <w:noWrap/>
            <w:vAlign w:val="center"/>
            <w:hideMark/>
          </w:tcPr>
          <w:p w14:paraId="185B8362" w14:textId="22109423" w:rsidR="009008DD" w:rsidRPr="009008DD" w:rsidRDefault="009008DD">
            <w:pPr>
              <w:keepNext/>
              <w:tabs>
                <w:tab w:val="left" w:pos="3744"/>
              </w:tabs>
              <w:spacing w:line="276" w:lineRule="auto"/>
              <w:jc w:val="right"/>
              <w:rPr>
                <w:rFonts w:ascii="Segoe UI" w:eastAsia="Segoe UI" w:hAnsi="Segoe UI" w:cs="Segoe UI"/>
                <w:sz w:val="22"/>
                <w:highlight w:val="yellow"/>
              </w:rPr>
            </w:pPr>
            <w:r w:rsidRPr="00871AC4">
              <w:rPr>
                <w:rFonts w:ascii="Segoe UI" w:hAnsi="Segoe UI" w:cs="Segoe UI"/>
                <w:sz w:val="22"/>
              </w:rPr>
              <w:t xml:space="preserve">$1,082 </w:t>
            </w:r>
          </w:p>
        </w:tc>
        <w:tc>
          <w:tcPr>
            <w:tcW w:w="514" w:type="pct"/>
            <w:tcBorders>
              <w:top w:val="nil"/>
              <w:left w:val="nil"/>
              <w:bottom w:val="single" w:sz="8" w:space="0" w:color="auto"/>
              <w:right w:val="single" w:sz="8" w:space="0" w:color="auto"/>
            </w:tcBorders>
            <w:shd w:val="clear" w:color="auto" w:fill="D9D9D6"/>
            <w:noWrap/>
            <w:vAlign w:val="center"/>
            <w:hideMark/>
          </w:tcPr>
          <w:p w14:paraId="09CC1641" w14:textId="710FB656" w:rsidR="009008DD" w:rsidRPr="009008DD" w:rsidRDefault="009008DD">
            <w:pPr>
              <w:keepNext/>
              <w:tabs>
                <w:tab w:val="left" w:pos="3744"/>
              </w:tabs>
              <w:spacing w:line="276" w:lineRule="auto"/>
              <w:jc w:val="right"/>
              <w:rPr>
                <w:rFonts w:ascii="Segoe UI" w:eastAsia="Segoe UI" w:hAnsi="Segoe UI" w:cs="Segoe UI"/>
                <w:sz w:val="22"/>
                <w:highlight w:val="yellow"/>
              </w:rPr>
            </w:pPr>
            <w:r w:rsidRPr="00871AC4">
              <w:rPr>
                <w:rFonts w:ascii="Segoe UI" w:hAnsi="Segoe UI" w:cs="Segoe UI"/>
                <w:sz w:val="22"/>
              </w:rPr>
              <w:t xml:space="preserve">$1,197 </w:t>
            </w:r>
          </w:p>
        </w:tc>
        <w:tc>
          <w:tcPr>
            <w:tcW w:w="514" w:type="pct"/>
            <w:tcBorders>
              <w:top w:val="nil"/>
              <w:left w:val="nil"/>
              <w:bottom w:val="single" w:sz="8" w:space="0" w:color="auto"/>
              <w:right w:val="single" w:sz="8" w:space="0" w:color="auto"/>
            </w:tcBorders>
            <w:shd w:val="clear" w:color="auto" w:fill="D9D9D6"/>
            <w:noWrap/>
            <w:vAlign w:val="center"/>
            <w:hideMark/>
          </w:tcPr>
          <w:p w14:paraId="757E724F" w14:textId="02D30738" w:rsidR="009008DD" w:rsidRPr="009008DD" w:rsidRDefault="009008DD">
            <w:pPr>
              <w:keepNext/>
              <w:tabs>
                <w:tab w:val="left" w:pos="3744"/>
              </w:tabs>
              <w:spacing w:line="276" w:lineRule="auto"/>
              <w:jc w:val="right"/>
              <w:rPr>
                <w:rFonts w:ascii="Segoe UI" w:eastAsia="Segoe UI" w:hAnsi="Segoe UI" w:cs="Segoe UI"/>
                <w:sz w:val="22"/>
                <w:highlight w:val="yellow"/>
              </w:rPr>
            </w:pPr>
            <w:r w:rsidRPr="00871AC4">
              <w:rPr>
                <w:rFonts w:ascii="Segoe UI" w:hAnsi="Segoe UI" w:cs="Segoe UI"/>
                <w:sz w:val="22"/>
              </w:rPr>
              <w:t xml:space="preserve">$1,121 </w:t>
            </w:r>
          </w:p>
        </w:tc>
        <w:tc>
          <w:tcPr>
            <w:tcW w:w="657" w:type="pct"/>
            <w:tcBorders>
              <w:top w:val="nil"/>
              <w:left w:val="nil"/>
              <w:bottom w:val="single" w:sz="8" w:space="0" w:color="auto"/>
              <w:right w:val="single" w:sz="8" w:space="0" w:color="auto"/>
            </w:tcBorders>
            <w:shd w:val="clear" w:color="auto" w:fill="D9D9D6"/>
            <w:noWrap/>
            <w:vAlign w:val="center"/>
            <w:hideMark/>
          </w:tcPr>
          <w:p w14:paraId="0EF43178" w14:textId="74C89A20" w:rsidR="009008DD" w:rsidRPr="009008DD" w:rsidRDefault="009008DD">
            <w:pPr>
              <w:keepNext/>
              <w:tabs>
                <w:tab w:val="left" w:pos="3744"/>
              </w:tabs>
              <w:spacing w:line="276" w:lineRule="auto"/>
              <w:jc w:val="right"/>
              <w:rPr>
                <w:rFonts w:ascii="Segoe UI" w:eastAsia="Segoe UI" w:hAnsi="Segoe UI" w:cs="Segoe UI"/>
                <w:sz w:val="22"/>
                <w:highlight w:val="yellow"/>
              </w:rPr>
            </w:pPr>
            <w:r w:rsidRPr="00871AC4">
              <w:rPr>
                <w:rFonts w:ascii="Segoe UI" w:hAnsi="Segoe UI" w:cs="Segoe UI"/>
                <w:sz w:val="22"/>
              </w:rPr>
              <w:t xml:space="preserve">$890 </w:t>
            </w:r>
          </w:p>
        </w:tc>
      </w:tr>
      <w:tr w:rsidR="00211D89" w:rsidRPr="00CF6436" w14:paraId="297AB892" w14:textId="77777777" w:rsidTr="00C54800">
        <w:trPr>
          <w:cantSplit/>
          <w:trHeight w:val="302"/>
          <w:jc w:val="center"/>
        </w:trPr>
        <w:tc>
          <w:tcPr>
            <w:tcW w:w="2288" w:type="pct"/>
            <w:vAlign w:val="center"/>
            <w:hideMark/>
          </w:tcPr>
          <w:p w14:paraId="1A38B7A4" w14:textId="1AA2FCAE" w:rsidR="00211D89" w:rsidRPr="00C01468" w:rsidRDefault="00211D89" w:rsidP="00211D89">
            <w:pPr>
              <w:keepNext/>
              <w:tabs>
                <w:tab w:val="left" w:pos="3744"/>
              </w:tabs>
              <w:spacing w:line="276" w:lineRule="auto"/>
              <w:rPr>
                <w:rFonts w:ascii="Segoe UI" w:eastAsia="Segoe UI" w:hAnsi="Segoe UI" w:cs="Segoe UI"/>
                <w:b/>
                <w:bCs/>
                <w:sz w:val="22"/>
              </w:rPr>
            </w:pPr>
            <w:r w:rsidRPr="293D3C50">
              <w:rPr>
                <w:rFonts w:ascii="Segoe UI" w:eastAsia="Segoe UI" w:hAnsi="Segoe UI" w:cs="Segoe UI"/>
                <w:b/>
                <w:bCs/>
                <w:color w:val="000000" w:themeColor="text1"/>
                <w:sz w:val="22"/>
              </w:rPr>
              <w:t>Alternative 3: Across-the-Board Adjustment—aggregate patent revenue</w:t>
            </w:r>
          </w:p>
        </w:tc>
        <w:tc>
          <w:tcPr>
            <w:tcW w:w="514" w:type="pct"/>
            <w:tcBorders>
              <w:top w:val="nil"/>
              <w:left w:val="nil"/>
              <w:bottom w:val="single" w:sz="8" w:space="0" w:color="auto"/>
              <w:right w:val="single" w:sz="8" w:space="0" w:color="auto"/>
            </w:tcBorders>
            <w:shd w:val="clear" w:color="auto" w:fill="auto"/>
            <w:noWrap/>
            <w:vAlign w:val="center"/>
            <w:hideMark/>
          </w:tcPr>
          <w:p w14:paraId="0CE9D83C" w14:textId="0F5307D4" w:rsidR="00211D89" w:rsidRPr="00A405F1" w:rsidRDefault="00211D89" w:rsidP="00211D89">
            <w:pPr>
              <w:keepNext/>
              <w:tabs>
                <w:tab w:val="left" w:pos="3744"/>
              </w:tabs>
              <w:spacing w:line="276" w:lineRule="auto"/>
              <w:jc w:val="right"/>
              <w:rPr>
                <w:rFonts w:ascii="Segoe UI" w:eastAsia="Segoe UI" w:hAnsi="Segoe UI" w:cs="Segoe UI"/>
                <w:sz w:val="22"/>
                <w:highlight w:val="yellow"/>
              </w:rPr>
            </w:pPr>
            <w:r w:rsidRPr="00211D5B">
              <w:rPr>
                <w:rFonts w:ascii="Segoe UI" w:hAnsi="Segoe UI" w:cs="Segoe UI"/>
                <w:sz w:val="22"/>
              </w:rPr>
              <w:t>$3,934</w:t>
            </w:r>
          </w:p>
        </w:tc>
        <w:tc>
          <w:tcPr>
            <w:tcW w:w="514" w:type="pct"/>
            <w:tcBorders>
              <w:top w:val="nil"/>
              <w:left w:val="nil"/>
              <w:bottom w:val="single" w:sz="8" w:space="0" w:color="auto"/>
              <w:right w:val="single" w:sz="8" w:space="0" w:color="auto"/>
            </w:tcBorders>
            <w:shd w:val="clear" w:color="auto" w:fill="auto"/>
            <w:noWrap/>
            <w:vAlign w:val="center"/>
            <w:hideMark/>
          </w:tcPr>
          <w:p w14:paraId="02193E7B" w14:textId="7F5FFBFF" w:rsidR="00211D89" w:rsidRPr="00A405F1" w:rsidRDefault="00211D89" w:rsidP="00211D89">
            <w:pPr>
              <w:keepNext/>
              <w:tabs>
                <w:tab w:val="left" w:pos="3744"/>
              </w:tabs>
              <w:spacing w:line="276" w:lineRule="auto"/>
              <w:jc w:val="right"/>
              <w:rPr>
                <w:rFonts w:ascii="Segoe UI" w:eastAsia="Segoe UI" w:hAnsi="Segoe UI" w:cs="Segoe UI"/>
                <w:sz w:val="22"/>
                <w:highlight w:val="yellow"/>
              </w:rPr>
            </w:pPr>
            <w:r w:rsidRPr="00211D5B">
              <w:rPr>
                <w:rFonts w:ascii="Segoe UI" w:hAnsi="Segoe UI" w:cs="Segoe UI"/>
                <w:sz w:val="22"/>
              </w:rPr>
              <w:t>$4,228</w:t>
            </w:r>
          </w:p>
        </w:tc>
        <w:tc>
          <w:tcPr>
            <w:tcW w:w="514" w:type="pct"/>
            <w:tcBorders>
              <w:top w:val="nil"/>
              <w:left w:val="nil"/>
              <w:bottom w:val="single" w:sz="8" w:space="0" w:color="auto"/>
              <w:right w:val="single" w:sz="8" w:space="0" w:color="auto"/>
            </w:tcBorders>
            <w:shd w:val="clear" w:color="auto" w:fill="auto"/>
            <w:noWrap/>
            <w:vAlign w:val="center"/>
            <w:hideMark/>
          </w:tcPr>
          <w:p w14:paraId="1D7EAF81" w14:textId="20535761" w:rsidR="00211D89" w:rsidRPr="00A405F1" w:rsidRDefault="00211D89" w:rsidP="00211D89">
            <w:pPr>
              <w:keepNext/>
              <w:tabs>
                <w:tab w:val="left" w:pos="3744"/>
              </w:tabs>
              <w:spacing w:line="276" w:lineRule="auto"/>
              <w:jc w:val="right"/>
              <w:rPr>
                <w:rFonts w:ascii="Segoe UI" w:eastAsia="Segoe UI" w:hAnsi="Segoe UI" w:cs="Segoe UI"/>
                <w:sz w:val="22"/>
                <w:highlight w:val="yellow"/>
              </w:rPr>
            </w:pPr>
            <w:r w:rsidRPr="00211D5B">
              <w:rPr>
                <w:rFonts w:ascii="Segoe UI" w:hAnsi="Segoe UI" w:cs="Segoe UI"/>
                <w:sz w:val="22"/>
              </w:rPr>
              <w:t>$4,336</w:t>
            </w:r>
          </w:p>
        </w:tc>
        <w:tc>
          <w:tcPr>
            <w:tcW w:w="514" w:type="pct"/>
            <w:tcBorders>
              <w:top w:val="nil"/>
              <w:left w:val="nil"/>
              <w:bottom w:val="single" w:sz="8" w:space="0" w:color="auto"/>
              <w:right w:val="single" w:sz="8" w:space="0" w:color="auto"/>
            </w:tcBorders>
            <w:shd w:val="clear" w:color="auto" w:fill="auto"/>
            <w:noWrap/>
            <w:vAlign w:val="center"/>
            <w:hideMark/>
          </w:tcPr>
          <w:p w14:paraId="201FB1E6" w14:textId="384BF3E3" w:rsidR="00211D89" w:rsidRPr="00A405F1" w:rsidRDefault="00211D89" w:rsidP="00211D89">
            <w:pPr>
              <w:keepNext/>
              <w:tabs>
                <w:tab w:val="left" w:pos="3744"/>
              </w:tabs>
              <w:spacing w:line="276" w:lineRule="auto"/>
              <w:jc w:val="right"/>
              <w:rPr>
                <w:rFonts w:ascii="Segoe UI" w:eastAsia="Segoe UI" w:hAnsi="Segoe UI" w:cs="Segoe UI"/>
                <w:sz w:val="22"/>
                <w:highlight w:val="yellow"/>
              </w:rPr>
            </w:pPr>
            <w:r w:rsidRPr="00211D5B">
              <w:rPr>
                <w:rFonts w:ascii="Segoe UI" w:hAnsi="Segoe UI" w:cs="Segoe UI"/>
                <w:sz w:val="22"/>
              </w:rPr>
              <w:t>$4,299</w:t>
            </w:r>
          </w:p>
        </w:tc>
        <w:tc>
          <w:tcPr>
            <w:tcW w:w="657" w:type="pct"/>
            <w:tcBorders>
              <w:top w:val="nil"/>
              <w:left w:val="nil"/>
              <w:bottom w:val="single" w:sz="8" w:space="0" w:color="auto"/>
              <w:right w:val="single" w:sz="8" w:space="0" w:color="auto"/>
            </w:tcBorders>
            <w:shd w:val="clear" w:color="auto" w:fill="auto"/>
            <w:noWrap/>
            <w:vAlign w:val="center"/>
            <w:hideMark/>
          </w:tcPr>
          <w:p w14:paraId="7AF87A5A" w14:textId="54D82886" w:rsidR="00211D89" w:rsidRPr="00A405F1" w:rsidRDefault="00211D89" w:rsidP="00211D89">
            <w:pPr>
              <w:keepNext/>
              <w:tabs>
                <w:tab w:val="left" w:pos="3744"/>
              </w:tabs>
              <w:spacing w:line="276" w:lineRule="auto"/>
              <w:jc w:val="right"/>
              <w:rPr>
                <w:rFonts w:ascii="Segoe UI" w:eastAsia="Segoe UI" w:hAnsi="Segoe UI" w:cs="Segoe UI"/>
                <w:sz w:val="22"/>
                <w:highlight w:val="yellow"/>
              </w:rPr>
            </w:pPr>
            <w:r w:rsidRPr="00211D5B">
              <w:rPr>
                <w:rFonts w:ascii="Segoe UI" w:hAnsi="Segoe UI" w:cs="Segoe UI"/>
                <w:sz w:val="22"/>
              </w:rPr>
              <w:t>$4,305</w:t>
            </w:r>
          </w:p>
        </w:tc>
      </w:tr>
      <w:tr w:rsidR="00211D89" w:rsidRPr="00CF6436" w14:paraId="673E691F" w14:textId="77777777" w:rsidTr="00C54800">
        <w:trPr>
          <w:cantSplit/>
          <w:trHeight w:val="302"/>
          <w:jc w:val="center"/>
        </w:trPr>
        <w:tc>
          <w:tcPr>
            <w:tcW w:w="2288" w:type="pct"/>
            <w:shd w:val="clear" w:color="auto" w:fill="D9D9D6"/>
            <w:vAlign w:val="center"/>
            <w:hideMark/>
          </w:tcPr>
          <w:p w14:paraId="640785D7" w14:textId="7C0EAB4A" w:rsidR="00211D89" w:rsidRPr="00C01468" w:rsidRDefault="00211D89" w:rsidP="00211D89">
            <w:pPr>
              <w:keepNext/>
              <w:tabs>
                <w:tab w:val="left" w:pos="3744"/>
              </w:tabs>
              <w:spacing w:line="276" w:lineRule="auto"/>
              <w:jc w:val="right"/>
              <w:rPr>
                <w:rFonts w:ascii="Segoe UI" w:eastAsia="Segoe UI" w:hAnsi="Segoe UI" w:cs="Segoe UI"/>
                <w:i/>
                <w:iCs/>
                <w:color w:val="000000" w:themeColor="text1"/>
                <w:sz w:val="22"/>
              </w:rPr>
            </w:pPr>
            <w:r w:rsidRPr="293D3C50">
              <w:rPr>
                <w:rFonts w:ascii="Segoe UI" w:eastAsia="Segoe UI" w:hAnsi="Segoe UI" w:cs="Segoe UI"/>
                <w:i/>
                <w:iCs/>
                <w:color w:val="000000" w:themeColor="text1"/>
                <w:sz w:val="22"/>
              </w:rPr>
              <w:t>EOY operating reserve Alternative 3</w:t>
            </w:r>
          </w:p>
        </w:tc>
        <w:tc>
          <w:tcPr>
            <w:tcW w:w="514" w:type="pct"/>
            <w:tcBorders>
              <w:top w:val="nil"/>
              <w:left w:val="nil"/>
              <w:bottom w:val="single" w:sz="8" w:space="0" w:color="auto"/>
              <w:right w:val="single" w:sz="8" w:space="0" w:color="auto"/>
            </w:tcBorders>
            <w:shd w:val="clear" w:color="auto" w:fill="D9D9D6"/>
            <w:noWrap/>
            <w:vAlign w:val="center"/>
            <w:hideMark/>
          </w:tcPr>
          <w:p w14:paraId="0FA669EB" w14:textId="03978D73" w:rsidR="00211D89" w:rsidRPr="00A405F1" w:rsidRDefault="00211D89" w:rsidP="00211D89">
            <w:pPr>
              <w:keepNext/>
              <w:tabs>
                <w:tab w:val="left" w:pos="3744"/>
              </w:tabs>
              <w:spacing w:line="276" w:lineRule="auto"/>
              <w:jc w:val="right"/>
              <w:rPr>
                <w:rFonts w:ascii="Segoe UI" w:eastAsia="Segoe UI" w:hAnsi="Segoe UI" w:cs="Segoe UI"/>
                <w:sz w:val="22"/>
                <w:highlight w:val="yellow"/>
              </w:rPr>
            </w:pPr>
            <w:r w:rsidRPr="00211D5B">
              <w:rPr>
                <w:rFonts w:ascii="Segoe UI" w:hAnsi="Segoe UI" w:cs="Segoe UI"/>
                <w:sz w:val="22"/>
              </w:rPr>
              <w:t>$802</w:t>
            </w:r>
          </w:p>
        </w:tc>
        <w:tc>
          <w:tcPr>
            <w:tcW w:w="514" w:type="pct"/>
            <w:tcBorders>
              <w:top w:val="nil"/>
              <w:left w:val="nil"/>
              <w:bottom w:val="single" w:sz="8" w:space="0" w:color="auto"/>
              <w:right w:val="single" w:sz="8" w:space="0" w:color="auto"/>
            </w:tcBorders>
            <w:shd w:val="clear" w:color="auto" w:fill="D9D9D6"/>
            <w:noWrap/>
            <w:vAlign w:val="center"/>
            <w:hideMark/>
          </w:tcPr>
          <w:p w14:paraId="7E3A038E" w14:textId="681A366A" w:rsidR="00211D89" w:rsidRPr="00A405F1" w:rsidRDefault="00211D89" w:rsidP="00211D89">
            <w:pPr>
              <w:keepNext/>
              <w:tabs>
                <w:tab w:val="left" w:pos="3744"/>
              </w:tabs>
              <w:spacing w:line="276" w:lineRule="auto"/>
              <w:jc w:val="right"/>
              <w:rPr>
                <w:rFonts w:ascii="Segoe UI" w:eastAsia="Segoe UI" w:hAnsi="Segoe UI" w:cs="Segoe UI"/>
                <w:sz w:val="22"/>
                <w:highlight w:val="yellow"/>
              </w:rPr>
            </w:pPr>
            <w:r w:rsidRPr="00211D5B">
              <w:rPr>
                <w:rFonts w:ascii="Segoe UI" w:hAnsi="Segoe UI" w:cs="Segoe UI"/>
                <w:sz w:val="22"/>
              </w:rPr>
              <w:t>$978</w:t>
            </w:r>
          </w:p>
        </w:tc>
        <w:tc>
          <w:tcPr>
            <w:tcW w:w="514" w:type="pct"/>
            <w:tcBorders>
              <w:top w:val="nil"/>
              <w:left w:val="nil"/>
              <w:bottom w:val="single" w:sz="8" w:space="0" w:color="auto"/>
              <w:right w:val="single" w:sz="8" w:space="0" w:color="auto"/>
            </w:tcBorders>
            <w:shd w:val="clear" w:color="auto" w:fill="D9D9D6"/>
            <w:noWrap/>
            <w:vAlign w:val="center"/>
            <w:hideMark/>
          </w:tcPr>
          <w:p w14:paraId="12A75EB7" w14:textId="50A65ED8" w:rsidR="00211D89" w:rsidRPr="00A405F1" w:rsidRDefault="00211D89" w:rsidP="00211D89">
            <w:pPr>
              <w:keepNext/>
              <w:tabs>
                <w:tab w:val="left" w:pos="3744"/>
              </w:tabs>
              <w:spacing w:line="276" w:lineRule="auto"/>
              <w:jc w:val="right"/>
              <w:rPr>
                <w:rFonts w:ascii="Segoe UI" w:eastAsia="Segoe UI" w:hAnsi="Segoe UI" w:cs="Segoe UI"/>
                <w:sz w:val="22"/>
                <w:highlight w:val="yellow"/>
              </w:rPr>
            </w:pPr>
            <w:r w:rsidRPr="00211D5B">
              <w:rPr>
                <w:rFonts w:ascii="Segoe UI" w:hAnsi="Segoe UI" w:cs="Segoe UI"/>
                <w:sz w:val="22"/>
              </w:rPr>
              <w:t>$1,096</w:t>
            </w:r>
          </w:p>
        </w:tc>
        <w:tc>
          <w:tcPr>
            <w:tcW w:w="514" w:type="pct"/>
            <w:tcBorders>
              <w:top w:val="nil"/>
              <w:left w:val="nil"/>
              <w:bottom w:val="single" w:sz="8" w:space="0" w:color="auto"/>
              <w:right w:val="single" w:sz="8" w:space="0" w:color="auto"/>
            </w:tcBorders>
            <w:shd w:val="clear" w:color="auto" w:fill="D9D9D6"/>
            <w:noWrap/>
            <w:vAlign w:val="center"/>
            <w:hideMark/>
          </w:tcPr>
          <w:p w14:paraId="39E95D56" w14:textId="1991523F" w:rsidR="00211D89" w:rsidRPr="00A405F1" w:rsidRDefault="00211D89" w:rsidP="00211D89">
            <w:pPr>
              <w:keepNext/>
              <w:tabs>
                <w:tab w:val="left" w:pos="3744"/>
              </w:tabs>
              <w:spacing w:line="276" w:lineRule="auto"/>
              <w:jc w:val="right"/>
              <w:rPr>
                <w:rFonts w:ascii="Segoe UI" w:eastAsia="Segoe UI" w:hAnsi="Segoe UI" w:cs="Segoe UI"/>
                <w:sz w:val="22"/>
                <w:highlight w:val="yellow"/>
              </w:rPr>
            </w:pPr>
            <w:r w:rsidRPr="00211D5B">
              <w:rPr>
                <w:rFonts w:ascii="Segoe UI" w:hAnsi="Segoe UI" w:cs="Segoe UI"/>
                <w:sz w:val="22"/>
              </w:rPr>
              <w:t>$1,014</w:t>
            </w:r>
          </w:p>
        </w:tc>
        <w:tc>
          <w:tcPr>
            <w:tcW w:w="657" w:type="pct"/>
            <w:tcBorders>
              <w:top w:val="nil"/>
              <w:left w:val="nil"/>
              <w:bottom w:val="single" w:sz="8" w:space="0" w:color="auto"/>
              <w:right w:val="single" w:sz="8" w:space="0" w:color="auto"/>
            </w:tcBorders>
            <w:shd w:val="clear" w:color="auto" w:fill="D9D9D6"/>
            <w:noWrap/>
            <w:vAlign w:val="center"/>
            <w:hideMark/>
          </w:tcPr>
          <w:p w14:paraId="48AE7153" w14:textId="770D0331" w:rsidR="00211D89" w:rsidRPr="00A405F1" w:rsidRDefault="00211D89" w:rsidP="00211D89">
            <w:pPr>
              <w:keepNext/>
              <w:tabs>
                <w:tab w:val="left" w:pos="3744"/>
              </w:tabs>
              <w:spacing w:line="276" w:lineRule="auto"/>
              <w:jc w:val="right"/>
              <w:rPr>
                <w:rFonts w:ascii="Segoe UI" w:eastAsia="Segoe UI" w:hAnsi="Segoe UI" w:cs="Segoe UI"/>
                <w:sz w:val="22"/>
                <w:highlight w:val="yellow"/>
              </w:rPr>
            </w:pPr>
            <w:r w:rsidRPr="00211D5B">
              <w:rPr>
                <w:rFonts w:ascii="Segoe UI" w:hAnsi="Segoe UI" w:cs="Segoe UI"/>
                <w:sz w:val="22"/>
              </w:rPr>
              <w:t>$769</w:t>
            </w:r>
          </w:p>
        </w:tc>
      </w:tr>
      <w:tr w:rsidR="00211D89" w:rsidRPr="00CF6436" w14:paraId="30B729A2" w14:textId="77777777" w:rsidTr="00C54800">
        <w:trPr>
          <w:cantSplit/>
          <w:trHeight w:val="302"/>
          <w:jc w:val="center"/>
        </w:trPr>
        <w:tc>
          <w:tcPr>
            <w:tcW w:w="2288" w:type="pct"/>
            <w:vAlign w:val="center"/>
            <w:hideMark/>
          </w:tcPr>
          <w:p w14:paraId="6053C0A6" w14:textId="1528F9F9" w:rsidR="00211D89" w:rsidRPr="00C01468" w:rsidRDefault="00211D89" w:rsidP="00211D89">
            <w:pPr>
              <w:keepNext/>
              <w:tabs>
                <w:tab w:val="left" w:pos="3744"/>
              </w:tabs>
              <w:spacing w:line="276" w:lineRule="auto"/>
              <w:rPr>
                <w:rFonts w:ascii="Segoe UI" w:eastAsia="Segoe UI" w:hAnsi="Segoe UI" w:cs="Segoe UI"/>
                <w:b/>
                <w:bCs/>
                <w:sz w:val="22"/>
              </w:rPr>
            </w:pPr>
            <w:r w:rsidRPr="293D3C50">
              <w:rPr>
                <w:rFonts w:ascii="Segoe UI" w:eastAsia="Segoe UI" w:hAnsi="Segoe UI" w:cs="Segoe UI"/>
                <w:b/>
                <w:bCs/>
                <w:color w:val="000000" w:themeColor="text1"/>
                <w:sz w:val="22"/>
              </w:rPr>
              <w:t>Alternative 4: Baseline—aggregate patent revenue</w:t>
            </w:r>
          </w:p>
        </w:tc>
        <w:tc>
          <w:tcPr>
            <w:tcW w:w="514" w:type="pct"/>
            <w:tcBorders>
              <w:top w:val="nil"/>
              <w:left w:val="nil"/>
              <w:bottom w:val="single" w:sz="8" w:space="0" w:color="auto"/>
              <w:right w:val="single" w:sz="8" w:space="0" w:color="auto"/>
            </w:tcBorders>
            <w:shd w:val="clear" w:color="auto" w:fill="auto"/>
            <w:noWrap/>
            <w:vAlign w:val="center"/>
            <w:hideMark/>
          </w:tcPr>
          <w:p w14:paraId="081279D9" w14:textId="49405381" w:rsidR="00211D89" w:rsidRPr="00A405F1" w:rsidRDefault="00211D89" w:rsidP="00211D89">
            <w:pPr>
              <w:keepNext/>
              <w:tabs>
                <w:tab w:val="left" w:pos="3744"/>
              </w:tabs>
              <w:spacing w:line="276" w:lineRule="auto"/>
              <w:jc w:val="right"/>
              <w:rPr>
                <w:rFonts w:ascii="Segoe UI" w:eastAsia="Segoe UI" w:hAnsi="Segoe UI" w:cs="Segoe UI"/>
                <w:sz w:val="22"/>
                <w:highlight w:val="yellow"/>
              </w:rPr>
            </w:pPr>
            <w:r w:rsidRPr="00211D5B">
              <w:rPr>
                <w:rFonts w:ascii="Segoe UI" w:hAnsi="Segoe UI" w:cs="Segoe UI"/>
                <w:sz w:val="22"/>
              </w:rPr>
              <w:t>$3,671</w:t>
            </w:r>
          </w:p>
        </w:tc>
        <w:tc>
          <w:tcPr>
            <w:tcW w:w="514" w:type="pct"/>
            <w:tcBorders>
              <w:top w:val="nil"/>
              <w:left w:val="nil"/>
              <w:bottom w:val="single" w:sz="8" w:space="0" w:color="auto"/>
              <w:right w:val="single" w:sz="8" w:space="0" w:color="auto"/>
            </w:tcBorders>
            <w:shd w:val="clear" w:color="auto" w:fill="auto"/>
            <w:noWrap/>
            <w:vAlign w:val="center"/>
            <w:hideMark/>
          </w:tcPr>
          <w:p w14:paraId="47D92FA1" w14:textId="43D05A7F" w:rsidR="00211D89" w:rsidRPr="00A405F1" w:rsidRDefault="00211D89" w:rsidP="00211D89">
            <w:pPr>
              <w:keepNext/>
              <w:tabs>
                <w:tab w:val="left" w:pos="3744"/>
              </w:tabs>
              <w:spacing w:line="276" w:lineRule="auto"/>
              <w:jc w:val="right"/>
              <w:rPr>
                <w:rFonts w:ascii="Segoe UI" w:eastAsia="Segoe UI" w:hAnsi="Segoe UI" w:cs="Segoe UI"/>
                <w:sz w:val="22"/>
                <w:highlight w:val="yellow"/>
              </w:rPr>
            </w:pPr>
            <w:r w:rsidRPr="00211D5B">
              <w:rPr>
                <w:rFonts w:ascii="Segoe UI" w:hAnsi="Segoe UI" w:cs="Segoe UI"/>
                <w:sz w:val="22"/>
              </w:rPr>
              <w:t>$3,804</w:t>
            </w:r>
          </w:p>
        </w:tc>
        <w:tc>
          <w:tcPr>
            <w:tcW w:w="514" w:type="pct"/>
            <w:tcBorders>
              <w:top w:val="nil"/>
              <w:left w:val="nil"/>
              <w:bottom w:val="single" w:sz="8" w:space="0" w:color="auto"/>
              <w:right w:val="single" w:sz="8" w:space="0" w:color="auto"/>
            </w:tcBorders>
            <w:shd w:val="clear" w:color="auto" w:fill="auto"/>
            <w:noWrap/>
            <w:vAlign w:val="center"/>
            <w:hideMark/>
          </w:tcPr>
          <w:p w14:paraId="72051D5C" w14:textId="2B2CA3CA" w:rsidR="00211D89" w:rsidRPr="00A405F1" w:rsidRDefault="00211D89" w:rsidP="00211D89">
            <w:pPr>
              <w:keepNext/>
              <w:tabs>
                <w:tab w:val="left" w:pos="3744"/>
              </w:tabs>
              <w:spacing w:line="276" w:lineRule="auto"/>
              <w:jc w:val="right"/>
              <w:rPr>
                <w:rFonts w:ascii="Segoe UI" w:eastAsia="Segoe UI" w:hAnsi="Segoe UI" w:cs="Segoe UI"/>
                <w:sz w:val="22"/>
                <w:highlight w:val="yellow"/>
              </w:rPr>
            </w:pPr>
            <w:r w:rsidRPr="00211D5B">
              <w:rPr>
                <w:rFonts w:ascii="Segoe UI" w:hAnsi="Segoe UI" w:cs="Segoe UI"/>
                <w:sz w:val="22"/>
              </w:rPr>
              <w:t>$3,901</w:t>
            </w:r>
          </w:p>
        </w:tc>
        <w:tc>
          <w:tcPr>
            <w:tcW w:w="514" w:type="pct"/>
            <w:tcBorders>
              <w:top w:val="nil"/>
              <w:left w:val="nil"/>
              <w:bottom w:val="single" w:sz="8" w:space="0" w:color="auto"/>
              <w:right w:val="single" w:sz="8" w:space="0" w:color="auto"/>
            </w:tcBorders>
            <w:shd w:val="clear" w:color="auto" w:fill="auto"/>
            <w:noWrap/>
            <w:vAlign w:val="center"/>
            <w:hideMark/>
          </w:tcPr>
          <w:p w14:paraId="49444583" w14:textId="6A943434" w:rsidR="00211D89" w:rsidRPr="00A405F1" w:rsidRDefault="00211D89" w:rsidP="00211D89">
            <w:pPr>
              <w:keepNext/>
              <w:tabs>
                <w:tab w:val="left" w:pos="3744"/>
              </w:tabs>
              <w:spacing w:line="276" w:lineRule="auto"/>
              <w:jc w:val="right"/>
              <w:rPr>
                <w:rFonts w:ascii="Segoe UI" w:eastAsia="Segoe UI" w:hAnsi="Segoe UI" w:cs="Segoe UI"/>
                <w:sz w:val="22"/>
                <w:highlight w:val="yellow"/>
              </w:rPr>
            </w:pPr>
            <w:r w:rsidRPr="00211D5B">
              <w:rPr>
                <w:rFonts w:ascii="Segoe UI" w:hAnsi="Segoe UI" w:cs="Segoe UI"/>
                <w:sz w:val="22"/>
              </w:rPr>
              <w:t>$3,868</w:t>
            </w:r>
          </w:p>
        </w:tc>
        <w:tc>
          <w:tcPr>
            <w:tcW w:w="657" w:type="pct"/>
            <w:tcBorders>
              <w:top w:val="nil"/>
              <w:left w:val="nil"/>
              <w:bottom w:val="single" w:sz="8" w:space="0" w:color="auto"/>
              <w:right w:val="single" w:sz="8" w:space="0" w:color="auto"/>
            </w:tcBorders>
            <w:shd w:val="clear" w:color="auto" w:fill="auto"/>
            <w:noWrap/>
            <w:vAlign w:val="center"/>
            <w:hideMark/>
          </w:tcPr>
          <w:p w14:paraId="5B2B8C6D" w14:textId="52A39518" w:rsidR="00211D89" w:rsidRPr="00A405F1" w:rsidRDefault="00211D89" w:rsidP="00211D89">
            <w:pPr>
              <w:keepNext/>
              <w:tabs>
                <w:tab w:val="left" w:pos="3744"/>
              </w:tabs>
              <w:spacing w:line="276" w:lineRule="auto"/>
              <w:jc w:val="right"/>
              <w:rPr>
                <w:rFonts w:ascii="Segoe UI" w:eastAsia="Segoe UI" w:hAnsi="Segoe UI" w:cs="Segoe UI"/>
                <w:sz w:val="22"/>
                <w:highlight w:val="yellow"/>
              </w:rPr>
            </w:pPr>
            <w:r w:rsidRPr="00211D5B">
              <w:rPr>
                <w:rFonts w:ascii="Segoe UI" w:hAnsi="Segoe UI" w:cs="Segoe UI"/>
                <w:sz w:val="22"/>
              </w:rPr>
              <w:t>$3,873</w:t>
            </w:r>
          </w:p>
        </w:tc>
      </w:tr>
      <w:tr w:rsidR="00211D89" w:rsidRPr="00CF6436" w14:paraId="2728E59B" w14:textId="77777777" w:rsidTr="00C54800">
        <w:trPr>
          <w:cantSplit/>
          <w:trHeight w:val="302"/>
          <w:jc w:val="center"/>
        </w:trPr>
        <w:tc>
          <w:tcPr>
            <w:tcW w:w="2288" w:type="pct"/>
            <w:shd w:val="clear" w:color="auto" w:fill="D9D9D6"/>
            <w:vAlign w:val="center"/>
            <w:hideMark/>
          </w:tcPr>
          <w:p w14:paraId="7DC5053D" w14:textId="756D7180" w:rsidR="00211D89" w:rsidRPr="00C01468" w:rsidRDefault="00211D89" w:rsidP="00211D89">
            <w:pPr>
              <w:keepNext/>
              <w:tabs>
                <w:tab w:val="left" w:pos="3744"/>
              </w:tabs>
              <w:spacing w:line="276" w:lineRule="auto"/>
              <w:jc w:val="right"/>
              <w:rPr>
                <w:rFonts w:ascii="Segoe UI" w:eastAsia="Segoe UI" w:hAnsi="Segoe UI" w:cs="Segoe UI"/>
                <w:i/>
                <w:iCs/>
                <w:color w:val="000000" w:themeColor="text1"/>
                <w:sz w:val="22"/>
              </w:rPr>
            </w:pPr>
            <w:r w:rsidRPr="293D3C50">
              <w:rPr>
                <w:rFonts w:ascii="Segoe UI" w:eastAsia="Segoe UI" w:hAnsi="Segoe UI" w:cs="Segoe UI"/>
                <w:i/>
                <w:iCs/>
                <w:color w:val="000000" w:themeColor="text1"/>
                <w:sz w:val="22"/>
              </w:rPr>
              <w:t>EOY operating reserve Alternative 4</w:t>
            </w:r>
          </w:p>
        </w:tc>
        <w:tc>
          <w:tcPr>
            <w:tcW w:w="514" w:type="pct"/>
            <w:tcBorders>
              <w:top w:val="nil"/>
              <w:left w:val="nil"/>
              <w:bottom w:val="single" w:sz="8" w:space="0" w:color="auto"/>
              <w:right w:val="single" w:sz="8" w:space="0" w:color="auto"/>
            </w:tcBorders>
            <w:shd w:val="clear" w:color="auto" w:fill="D9D9D6"/>
            <w:noWrap/>
            <w:vAlign w:val="center"/>
            <w:hideMark/>
          </w:tcPr>
          <w:p w14:paraId="0A66E9C1" w14:textId="689B8A44" w:rsidR="00211D89" w:rsidRPr="00A405F1" w:rsidRDefault="00211D89" w:rsidP="00211D89">
            <w:pPr>
              <w:keepNext/>
              <w:tabs>
                <w:tab w:val="left" w:pos="3744"/>
              </w:tabs>
              <w:spacing w:line="276" w:lineRule="auto"/>
              <w:jc w:val="right"/>
              <w:rPr>
                <w:rFonts w:ascii="Segoe UI" w:eastAsia="Segoe UI" w:hAnsi="Segoe UI" w:cs="Segoe UI"/>
                <w:sz w:val="22"/>
                <w:highlight w:val="yellow"/>
              </w:rPr>
            </w:pPr>
            <w:r w:rsidRPr="00211D5B">
              <w:rPr>
                <w:rFonts w:ascii="Segoe UI" w:hAnsi="Segoe UI" w:cs="Segoe UI"/>
                <w:sz w:val="22"/>
              </w:rPr>
              <w:t>$485</w:t>
            </w:r>
          </w:p>
        </w:tc>
        <w:tc>
          <w:tcPr>
            <w:tcW w:w="514" w:type="pct"/>
            <w:tcBorders>
              <w:top w:val="nil"/>
              <w:left w:val="nil"/>
              <w:bottom w:val="single" w:sz="8" w:space="0" w:color="auto"/>
              <w:right w:val="single" w:sz="8" w:space="0" w:color="auto"/>
            </w:tcBorders>
            <w:shd w:val="clear" w:color="auto" w:fill="D9D9D6"/>
            <w:noWrap/>
            <w:vAlign w:val="center"/>
            <w:hideMark/>
          </w:tcPr>
          <w:p w14:paraId="29223681" w14:textId="0D752873" w:rsidR="00211D89" w:rsidRPr="00A405F1" w:rsidRDefault="00211D89" w:rsidP="00211D89">
            <w:pPr>
              <w:keepNext/>
              <w:tabs>
                <w:tab w:val="left" w:pos="3744"/>
              </w:tabs>
              <w:spacing w:line="276" w:lineRule="auto"/>
              <w:jc w:val="right"/>
              <w:rPr>
                <w:rFonts w:ascii="Segoe UI" w:eastAsia="Segoe UI" w:hAnsi="Segoe UI" w:cs="Segoe UI"/>
                <w:sz w:val="22"/>
                <w:highlight w:val="yellow"/>
              </w:rPr>
            </w:pPr>
            <w:r w:rsidRPr="00211D5B">
              <w:rPr>
                <w:rFonts w:ascii="Segoe UI" w:hAnsi="Segoe UI" w:cs="Segoe UI"/>
                <w:sz w:val="22"/>
              </w:rPr>
              <w:t>($733)</w:t>
            </w:r>
          </w:p>
        </w:tc>
        <w:tc>
          <w:tcPr>
            <w:tcW w:w="514" w:type="pct"/>
            <w:tcBorders>
              <w:top w:val="nil"/>
              <w:left w:val="nil"/>
              <w:bottom w:val="single" w:sz="8" w:space="0" w:color="auto"/>
              <w:right w:val="single" w:sz="8" w:space="0" w:color="auto"/>
            </w:tcBorders>
            <w:shd w:val="clear" w:color="auto" w:fill="D9D9D6"/>
            <w:noWrap/>
            <w:vAlign w:val="center"/>
            <w:hideMark/>
          </w:tcPr>
          <w:p w14:paraId="2091BED8" w14:textId="629D6951" w:rsidR="00211D89" w:rsidRPr="00A405F1" w:rsidRDefault="00211D89" w:rsidP="00211D89">
            <w:pPr>
              <w:keepNext/>
              <w:tabs>
                <w:tab w:val="left" w:pos="3744"/>
              </w:tabs>
              <w:spacing w:line="276" w:lineRule="auto"/>
              <w:jc w:val="right"/>
              <w:rPr>
                <w:rFonts w:ascii="Segoe UI" w:eastAsia="Segoe UI" w:hAnsi="Segoe UI" w:cs="Segoe UI"/>
                <w:sz w:val="22"/>
                <w:highlight w:val="yellow"/>
              </w:rPr>
            </w:pPr>
            <w:r w:rsidRPr="00211D5B">
              <w:rPr>
                <w:rFonts w:ascii="Segoe UI" w:hAnsi="Segoe UI" w:cs="Segoe UI"/>
                <w:sz w:val="22"/>
              </w:rPr>
              <w:t>($1,050)</w:t>
            </w:r>
          </w:p>
        </w:tc>
        <w:tc>
          <w:tcPr>
            <w:tcW w:w="514" w:type="pct"/>
            <w:tcBorders>
              <w:top w:val="nil"/>
              <w:left w:val="nil"/>
              <w:bottom w:val="single" w:sz="8" w:space="0" w:color="auto"/>
              <w:right w:val="single" w:sz="8" w:space="0" w:color="auto"/>
            </w:tcBorders>
            <w:shd w:val="clear" w:color="auto" w:fill="D9D9D6"/>
            <w:noWrap/>
            <w:vAlign w:val="center"/>
            <w:hideMark/>
          </w:tcPr>
          <w:p w14:paraId="12531EFE" w14:textId="4BDE2257" w:rsidR="00211D89" w:rsidRPr="00A405F1" w:rsidRDefault="00211D89" w:rsidP="00211D89">
            <w:pPr>
              <w:keepNext/>
              <w:tabs>
                <w:tab w:val="left" w:pos="3744"/>
              </w:tabs>
              <w:spacing w:line="276" w:lineRule="auto"/>
              <w:jc w:val="right"/>
              <w:rPr>
                <w:rFonts w:ascii="Segoe UI" w:eastAsia="Segoe UI" w:hAnsi="Segoe UI" w:cs="Segoe UI"/>
                <w:sz w:val="22"/>
                <w:highlight w:val="yellow"/>
              </w:rPr>
            </w:pPr>
            <w:r w:rsidRPr="00211D5B">
              <w:rPr>
                <w:rFonts w:ascii="Segoe UI" w:hAnsi="Segoe UI" w:cs="Segoe UI"/>
                <w:sz w:val="22"/>
              </w:rPr>
              <w:t>($1,563)</w:t>
            </w:r>
          </w:p>
        </w:tc>
        <w:tc>
          <w:tcPr>
            <w:tcW w:w="657" w:type="pct"/>
            <w:tcBorders>
              <w:top w:val="nil"/>
              <w:left w:val="nil"/>
              <w:bottom w:val="single" w:sz="8" w:space="0" w:color="auto"/>
              <w:right w:val="single" w:sz="8" w:space="0" w:color="auto"/>
            </w:tcBorders>
            <w:shd w:val="clear" w:color="auto" w:fill="D9D9D6"/>
            <w:noWrap/>
            <w:vAlign w:val="center"/>
            <w:hideMark/>
          </w:tcPr>
          <w:p w14:paraId="19D8A46F" w14:textId="23D83C3F" w:rsidR="00211D89" w:rsidRPr="00A405F1" w:rsidRDefault="00211D89" w:rsidP="00211D89">
            <w:pPr>
              <w:keepNext/>
              <w:tabs>
                <w:tab w:val="left" w:pos="3744"/>
              </w:tabs>
              <w:spacing w:line="276" w:lineRule="auto"/>
              <w:jc w:val="right"/>
              <w:rPr>
                <w:rFonts w:ascii="Segoe UI" w:eastAsia="Segoe UI" w:hAnsi="Segoe UI" w:cs="Segoe UI"/>
                <w:sz w:val="22"/>
                <w:highlight w:val="yellow"/>
              </w:rPr>
            </w:pPr>
            <w:r w:rsidRPr="00211D5B">
              <w:rPr>
                <w:rFonts w:ascii="Segoe UI" w:hAnsi="Segoe UI" w:cs="Segoe UI"/>
                <w:sz w:val="22"/>
              </w:rPr>
              <w:t>($2,239)</w:t>
            </w:r>
          </w:p>
        </w:tc>
      </w:tr>
    </w:tbl>
    <w:p w14:paraId="66FD3662" w14:textId="5690B17B" w:rsidR="00852BC0" w:rsidRPr="00CF6436" w:rsidRDefault="00852BC0" w:rsidP="00CF6436">
      <w:pPr>
        <w:tabs>
          <w:tab w:val="left" w:pos="3744"/>
        </w:tabs>
        <w:spacing w:line="360" w:lineRule="auto"/>
        <w:rPr>
          <w:rFonts w:ascii="Segoe UI" w:eastAsiaTheme="minorHAnsi" w:hAnsi="Segoe UI" w:cs="Segoe UI"/>
          <w:szCs w:val="24"/>
        </w:rPr>
      </w:pPr>
    </w:p>
    <w:p w14:paraId="1B1C4DF5" w14:textId="41987B95" w:rsidR="0086407D" w:rsidRPr="00CF6436" w:rsidRDefault="6FBC2424" w:rsidP="293D3C50">
      <w:pPr>
        <w:spacing w:line="360" w:lineRule="auto"/>
        <w:ind w:firstLine="450"/>
        <w:rPr>
          <w:rFonts w:ascii="Segoe UI" w:hAnsi="Segoe UI" w:cs="Segoe UI"/>
        </w:rPr>
      </w:pPr>
      <w:r w:rsidRPr="293D3C50">
        <w:rPr>
          <w:rFonts w:ascii="Segoe UI" w:hAnsi="Segoe UI" w:cs="Segoe UI"/>
        </w:rPr>
        <w:t>Over the five-year ti</w:t>
      </w:r>
      <w:r w:rsidR="7265CF5B" w:rsidRPr="293D3C50">
        <w:rPr>
          <w:rFonts w:ascii="Segoe UI" w:hAnsi="Segoe UI" w:cs="Segoe UI"/>
        </w:rPr>
        <w:t>me</w:t>
      </w:r>
      <w:r w:rsidR="4A192A65" w:rsidRPr="293D3C50">
        <w:rPr>
          <w:rFonts w:ascii="Segoe UI" w:hAnsi="Segoe UI" w:cs="Segoe UI"/>
        </w:rPr>
        <w:t xml:space="preserve"> </w:t>
      </w:r>
      <w:r w:rsidR="7265CF5B" w:rsidRPr="293D3C50">
        <w:rPr>
          <w:rFonts w:ascii="Segoe UI" w:hAnsi="Segoe UI" w:cs="Segoe UI"/>
        </w:rPr>
        <w:t>frame of this analysis (FY 202</w:t>
      </w:r>
      <w:r w:rsidR="1E4DC7DD" w:rsidRPr="293D3C50">
        <w:rPr>
          <w:rFonts w:ascii="Segoe UI" w:hAnsi="Segoe UI" w:cs="Segoe UI"/>
        </w:rPr>
        <w:t>5</w:t>
      </w:r>
      <w:r w:rsidR="107482EB" w:rsidRPr="293D3C50">
        <w:rPr>
          <w:rFonts w:ascii="Segoe UI" w:hAnsi="Segoe UI" w:cs="Segoe UI"/>
        </w:rPr>
        <w:t>-</w:t>
      </w:r>
      <w:r w:rsidRPr="293D3C50">
        <w:rPr>
          <w:rFonts w:ascii="Segoe UI" w:hAnsi="Segoe UI" w:cs="Segoe UI"/>
        </w:rPr>
        <w:t>FY 202</w:t>
      </w:r>
      <w:r w:rsidR="1E4DC7DD" w:rsidRPr="293D3C50">
        <w:rPr>
          <w:rFonts w:ascii="Segoe UI" w:hAnsi="Segoe UI" w:cs="Segoe UI"/>
        </w:rPr>
        <w:t>9</w:t>
      </w:r>
      <w:r w:rsidR="1C9823F2" w:rsidRPr="293D3C50">
        <w:rPr>
          <w:rFonts w:ascii="Segoe UI" w:hAnsi="Segoe UI" w:cs="Segoe UI"/>
        </w:rPr>
        <w:t xml:space="preserve">), </w:t>
      </w:r>
      <w:r w:rsidR="57FAD865" w:rsidRPr="293D3C50">
        <w:rPr>
          <w:rFonts w:ascii="Segoe UI" w:hAnsi="Segoe UI" w:cs="Segoe UI"/>
        </w:rPr>
        <w:t xml:space="preserve">the USPTO </w:t>
      </w:r>
      <w:r w:rsidRPr="293D3C50">
        <w:rPr>
          <w:rFonts w:ascii="Segoe UI" w:hAnsi="Segoe UI" w:cs="Segoe UI"/>
        </w:rPr>
        <w:t>project</w:t>
      </w:r>
      <w:r w:rsidR="06E44CAF" w:rsidRPr="293D3C50">
        <w:rPr>
          <w:rFonts w:ascii="Segoe UI" w:hAnsi="Segoe UI" w:cs="Segoe UI"/>
        </w:rPr>
        <w:t>s</w:t>
      </w:r>
      <w:r w:rsidRPr="293D3C50">
        <w:rPr>
          <w:rFonts w:ascii="Segoe UI" w:hAnsi="Segoe UI" w:cs="Segoe UI"/>
        </w:rPr>
        <w:t xml:space="preserve"> that Alternative</w:t>
      </w:r>
      <w:r w:rsidR="3D891AA9" w:rsidRPr="293D3C50">
        <w:rPr>
          <w:rFonts w:ascii="Segoe UI" w:hAnsi="Segoe UI" w:cs="Segoe UI"/>
        </w:rPr>
        <w:t>s</w:t>
      </w:r>
      <w:r w:rsidRPr="293D3C50">
        <w:rPr>
          <w:rFonts w:ascii="Segoe UI" w:hAnsi="Segoe UI" w:cs="Segoe UI"/>
        </w:rPr>
        <w:t xml:space="preserve"> </w:t>
      </w:r>
      <w:r w:rsidR="3D891AA9" w:rsidRPr="293D3C50">
        <w:rPr>
          <w:rFonts w:ascii="Segoe UI" w:hAnsi="Segoe UI" w:cs="Segoe UI"/>
        </w:rPr>
        <w:t xml:space="preserve">1, 2, and </w:t>
      </w:r>
      <w:r w:rsidRPr="293D3C50">
        <w:rPr>
          <w:rFonts w:ascii="Segoe UI" w:hAnsi="Segoe UI" w:cs="Segoe UI"/>
        </w:rPr>
        <w:t xml:space="preserve">3 would </w:t>
      </w:r>
      <w:r w:rsidR="2EFA25CE" w:rsidRPr="293D3C50">
        <w:rPr>
          <w:rFonts w:ascii="Segoe UI" w:hAnsi="Segoe UI" w:cs="Segoe UI"/>
        </w:rPr>
        <w:t>secure</w:t>
      </w:r>
      <w:r w:rsidRPr="293D3C50">
        <w:rPr>
          <w:rFonts w:ascii="Segoe UI" w:hAnsi="Segoe UI" w:cs="Segoe UI"/>
        </w:rPr>
        <w:t xml:space="preserve"> sufficient aggregate revenue</w:t>
      </w:r>
      <w:r w:rsidR="04EAF73A" w:rsidRPr="293D3C50">
        <w:rPr>
          <w:rFonts w:ascii="Segoe UI" w:hAnsi="Segoe UI" w:cs="Segoe UI"/>
        </w:rPr>
        <w:t xml:space="preserve"> to ensure financial sustainability and accommodate increases needed to improve the predictability and reliability of patent IP protection</w:t>
      </w:r>
      <w:r w:rsidRPr="293D3C50">
        <w:rPr>
          <w:rFonts w:ascii="Segoe UI" w:hAnsi="Segoe UI" w:cs="Segoe UI"/>
        </w:rPr>
        <w:t>.</w:t>
      </w:r>
      <w:r w:rsidR="1B256616" w:rsidRPr="293D3C50">
        <w:rPr>
          <w:rFonts w:ascii="Segoe UI" w:hAnsi="Segoe UI" w:cs="Segoe UI"/>
        </w:rPr>
        <w:t xml:space="preserve"> </w:t>
      </w:r>
      <w:r w:rsidR="4C1FFAF2" w:rsidRPr="293D3C50">
        <w:rPr>
          <w:rFonts w:ascii="Segoe UI" w:hAnsi="Segoe UI" w:cs="Segoe UI"/>
        </w:rPr>
        <w:t xml:space="preserve">Not only does the </w:t>
      </w:r>
      <w:r w:rsidRPr="293D3C50">
        <w:rPr>
          <w:rFonts w:ascii="Segoe UI" w:hAnsi="Segoe UI" w:cs="Segoe UI"/>
        </w:rPr>
        <w:t xml:space="preserve">Baseline </w:t>
      </w:r>
      <w:r w:rsidR="0D9D4651" w:rsidRPr="293D3C50">
        <w:rPr>
          <w:rFonts w:ascii="Segoe UI" w:hAnsi="Segoe UI" w:cs="Segoe UI"/>
        </w:rPr>
        <w:t>fail to</w:t>
      </w:r>
      <w:r w:rsidRPr="293D3C50">
        <w:rPr>
          <w:rFonts w:ascii="Segoe UI" w:hAnsi="Segoe UI" w:cs="Segoe UI"/>
        </w:rPr>
        <w:t xml:space="preserve"> generate </w:t>
      </w:r>
      <w:r w:rsidR="064C6BD2" w:rsidRPr="293D3C50">
        <w:rPr>
          <w:rFonts w:ascii="Segoe UI" w:hAnsi="Segoe UI" w:cs="Segoe UI"/>
        </w:rPr>
        <w:t xml:space="preserve">sufficient </w:t>
      </w:r>
      <w:r w:rsidRPr="293D3C50">
        <w:rPr>
          <w:rFonts w:ascii="Segoe UI" w:hAnsi="Segoe UI" w:cs="Segoe UI"/>
        </w:rPr>
        <w:t xml:space="preserve">revenue to achieve the </w:t>
      </w:r>
      <w:r w:rsidR="04EAF73A" w:rsidRPr="293D3C50">
        <w:rPr>
          <w:rFonts w:ascii="Segoe UI" w:hAnsi="Segoe UI" w:cs="Segoe UI"/>
        </w:rPr>
        <w:t>optimal</w:t>
      </w:r>
      <w:r w:rsidR="441F1939" w:rsidRPr="293D3C50">
        <w:rPr>
          <w:rFonts w:ascii="Segoe UI" w:hAnsi="Segoe UI" w:cs="Segoe UI"/>
        </w:rPr>
        <w:t xml:space="preserve"> patent operating reserve during the five</w:t>
      </w:r>
      <w:r w:rsidR="107482EB" w:rsidRPr="293D3C50">
        <w:rPr>
          <w:rFonts w:ascii="Segoe UI" w:hAnsi="Segoe UI" w:cs="Segoe UI"/>
        </w:rPr>
        <w:t>-</w:t>
      </w:r>
      <w:r w:rsidR="441F1939" w:rsidRPr="293D3C50">
        <w:rPr>
          <w:rFonts w:ascii="Segoe UI" w:hAnsi="Segoe UI" w:cs="Segoe UI"/>
        </w:rPr>
        <w:t>year horizon,</w:t>
      </w:r>
      <w:r w:rsidR="09FC14BC" w:rsidRPr="293D3C50">
        <w:rPr>
          <w:rFonts w:ascii="Segoe UI" w:hAnsi="Segoe UI" w:cs="Segoe UI"/>
        </w:rPr>
        <w:t xml:space="preserve"> but </w:t>
      </w:r>
      <w:r w:rsidR="54E010B2" w:rsidRPr="293D3C50">
        <w:rPr>
          <w:rFonts w:ascii="Segoe UI" w:hAnsi="Segoe UI" w:cs="Segoe UI"/>
        </w:rPr>
        <w:t xml:space="preserve">absent reductions in spending that would impair </w:t>
      </w:r>
      <w:r w:rsidR="54E010B2" w:rsidRPr="293D3C50">
        <w:rPr>
          <w:rFonts w:ascii="Segoe UI" w:hAnsi="Segoe UI" w:cs="Segoe UI"/>
        </w:rPr>
        <w:lastRenderedPageBreak/>
        <w:t xml:space="preserve">agency performance, </w:t>
      </w:r>
      <w:r w:rsidR="09FC14BC" w:rsidRPr="293D3C50">
        <w:rPr>
          <w:rFonts w:ascii="Segoe UI" w:hAnsi="Segoe UI" w:cs="Segoe UI"/>
        </w:rPr>
        <w:t xml:space="preserve">the operating reserve </w:t>
      </w:r>
      <w:r w:rsidR="064C6BD2" w:rsidRPr="293D3C50">
        <w:rPr>
          <w:rFonts w:ascii="Segoe UI" w:hAnsi="Segoe UI" w:cs="Segoe UI"/>
        </w:rPr>
        <w:t xml:space="preserve">would incur a negative </w:t>
      </w:r>
      <w:r w:rsidR="09FC14BC" w:rsidRPr="293D3C50">
        <w:rPr>
          <w:rFonts w:ascii="Segoe UI" w:hAnsi="Segoe UI" w:cs="Segoe UI"/>
        </w:rPr>
        <w:t xml:space="preserve">balance beginning in </w:t>
      </w:r>
      <w:r w:rsidR="09FC14BC" w:rsidRPr="0090669F">
        <w:rPr>
          <w:rFonts w:ascii="Segoe UI" w:hAnsi="Segoe UI" w:cs="Segoe UI"/>
        </w:rPr>
        <w:t xml:space="preserve">FY </w:t>
      </w:r>
      <w:r w:rsidR="0090669F" w:rsidRPr="000F20DC">
        <w:rPr>
          <w:rFonts w:ascii="Segoe UI" w:hAnsi="Segoe UI" w:cs="Segoe UI"/>
        </w:rPr>
        <w:t>202</w:t>
      </w:r>
      <w:r w:rsidR="00781577">
        <w:rPr>
          <w:rFonts w:ascii="Segoe UI" w:hAnsi="Segoe UI" w:cs="Segoe UI"/>
        </w:rPr>
        <w:t>6</w:t>
      </w:r>
      <w:r w:rsidR="0A7207BF" w:rsidRPr="293D3C50">
        <w:rPr>
          <w:rFonts w:ascii="Segoe UI" w:hAnsi="Segoe UI" w:cs="Segoe UI"/>
        </w:rPr>
        <w:t>.</w:t>
      </w:r>
      <w:r w:rsidR="1B256616" w:rsidRPr="293D3C50">
        <w:rPr>
          <w:rFonts w:ascii="Segoe UI" w:hAnsi="Segoe UI" w:cs="Segoe UI"/>
        </w:rPr>
        <w:t xml:space="preserve"> </w:t>
      </w:r>
      <w:r w:rsidR="3D891AA9" w:rsidRPr="293D3C50">
        <w:rPr>
          <w:rFonts w:ascii="Segoe UI" w:hAnsi="Segoe UI" w:cs="Segoe UI"/>
        </w:rPr>
        <w:t>Section 4</w:t>
      </w:r>
      <w:r w:rsidRPr="293D3C50">
        <w:rPr>
          <w:rFonts w:ascii="Segoe UI" w:hAnsi="Segoe UI" w:cs="Segoe UI"/>
        </w:rPr>
        <w:t xml:space="preserve"> provides detailed discussions of each alternative.</w:t>
      </w:r>
    </w:p>
    <w:p w14:paraId="27E76940" w14:textId="77777777" w:rsidR="00CE3AB3" w:rsidRPr="00CF6436" w:rsidRDefault="00CE3AB3" w:rsidP="00CF6436">
      <w:pPr>
        <w:tabs>
          <w:tab w:val="left" w:pos="3744"/>
        </w:tabs>
        <w:spacing w:line="360" w:lineRule="auto"/>
        <w:rPr>
          <w:rFonts w:ascii="Segoe UI" w:eastAsiaTheme="minorHAnsi" w:hAnsi="Segoe UI" w:cs="Segoe UI"/>
          <w:szCs w:val="24"/>
        </w:rPr>
      </w:pPr>
      <w:bookmarkStart w:id="103" w:name="_Toc450669493"/>
      <w:bookmarkEnd w:id="103"/>
    </w:p>
    <w:p w14:paraId="73BD8D65" w14:textId="70C1E852" w:rsidR="0027478B" w:rsidRPr="00CF6436" w:rsidRDefault="72220193" w:rsidP="00CF6436">
      <w:pPr>
        <w:pStyle w:val="Heading2Number"/>
        <w:spacing w:line="360" w:lineRule="auto"/>
        <w:rPr>
          <w:rFonts w:ascii="Segoe UI" w:hAnsi="Segoe UI" w:cs="Segoe UI"/>
        </w:rPr>
      </w:pPr>
      <w:bookmarkStart w:id="104" w:name="_Toc451951716"/>
      <w:bookmarkStart w:id="105" w:name="_Toc175640427"/>
      <w:r w:rsidRPr="293D3C50">
        <w:rPr>
          <w:rFonts w:ascii="Segoe UI" w:hAnsi="Segoe UI" w:cs="Segoe UI"/>
        </w:rPr>
        <w:t xml:space="preserve">Overview of the Qualitative Costs and Benefits </w:t>
      </w:r>
      <w:r w:rsidR="0AB37FFA" w:rsidRPr="293D3C50">
        <w:rPr>
          <w:rFonts w:ascii="Segoe UI" w:hAnsi="Segoe UI" w:cs="Segoe UI"/>
        </w:rPr>
        <w:t>A</w:t>
      </w:r>
      <w:r w:rsidRPr="293D3C50">
        <w:rPr>
          <w:rFonts w:ascii="Segoe UI" w:hAnsi="Segoe UI" w:cs="Segoe UI"/>
        </w:rPr>
        <w:t>cross Alternatives</w:t>
      </w:r>
      <w:bookmarkEnd w:id="104"/>
      <w:bookmarkEnd w:id="105"/>
    </w:p>
    <w:p w14:paraId="49E65107" w14:textId="16A1156F" w:rsidR="00874FF3" w:rsidRPr="00CF6436" w:rsidRDefault="72B0E8E7" w:rsidP="293D3C50">
      <w:pPr>
        <w:spacing w:line="360" w:lineRule="auto"/>
        <w:ind w:firstLine="450"/>
        <w:rPr>
          <w:rFonts w:ascii="Segoe UI" w:hAnsi="Segoe UI" w:cs="Segoe UI"/>
        </w:rPr>
      </w:pPr>
      <w:r w:rsidRPr="293D3C50">
        <w:rPr>
          <w:rFonts w:ascii="Segoe UI" w:hAnsi="Segoe UI" w:cs="Segoe UI"/>
        </w:rPr>
        <w:t>A high-level overview of the qualitative costs and benefits</w:t>
      </w:r>
      <w:r w:rsidR="74A37B66" w:rsidRPr="293D3C50">
        <w:rPr>
          <w:rFonts w:ascii="Segoe UI" w:hAnsi="Segoe UI" w:cs="Segoe UI"/>
        </w:rPr>
        <w:t xml:space="preserve"> assessed in this RIA</w:t>
      </w:r>
      <w:r w:rsidRPr="293D3C50">
        <w:rPr>
          <w:rFonts w:ascii="Segoe UI" w:hAnsi="Segoe UI" w:cs="Segoe UI"/>
        </w:rPr>
        <w:t xml:space="preserve"> is presented below.</w:t>
      </w:r>
      <w:r w:rsidR="138178D1" w:rsidRPr="293D3C50">
        <w:rPr>
          <w:rFonts w:ascii="Segoe UI" w:hAnsi="Segoe UI" w:cs="Segoe UI"/>
        </w:rPr>
        <w:t xml:space="preserve"> </w:t>
      </w:r>
      <w:r w:rsidRPr="293D3C50">
        <w:rPr>
          <w:rFonts w:ascii="Segoe UI" w:hAnsi="Segoe UI" w:cs="Segoe UI"/>
        </w:rPr>
        <w:t xml:space="preserve">Section </w:t>
      </w:r>
      <w:r w:rsidR="0292EDA1" w:rsidRPr="293D3C50">
        <w:rPr>
          <w:rFonts w:ascii="Segoe UI" w:hAnsi="Segoe UI" w:cs="Segoe UI"/>
        </w:rPr>
        <w:t>4</w:t>
      </w:r>
      <w:r w:rsidRPr="293D3C50">
        <w:rPr>
          <w:rFonts w:ascii="Segoe UI" w:hAnsi="Segoe UI" w:cs="Segoe UI"/>
        </w:rPr>
        <w:t xml:space="preserve"> presents a more thorough </w:t>
      </w:r>
      <w:r w:rsidR="0292EDA1" w:rsidRPr="293D3C50">
        <w:rPr>
          <w:rFonts w:ascii="Segoe UI" w:hAnsi="Segoe UI" w:cs="Segoe UI"/>
        </w:rPr>
        <w:t>description of each alternative</w:t>
      </w:r>
      <w:r w:rsidRPr="293D3C50">
        <w:rPr>
          <w:rFonts w:ascii="Segoe UI" w:hAnsi="Segoe UI" w:cs="Segoe UI"/>
        </w:rPr>
        <w:t xml:space="preserve"> </w:t>
      </w:r>
      <w:r w:rsidR="0292EDA1" w:rsidRPr="293D3C50">
        <w:rPr>
          <w:rFonts w:ascii="Segoe UI" w:hAnsi="Segoe UI" w:cs="Segoe UI"/>
        </w:rPr>
        <w:t>and</w:t>
      </w:r>
      <w:r w:rsidRPr="293D3C50">
        <w:rPr>
          <w:rFonts w:ascii="Segoe UI" w:hAnsi="Segoe UI" w:cs="Segoe UI"/>
        </w:rPr>
        <w:t xml:space="preserve"> assess</w:t>
      </w:r>
      <w:r w:rsidR="0063D3D6" w:rsidRPr="293D3C50">
        <w:rPr>
          <w:rFonts w:ascii="Segoe UI" w:hAnsi="Segoe UI" w:cs="Segoe UI"/>
        </w:rPr>
        <w:t>es</w:t>
      </w:r>
      <w:r w:rsidR="0292EDA1" w:rsidRPr="293D3C50">
        <w:rPr>
          <w:rFonts w:ascii="Segoe UI" w:hAnsi="Segoe UI" w:cs="Segoe UI"/>
        </w:rPr>
        <w:t xml:space="preserve"> relative</w:t>
      </w:r>
      <w:r w:rsidRPr="293D3C50">
        <w:rPr>
          <w:rFonts w:ascii="Segoe UI" w:hAnsi="Segoe UI" w:cs="Segoe UI"/>
        </w:rPr>
        <w:t xml:space="preserve"> costs and benefits.</w:t>
      </w:r>
      <w:r w:rsidR="138178D1" w:rsidRPr="293D3C50">
        <w:rPr>
          <w:rFonts w:ascii="Segoe UI" w:hAnsi="Segoe UI" w:cs="Segoe UI"/>
        </w:rPr>
        <w:t xml:space="preserve"> </w:t>
      </w:r>
      <w:r w:rsidR="064C6BD2" w:rsidRPr="293D3C50">
        <w:rPr>
          <w:rFonts w:ascii="Segoe UI" w:hAnsi="Segoe UI" w:cs="Segoe UI"/>
        </w:rPr>
        <w:t xml:space="preserve">Table 3-3 contains a </w:t>
      </w:r>
      <w:r w:rsidR="0292EDA1" w:rsidRPr="293D3C50">
        <w:rPr>
          <w:rFonts w:ascii="Segoe UI" w:hAnsi="Segoe UI" w:cs="Segoe UI"/>
        </w:rPr>
        <w:t xml:space="preserve">summary of </w:t>
      </w:r>
      <w:r w:rsidRPr="293D3C50">
        <w:rPr>
          <w:rFonts w:ascii="Segoe UI" w:hAnsi="Segoe UI" w:cs="Segoe UI"/>
        </w:rPr>
        <w:t>identified qualitative costs and</w:t>
      </w:r>
      <w:r w:rsidR="0292EDA1" w:rsidRPr="293D3C50">
        <w:rPr>
          <w:rFonts w:ascii="Segoe UI" w:hAnsi="Segoe UI" w:cs="Segoe UI"/>
        </w:rPr>
        <w:t xml:space="preserve"> benefits for each alternative.</w:t>
      </w:r>
    </w:p>
    <w:p w14:paraId="23BF64C4" w14:textId="03196319" w:rsidR="00CE3AB3" w:rsidRPr="00CF6436" w:rsidRDefault="5F2C5E2B" w:rsidP="17CECF10">
      <w:pPr>
        <w:keepNext/>
        <w:spacing w:after="240" w:line="360" w:lineRule="auto"/>
        <w:jc w:val="center"/>
        <w:rPr>
          <w:rFonts w:ascii="Segoe UI" w:hAnsi="Segoe UI" w:cs="Segoe UI"/>
          <w:b/>
          <w:bCs/>
          <w:szCs w:val="24"/>
        </w:rPr>
      </w:pPr>
      <w:r w:rsidRPr="17CECF10">
        <w:rPr>
          <w:rFonts w:ascii="Segoe UI" w:hAnsi="Segoe UI" w:cs="Segoe UI"/>
          <w:b/>
          <w:bCs/>
          <w:szCs w:val="24"/>
        </w:rPr>
        <w:lastRenderedPageBreak/>
        <w:t xml:space="preserve">Table </w:t>
      </w:r>
      <w:r w:rsidR="5C221131" w:rsidRPr="17CECF10">
        <w:rPr>
          <w:rFonts w:ascii="Segoe UI" w:hAnsi="Segoe UI" w:cs="Segoe UI"/>
          <w:b/>
          <w:bCs/>
          <w:szCs w:val="24"/>
        </w:rPr>
        <w:t>3</w:t>
      </w:r>
      <w:r w:rsidR="3EA1F685" w:rsidRPr="17CECF10">
        <w:rPr>
          <w:rFonts w:ascii="Segoe UI" w:hAnsi="Segoe UI" w:cs="Segoe UI"/>
          <w:b/>
          <w:bCs/>
          <w:szCs w:val="24"/>
        </w:rPr>
        <w:t>-</w:t>
      </w:r>
      <w:r w:rsidR="03DCE4A3" w:rsidRPr="17CECF10">
        <w:rPr>
          <w:rFonts w:ascii="Segoe UI" w:hAnsi="Segoe UI" w:cs="Segoe UI"/>
          <w:b/>
          <w:bCs/>
          <w:szCs w:val="24"/>
        </w:rPr>
        <w:t>3</w:t>
      </w:r>
    </w:p>
    <w:tbl>
      <w:tblPr>
        <w:tblStyle w:val="TableGrid61"/>
        <w:tblW w:w="5000" w:type="pct"/>
        <w:jc w:val="center"/>
        <w:tblLayout w:type="fixed"/>
        <w:tblLook w:val="04A0" w:firstRow="1" w:lastRow="0" w:firstColumn="1" w:lastColumn="0" w:noHBand="0" w:noVBand="1"/>
        <w:tblCaption w:val="Costs, Benefits, and Transfers"/>
      </w:tblPr>
      <w:tblGrid>
        <w:gridCol w:w="2127"/>
        <w:gridCol w:w="1668"/>
        <w:gridCol w:w="93"/>
        <w:gridCol w:w="1576"/>
        <w:gridCol w:w="186"/>
        <w:gridCol w:w="1576"/>
        <w:gridCol w:w="1668"/>
      </w:tblGrid>
      <w:tr w:rsidR="003E13D1" w:rsidRPr="00C01468" w14:paraId="4B349A16" w14:textId="77777777" w:rsidTr="17CECF10">
        <w:trPr>
          <w:cantSplit/>
          <w:trHeight w:val="518"/>
          <w:tblHeader/>
          <w:jc w:val="center"/>
        </w:trPr>
        <w:tc>
          <w:tcPr>
            <w:tcW w:w="8904"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DF5E62" w14:textId="77777777" w:rsidR="003E13D1" w:rsidRPr="00C01468" w:rsidRDefault="003E13D1" w:rsidP="00C01468">
            <w:pPr>
              <w:keepNext/>
              <w:spacing w:line="276" w:lineRule="auto"/>
              <w:jc w:val="center"/>
              <w:rPr>
                <w:rFonts w:ascii="Segoe UI" w:eastAsiaTheme="minorHAnsi" w:hAnsi="Segoe UI" w:cs="Segoe UI"/>
                <w:b/>
                <w:sz w:val="22"/>
              </w:rPr>
            </w:pPr>
            <w:r w:rsidRPr="00C01468">
              <w:rPr>
                <w:rFonts w:ascii="Segoe UI" w:eastAsiaTheme="minorHAnsi" w:hAnsi="Segoe UI" w:cs="Segoe UI"/>
                <w:b/>
                <w:sz w:val="22"/>
              </w:rPr>
              <w:t>Costs, Benefits, and Transfers</w:t>
            </w:r>
          </w:p>
        </w:tc>
      </w:tr>
      <w:tr w:rsidR="00F81E90" w:rsidRPr="00C01468" w14:paraId="55082712" w14:textId="77777777" w:rsidTr="17CECF10">
        <w:trPr>
          <w:cantSplit/>
          <w:trHeight w:val="990"/>
          <w:tblHeader/>
          <w:jc w:val="center"/>
        </w:trPr>
        <w:tc>
          <w:tcPr>
            <w:tcW w:w="2129" w:type="dxa"/>
            <w:tcBorders>
              <w:top w:val="single" w:sz="8" w:space="0" w:color="000000" w:themeColor="text1"/>
            </w:tcBorders>
            <w:vAlign w:val="center"/>
          </w:tcPr>
          <w:p w14:paraId="7E869FF6" w14:textId="77777777" w:rsidR="00F81E90" w:rsidRPr="00C01468" w:rsidRDefault="00F81E90" w:rsidP="17CECF10">
            <w:pPr>
              <w:keepNext/>
              <w:spacing w:line="240" w:lineRule="auto"/>
              <w:rPr>
                <w:rFonts w:ascii="Segoe UI" w:hAnsi="Segoe UI" w:cs="Segoe UI"/>
                <w:b/>
                <w:bCs/>
                <w:sz w:val="22"/>
              </w:rPr>
            </w:pPr>
          </w:p>
        </w:tc>
        <w:tc>
          <w:tcPr>
            <w:tcW w:w="1670" w:type="dxa"/>
            <w:tcBorders>
              <w:top w:val="single" w:sz="8" w:space="0" w:color="000000" w:themeColor="text1"/>
            </w:tcBorders>
            <w:vAlign w:val="center"/>
          </w:tcPr>
          <w:p w14:paraId="381A98F3" w14:textId="77777777" w:rsidR="00F81E90" w:rsidRPr="00F81E90" w:rsidRDefault="00F81E90" w:rsidP="00F81E90">
            <w:pPr>
              <w:keepNext/>
              <w:spacing w:line="240" w:lineRule="auto"/>
              <w:jc w:val="center"/>
              <w:rPr>
                <w:rFonts w:ascii="Segoe UI" w:eastAsiaTheme="minorHAnsi" w:hAnsi="Segoe UI" w:cs="Segoe UI"/>
                <w:b/>
                <w:sz w:val="22"/>
              </w:rPr>
            </w:pPr>
            <w:r w:rsidRPr="00F81E90">
              <w:rPr>
                <w:rFonts w:ascii="Segoe UI" w:eastAsiaTheme="minorHAnsi" w:hAnsi="Segoe UI" w:cs="Segoe UI"/>
                <w:b/>
                <w:sz w:val="22"/>
              </w:rPr>
              <w:t>Alternative 4</w:t>
            </w:r>
          </w:p>
          <w:p w14:paraId="0DB3A405" w14:textId="6F6A8076" w:rsidR="00F81E90" w:rsidRPr="00C01468" w:rsidRDefault="00F81E90" w:rsidP="00C5760B">
            <w:pPr>
              <w:keepNext/>
              <w:spacing w:line="240" w:lineRule="auto"/>
              <w:jc w:val="center"/>
              <w:rPr>
                <w:rFonts w:ascii="Segoe UI" w:eastAsiaTheme="minorHAnsi" w:hAnsi="Segoe UI" w:cs="Segoe UI"/>
                <w:b/>
                <w:sz w:val="22"/>
              </w:rPr>
            </w:pPr>
            <w:r w:rsidRPr="00F81E90">
              <w:rPr>
                <w:rFonts w:ascii="Segoe UI" w:eastAsiaTheme="minorHAnsi" w:hAnsi="Segoe UI" w:cs="Segoe UI"/>
                <w:b/>
                <w:sz w:val="22"/>
              </w:rPr>
              <w:t>Baseline</w:t>
            </w:r>
          </w:p>
        </w:tc>
        <w:tc>
          <w:tcPr>
            <w:tcW w:w="1671" w:type="dxa"/>
            <w:gridSpan w:val="2"/>
            <w:tcBorders>
              <w:top w:val="single" w:sz="8" w:space="0" w:color="000000" w:themeColor="text1"/>
            </w:tcBorders>
            <w:vAlign w:val="center"/>
          </w:tcPr>
          <w:p w14:paraId="67AA11F1" w14:textId="77777777" w:rsidR="00F81E90" w:rsidRPr="00F81E90" w:rsidRDefault="00F81E90" w:rsidP="00F81E90">
            <w:pPr>
              <w:keepNext/>
              <w:spacing w:line="240" w:lineRule="auto"/>
              <w:jc w:val="center"/>
              <w:rPr>
                <w:rFonts w:ascii="Segoe UI" w:eastAsiaTheme="minorHAnsi" w:hAnsi="Segoe UI" w:cs="Segoe UI"/>
                <w:b/>
                <w:sz w:val="22"/>
              </w:rPr>
            </w:pPr>
            <w:r w:rsidRPr="00F81E90">
              <w:rPr>
                <w:rFonts w:ascii="Segoe UI" w:eastAsiaTheme="minorHAnsi" w:hAnsi="Segoe UI" w:cs="Segoe UI"/>
                <w:b/>
                <w:sz w:val="22"/>
              </w:rPr>
              <w:t>Alternative 1</w:t>
            </w:r>
          </w:p>
          <w:p w14:paraId="027F3374" w14:textId="77777777" w:rsidR="00F81E90" w:rsidRPr="00F81E90" w:rsidRDefault="00F81E90" w:rsidP="00F81E90">
            <w:pPr>
              <w:keepNext/>
              <w:spacing w:line="240" w:lineRule="auto"/>
              <w:jc w:val="center"/>
              <w:rPr>
                <w:rFonts w:ascii="Segoe UI" w:eastAsiaTheme="minorHAnsi" w:hAnsi="Segoe UI" w:cs="Segoe UI"/>
                <w:b/>
                <w:sz w:val="22"/>
              </w:rPr>
            </w:pPr>
            <w:r w:rsidRPr="00F81E90">
              <w:rPr>
                <w:rFonts w:ascii="Segoe UI" w:eastAsiaTheme="minorHAnsi" w:hAnsi="Segoe UI" w:cs="Segoe UI"/>
                <w:b/>
                <w:sz w:val="22"/>
              </w:rPr>
              <w:t xml:space="preserve">Final Patent </w:t>
            </w:r>
          </w:p>
          <w:p w14:paraId="3FA80CD6" w14:textId="64E5A801" w:rsidR="00F81E90" w:rsidRDefault="00F81E90" w:rsidP="00C5760B">
            <w:pPr>
              <w:keepNext/>
              <w:spacing w:line="240" w:lineRule="auto"/>
              <w:jc w:val="center"/>
              <w:rPr>
                <w:rFonts w:ascii="Segoe UI" w:eastAsiaTheme="minorHAnsi" w:hAnsi="Segoe UI" w:cs="Segoe UI"/>
                <w:b/>
                <w:sz w:val="22"/>
              </w:rPr>
            </w:pPr>
            <w:r w:rsidRPr="00F81E90">
              <w:rPr>
                <w:rFonts w:ascii="Segoe UI" w:eastAsiaTheme="minorHAnsi" w:hAnsi="Segoe UI" w:cs="Segoe UI"/>
                <w:b/>
                <w:sz w:val="22"/>
              </w:rPr>
              <w:t>Fee Schedule</w:t>
            </w:r>
          </w:p>
        </w:tc>
        <w:tc>
          <w:tcPr>
            <w:tcW w:w="1764" w:type="dxa"/>
            <w:gridSpan w:val="2"/>
            <w:tcBorders>
              <w:top w:val="single" w:sz="8" w:space="0" w:color="000000" w:themeColor="text1"/>
            </w:tcBorders>
            <w:vAlign w:val="center"/>
          </w:tcPr>
          <w:p w14:paraId="2656BCA1" w14:textId="77777777" w:rsidR="00F81E90" w:rsidRPr="00F81E90" w:rsidRDefault="00F81E90" w:rsidP="00F81E90">
            <w:pPr>
              <w:keepNext/>
              <w:spacing w:line="240" w:lineRule="auto"/>
              <w:jc w:val="center"/>
              <w:rPr>
                <w:rFonts w:ascii="Segoe UI" w:eastAsiaTheme="minorHAnsi" w:hAnsi="Segoe UI" w:cs="Segoe UI"/>
                <w:b/>
                <w:sz w:val="22"/>
              </w:rPr>
            </w:pPr>
            <w:r w:rsidRPr="00F81E90">
              <w:rPr>
                <w:rFonts w:ascii="Segoe UI" w:eastAsiaTheme="minorHAnsi" w:hAnsi="Segoe UI" w:cs="Segoe UI"/>
                <w:b/>
                <w:sz w:val="22"/>
              </w:rPr>
              <w:t>Alternative 2</w:t>
            </w:r>
          </w:p>
          <w:p w14:paraId="2D015059" w14:textId="688F21AF" w:rsidR="00F81E90" w:rsidRPr="00C01468" w:rsidRDefault="00F81E90" w:rsidP="00C5760B">
            <w:pPr>
              <w:keepNext/>
              <w:spacing w:line="240" w:lineRule="auto"/>
              <w:jc w:val="center"/>
              <w:rPr>
                <w:rFonts w:ascii="Segoe UI" w:eastAsiaTheme="minorHAnsi" w:hAnsi="Segoe UI" w:cs="Segoe UI"/>
                <w:b/>
                <w:sz w:val="22"/>
              </w:rPr>
            </w:pPr>
            <w:r w:rsidRPr="00F81E90">
              <w:rPr>
                <w:rFonts w:ascii="Segoe UI" w:eastAsiaTheme="minorHAnsi" w:hAnsi="Segoe UI" w:cs="Segoe UI"/>
                <w:b/>
                <w:sz w:val="22"/>
              </w:rPr>
              <w:t>Unit Cost Recovery</w:t>
            </w:r>
          </w:p>
        </w:tc>
        <w:tc>
          <w:tcPr>
            <w:tcW w:w="1670" w:type="dxa"/>
            <w:tcBorders>
              <w:top w:val="single" w:sz="8" w:space="0" w:color="000000" w:themeColor="text1"/>
            </w:tcBorders>
            <w:shd w:val="clear" w:color="auto" w:fill="auto"/>
            <w:vAlign w:val="center"/>
          </w:tcPr>
          <w:p w14:paraId="4CE7D105" w14:textId="77777777" w:rsidR="00F81E90" w:rsidRPr="00F81E90" w:rsidRDefault="00F81E90" w:rsidP="00F81E90">
            <w:pPr>
              <w:keepNext/>
              <w:spacing w:line="240" w:lineRule="auto"/>
              <w:jc w:val="center"/>
              <w:rPr>
                <w:rFonts w:ascii="Segoe UI" w:eastAsiaTheme="minorHAnsi" w:hAnsi="Segoe UI" w:cs="Segoe UI"/>
                <w:b/>
                <w:sz w:val="22"/>
              </w:rPr>
            </w:pPr>
            <w:r w:rsidRPr="00F81E90">
              <w:rPr>
                <w:rFonts w:ascii="Segoe UI" w:eastAsiaTheme="minorHAnsi" w:hAnsi="Segoe UI" w:cs="Segoe UI"/>
                <w:b/>
                <w:sz w:val="22"/>
              </w:rPr>
              <w:t>Alternative 3</w:t>
            </w:r>
          </w:p>
          <w:p w14:paraId="267441AC" w14:textId="744A79D7" w:rsidR="00F81E90" w:rsidRPr="00C01468" w:rsidRDefault="00F81E90" w:rsidP="00C5760B">
            <w:pPr>
              <w:keepNext/>
              <w:spacing w:line="240" w:lineRule="auto"/>
              <w:jc w:val="center"/>
              <w:rPr>
                <w:rFonts w:ascii="Segoe UI" w:eastAsiaTheme="minorHAnsi" w:hAnsi="Segoe UI" w:cs="Segoe UI"/>
                <w:b/>
                <w:sz w:val="22"/>
              </w:rPr>
            </w:pPr>
            <w:r w:rsidRPr="00F81E90">
              <w:rPr>
                <w:rFonts w:ascii="Segoe UI" w:eastAsiaTheme="minorHAnsi" w:hAnsi="Segoe UI" w:cs="Segoe UI"/>
                <w:b/>
                <w:sz w:val="22"/>
              </w:rPr>
              <w:t>Across-the-Board Adjustment</w:t>
            </w:r>
          </w:p>
        </w:tc>
      </w:tr>
      <w:tr w:rsidR="003E13D1" w:rsidRPr="00C01468" w14:paraId="345E2A41" w14:textId="77777777" w:rsidTr="17CECF10">
        <w:trPr>
          <w:cantSplit/>
          <w:trHeight w:val="417"/>
          <w:tblHeader/>
          <w:jc w:val="center"/>
        </w:trPr>
        <w:tc>
          <w:tcPr>
            <w:tcW w:w="8904" w:type="dxa"/>
            <w:gridSpan w:val="7"/>
            <w:tcBorders>
              <w:top w:val="nil"/>
            </w:tcBorders>
            <w:vAlign w:val="center"/>
          </w:tcPr>
          <w:p w14:paraId="0F00FFB3" w14:textId="77777777" w:rsidR="003E13D1" w:rsidRPr="00C01468" w:rsidRDefault="003E13D1" w:rsidP="00C01468">
            <w:pPr>
              <w:keepNext/>
              <w:spacing w:line="276" w:lineRule="auto"/>
              <w:rPr>
                <w:rFonts w:ascii="Segoe UI" w:hAnsi="Segoe UI" w:cs="Segoe UI"/>
                <w:b/>
                <w:sz w:val="22"/>
              </w:rPr>
            </w:pPr>
            <w:r w:rsidRPr="00C01468">
              <w:rPr>
                <w:rFonts w:ascii="Segoe UI" w:hAnsi="Segoe UI" w:cs="Segoe UI"/>
                <w:b/>
                <w:sz w:val="22"/>
              </w:rPr>
              <w:t>Costs:</w:t>
            </w:r>
          </w:p>
        </w:tc>
      </w:tr>
      <w:tr w:rsidR="0070491A" w:rsidRPr="00C01468" w14:paraId="75926763" w14:textId="77777777" w:rsidTr="17CECF10">
        <w:trPr>
          <w:cantSplit/>
          <w:trHeight w:val="990"/>
          <w:tblHeader/>
          <w:jc w:val="center"/>
        </w:trPr>
        <w:tc>
          <w:tcPr>
            <w:tcW w:w="2129" w:type="dxa"/>
            <w:tcBorders>
              <w:top w:val="nil"/>
              <w:right w:val="single" w:sz="2" w:space="0" w:color="000000" w:themeColor="text1"/>
            </w:tcBorders>
            <w:vAlign w:val="center"/>
          </w:tcPr>
          <w:p w14:paraId="1B87CA3F" w14:textId="59312C03" w:rsidR="0070491A" w:rsidRPr="00C01468" w:rsidRDefault="07113879" w:rsidP="00C01468">
            <w:pPr>
              <w:keepNext/>
              <w:spacing w:line="276" w:lineRule="auto"/>
              <w:rPr>
                <w:rFonts w:ascii="Segoe UI" w:hAnsi="Segoe UI" w:cs="Segoe UI"/>
                <w:b/>
                <w:bCs/>
                <w:sz w:val="22"/>
              </w:rPr>
            </w:pPr>
            <w:r w:rsidRPr="00C01468">
              <w:rPr>
                <w:rFonts w:ascii="Segoe UI" w:hAnsi="Segoe UI" w:cs="Segoe UI"/>
                <w:b/>
                <w:bCs/>
                <w:sz w:val="22"/>
              </w:rPr>
              <w:t xml:space="preserve">Secure </w:t>
            </w:r>
            <w:r w:rsidR="7E43636C" w:rsidRPr="00C01468">
              <w:rPr>
                <w:rFonts w:ascii="Segoe UI" w:hAnsi="Segoe UI" w:cs="Segoe UI"/>
                <w:b/>
                <w:bCs/>
                <w:sz w:val="22"/>
              </w:rPr>
              <w:t>a</w:t>
            </w:r>
            <w:r w:rsidRPr="00C01468">
              <w:rPr>
                <w:rFonts w:ascii="Segoe UI" w:hAnsi="Segoe UI" w:cs="Segoe UI"/>
                <w:b/>
                <w:bCs/>
                <w:sz w:val="22"/>
              </w:rPr>
              <w:t xml:space="preserve">ggregate </w:t>
            </w:r>
            <w:r w:rsidR="56417535" w:rsidRPr="00C01468">
              <w:rPr>
                <w:rFonts w:ascii="Segoe UI" w:hAnsi="Segoe UI" w:cs="Segoe UI"/>
                <w:b/>
                <w:bCs/>
                <w:sz w:val="22"/>
              </w:rPr>
              <w:t>r</w:t>
            </w:r>
            <w:r w:rsidRPr="00C01468">
              <w:rPr>
                <w:rFonts w:ascii="Segoe UI" w:hAnsi="Segoe UI" w:cs="Segoe UI"/>
                <w:b/>
                <w:bCs/>
                <w:sz w:val="22"/>
              </w:rPr>
              <w:t xml:space="preserve">evenue to </w:t>
            </w:r>
            <w:r w:rsidR="44AE82FB" w:rsidRPr="00C01468">
              <w:rPr>
                <w:rFonts w:ascii="Segoe UI" w:hAnsi="Segoe UI" w:cs="Segoe UI"/>
                <w:b/>
                <w:bCs/>
                <w:sz w:val="22"/>
              </w:rPr>
              <w:t>r</w:t>
            </w:r>
            <w:r w:rsidRPr="00C01468">
              <w:rPr>
                <w:rFonts w:ascii="Segoe UI" w:hAnsi="Segoe UI" w:cs="Segoe UI"/>
                <w:b/>
                <w:bCs/>
                <w:sz w:val="22"/>
              </w:rPr>
              <w:t xml:space="preserve">ecover </w:t>
            </w:r>
            <w:r w:rsidR="2D7F96B2" w:rsidRPr="00C01468">
              <w:rPr>
                <w:rFonts w:ascii="Segoe UI" w:hAnsi="Segoe UI" w:cs="Segoe UI"/>
                <w:b/>
                <w:bCs/>
                <w:sz w:val="22"/>
              </w:rPr>
              <w:t>a</w:t>
            </w:r>
            <w:r w:rsidRPr="00C01468">
              <w:rPr>
                <w:rFonts w:ascii="Segoe UI" w:hAnsi="Segoe UI" w:cs="Segoe UI"/>
                <w:b/>
                <w:bCs/>
                <w:sz w:val="22"/>
              </w:rPr>
              <w:t xml:space="preserve">ggregate </w:t>
            </w:r>
            <w:r w:rsidR="6F0ACCE3" w:rsidRPr="00C01468">
              <w:rPr>
                <w:rFonts w:ascii="Segoe UI" w:hAnsi="Segoe UI" w:cs="Segoe UI"/>
                <w:b/>
                <w:bCs/>
                <w:sz w:val="22"/>
              </w:rPr>
              <w:t>c</w:t>
            </w:r>
            <w:r w:rsidRPr="00C01468">
              <w:rPr>
                <w:rFonts w:ascii="Segoe UI" w:hAnsi="Segoe UI" w:cs="Segoe UI"/>
                <w:b/>
                <w:bCs/>
                <w:sz w:val="22"/>
              </w:rPr>
              <w:t>ost</w:t>
            </w:r>
            <w:r w:rsidR="5B973C88" w:rsidRPr="00C01468">
              <w:rPr>
                <w:rFonts w:ascii="Segoe UI" w:hAnsi="Segoe UI" w:cs="Segoe UI"/>
                <w:b/>
                <w:bCs/>
                <w:sz w:val="22"/>
              </w:rPr>
              <w:t>s</w:t>
            </w:r>
          </w:p>
        </w:tc>
        <w:tc>
          <w:tcPr>
            <w:tcW w:w="1763" w:type="dxa"/>
            <w:gridSpan w:val="2"/>
            <w:tcBorders>
              <w:top w:val="nil"/>
              <w:left w:val="single" w:sz="2" w:space="0" w:color="000000" w:themeColor="text1"/>
              <w:bottom w:val="single" w:sz="2" w:space="0" w:color="000000" w:themeColor="text1"/>
              <w:right w:val="single" w:sz="2" w:space="0" w:color="000000" w:themeColor="text1"/>
            </w:tcBorders>
            <w:vAlign w:val="center"/>
          </w:tcPr>
          <w:p w14:paraId="43668311" w14:textId="77777777" w:rsidR="0070491A" w:rsidRPr="00C01468" w:rsidRDefault="0070491A" w:rsidP="00C01468">
            <w:pPr>
              <w:keepNext/>
              <w:spacing w:line="276" w:lineRule="auto"/>
              <w:jc w:val="center"/>
              <w:rPr>
                <w:rFonts w:ascii="Segoe UI" w:hAnsi="Segoe UI" w:cs="Segoe UI"/>
                <w:b/>
                <w:sz w:val="22"/>
              </w:rPr>
            </w:pPr>
            <w:r w:rsidRPr="00C01468">
              <w:rPr>
                <w:rFonts w:ascii="Segoe UI" w:hAnsi="Segoe UI" w:cs="Segoe UI"/>
                <w:sz w:val="22"/>
              </w:rPr>
              <w:t>Significant</w:t>
            </w:r>
          </w:p>
        </w:tc>
        <w:tc>
          <w:tcPr>
            <w:tcW w:w="1764" w:type="dxa"/>
            <w:gridSpan w:val="2"/>
            <w:tcBorders>
              <w:top w:val="nil"/>
              <w:left w:val="single" w:sz="2" w:space="0" w:color="000000" w:themeColor="text1"/>
            </w:tcBorders>
            <w:vAlign w:val="center"/>
          </w:tcPr>
          <w:p w14:paraId="4EBEF526" w14:textId="77777777" w:rsidR="0070491A" w:rsidRPr="00C01468" w:rsidRDefault="7C3B6D1F" w:rsidP="293D3C50">
            <w:pPr>
              <w:keepNext/>
              <w:spacing w:line="276" w:lineRule="auto"/>
              <w:jc w:val="center"/>
              <w:rPr>
                <w:rFonts w:ascii="Segoe UI" w:hAnsi="Segoe UI" w:cs="Segoe UI"/>
                <w:b/>
                <w:bCs/>
                <w:sz w:val="22"/>
              </w:rPr>
            </w:pPr>
            <w:r w:rsidRPr="293D3C50">
              <w:rPr>
                <w:rFonts w:ascii="Segoe UI" w:hAnsi="Segoe UI" w:cs="Segoe UI"/>
                <w:sz w:val="22"/>
              </w:rPr>
              <w:t>See benefits</w:t>
            </w:r>
          </w:p>
        </w:tc>
        <w:tc>
          <w:tcPr>
            <w:tcW w:w="1578" w:type="dxa"/>
            <w:tcBorders>
              <w:top w:val="nil"/>
            </w:tcBorders>
            <w:vAlign w:val="center"/>
          </w:tcPr>
          <w:p w14:paraId="0ECF81B5" w14:textId="0694A09F" w:rsidR="0070491A" w:rsidRPr="00C01468" w:rsidRDefault="7C3B6D1F" w:rsidP="293D3C50">
            <w:pPr>
              <w:keepNext/>
              <w:spacing w:line="276" w:lineRule="auto"/>
              <w:jc w:val="center"/>
              <w:rPr>
                <w:rFonts w:ascii="Segoe UI" w:hAnsi="Segoe UI" w:cs="Segoe UI"/>
                <w:b/>
                <w:bCs/>
                <w:sz w:val="22"/>
              </w:rPr>
            </w:pPr>
            <w:r w:rsidRPr="293D3C50">
              <w:rPr>
                <w:rFonts w:ascii="Segoe UI" w:hAnsi="Segoe UI" w:cs="Segoe UI"/>
                <w:sz w:val="22"/>
              </w:rPr>
              <w:t>See benefits</w:t>
            </w:r>
          </w:p>
        </w:tc>
        <w:tc>
          <w:tcPr>
            <w:tcW w:w="1670" w:type="dxa"/>
            <w:tcBorders>
              <w:top w:val="nil"/>
            </w:tcBorders>
            <w:vAlign w:val="center"/>
          </w:tcPr>
          <w:p w14:paraId="49AFBA7F" w14:textId="2AB1E441" w:rsidR="0070491A" w:rsidRPr="00C01468" w:rsidRDefault="7C3B6D1F" w:rsidP="293D3C50">
            <w:pPr>
              <w:keepNext/>
              <w:spacing w:line="276" w:lineRule="auto"/>
              <w:jc w:val="center"/>
              <w:rPr>
                <w:rFonts w:ascii="Segoe UI" w:hAnsi="Segoe UI" w:cs="Segoe UI"/>
                <w:sz w:val="22"/>
              </w:rPr>
            </w:pPr>
            <w:r w:rsidRPr="293D3C50">
              <w:rPr>
                <w:rFonts w:ascii="Segoe UI" w:hAnsi="Segoe UI" w:cs="Segoe UI"/>
                <w:sz w:val="22"/>
              </w:rPr>
              <w:t>See benefits</w:t>
            </w:r>
          </w:p>
        </w:tc>
      </w:tr>
      <w:tr w:rsidR="0070491A" w:rsidRPr="00C01468" w14:paraId="65E11072" w14:textId="77777777" w:rsidTr="17CECF10">
        <w:trPr>
          <w:cantSplit/>
          <w:trHeight w:val="148"/>
          <w:jc w:val="center"/>
        </w:trPr>
        <w:tc>
          <w:tcPr>
            <w:tcW w:w="2129" w:type="dxa"/>
            <w:tcBorders>
              <w:right w:val="single" w:sz="2" w:space="0" w:color="000000" w:themeColor="text1"/>
            </w:tcBorders>
          </w:tcPr>
          <w:p w14:paraId="0C952539" w14:textId="4BA52A52" w:rsidR="0070491A" w:rsidRPr="00C01468" w:rsidRDefault="07113879" w:rsidP="00C01468">
            <w:pPr>
              <w:keepNext/>
              <w:spacing w:line="276" w:lineRule="auto"/>
              <w:rPr>
                <w:rFonts w:ascii="Segoe UI" w:hAnsi="Segoe UI" w:cs="Segoe UI"/>
                <w:b/>
                <w:bCs/>
                <w:sz w:val="22"/>
              </w:rPr>
            </w:pPr>
            <w:r w:rsidRPr="00C01468">
              <w:rPr>
                <w:rFonts w:ascii="Segoe UI" w:hAnsi="Segoe UI" w:cs="Segoe UI"/>
                <w:b/>
                <w:bCs/>
                <w:sz w:val="22"/>
              </w:rPr>
              <w:t xml:space="preserve">Fee </w:t>
            </w:r>
            <w:r w:rsidR="6C2EC6AF" w:rsidRPr="00C01468">
              <w:rPr>
                <w:rFonts w:ascii="Segoe UI" w:hAnsi="Segoe UI" w:cs="Segoe UI"/>
                <w:b/>
                <w:bCs/>
                <w:sz w:val="22"/>
              </w:rPr>
              <w:t>s</w:t>
            </w:r>
            <w:r w:rsidRPr="00C01468">
              <w:rPr>
                <w:rFonts w:ascii="Segoe UI" w:hAnsi="Segoe UI" w:cs="Segoe UI"/>
                <w:b/>
                <w:bCs/>
                <w:sz w:val="22"/>
              </w:rPr>
              <w:t xml:space="preserve">chedule </w:t>
            </w:r>
            <w:r w:rsidR="7C8042CB" w:rsidRPr="00C01468">
              <w:rPr>
                <w:rFonts w:ascii="Segoe UI" w:hAnsi="Segoe UI" w:cs="Segoe UI"/>
                <w:b/>
                <w:bCs/>
                <w:sz w:val="22"/>
              </w:rPr>
              <w:t>d</w:t>
            </w:r>
            <w:r w:rsidRPr="00C01468">
              <w:rPr>
                <w:rFonts w:ascii="Segoe UI" w:hAnsi="Segoe UI" w:cs="Segoe UI"/>
                <w:b/>
                <w:bCs/>
                <w:sz w:val="22"/>
              </w:rPr>
              <w:t>esign</w:t>
            </w:r>
          </w:p>
        </w:tc>
        <w:tc>
          <w:tcPr>
            <w:tcW w:w="176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0C1B0AE" w14:textId="77777777" w:rsidR="0070491A" w:rsidRPr="00C01468" w:rsidRDefault="0070491A" w:rsidP="00C01468">
            <w:pPr>
              <w:keepNext/>
              <w:spacing w:line="276" w:lineRule="auto"/>
              <w:jc w:val="center"/>
              <w:rPr>
                <w:rFonts w:ascii="Segoe UI" w:hAnsi="Segoe UI" w:cs="Segoe UI"/>
                <w:sz w:val="22"/>
              </w:rPr>
            </w:pPr>
            <w:r w:rsidRPr="00C01468">
              <w:rPr>
                <w:rFonts w:ascii="Segoe UI" w:hAnsi="Segoe UI" w:cs="Segoe UI"/>
                <w:sz w:val="22"/>
              </w:rPr>
              <w:t>Neutral</w:t>
            </w:r>
          </w:p>
        </w:tc>
        <w:tc>
          <w:tcPr>
            <w:tcW w:w="1764" w:type="dxa"/>
            <w:gridSpan w:val="2"/>
            <w:tcBorders>
              <w:left w:val="single" w:sz="2" w:space="0" w:color="000000" w:themeColor="text1"/>
            </w:tcBorders>
            <w:vAlign w:val="center"/>
          </w:tcPr>
          <w:p w14:paraId="31A3ED29" w14:textId="77777777" w:rsidR="0070491A" w:rsidRPr="004162D3" w:rsidRDefault="7C3B6D1F" w:rsidP="293D3C50">
            <w:pPr>
              <w:keepNext/>
              <w:spacing w:line="276" w:lineRule="auto"/>
              <w:jc w:val="center"/>
              <w:rPr>
                <w:rFonts w:ascii="Segoe UI" w:hAnsi="Segoe UI" w:cs="Segoe UI"/>
                <w:sz w:val="22"/>
              </w:rPr>
            </w:pPr>
            <w:r w:rsidRPr="293D3C50">
              <w:rPr>
                <w:rFonts w:ascii="Segoe UI" w:hAnsi="Segoe UI" w:cs="Segoe UI"/>
                <w:sz w:val="22"/>
              </w:rPr>
              <w:t>See benefits</w:t>
            </w:r>
          </w:p>
        </w:tc>
        <w:tc>
          <w:tcPr>
            <w:tcW w:w="1578" w:type="dxa"/>
            <w:vAlign w:val="center"/>
          </w:tcPr>
          <w:p w14:paraId="78CE1196" w14:textId="77777777" w:rsidR="0070491A" w:rsidRPr="00C01468" w:rsidRDefault="0070491A" w:rsidP="00C01468">
            <w:pPr>
              <w:keepNext/>
              <w:spacing w:line="276" w:lineRule="auto"/>
              <w:jc w:val="center"/>
              <w:rPr>
                <w:rFonts w:ascii="Segoe UI" w:hAnsi="Segoe UI" w:cs="Segoe UI"/>
                <w:sz w:val="22"/>
              </w:rPr>
            </w:pPr>
            <w:r w:rsidRPr="00C01468">
              <w:rPr>
                <w:rFonts w:ascii="Segoe UI" w:hAnsi="Segoe UI" w:cs="Segoe UI"/>
                <w:sz w:val="22"/>
              </w:rPr>
              <w:t>Significant</w:t>
            </w:r>
          </w:p>
        </w:tc>
        <w:tc>
          <w:tcPr>
            <w:tcW w:w="1670" w:type="dxa"/>
            <w:vAlign w:val="center"/>
          </w:tcPr>
          <w:p w14:paraId="1485A394" w14:textId="77777777" w:rsidR="0070491A" w:rsidRPr="00C31FF4" w:rsidRDefault="0070491A" w:rsidP="00C01468">
            <w:pPr>
              <w:keepNext/>
              <w:spacing w:line="276" w:lineRule="auto"/>
              <w:jc w:val="center"/>
              <w:rPr>
                <w:rFonts w:ascii="Segoe UI" w:hAnsi="Segoe UI" w:cs="Segoe UI"/>
                <w:sz w:val="22"/>
              </w:rPr>
            </w:pPr>
            <w:r w:rsidRPr="00C01468">
              <w:rPr>
                <w:rFonts w:ascii="Segoe UI" w:hAnsi="Segoe UI" w:cs="Segoe UI"/>
                <w:sz w:val="22"/>
              </w:rPr>
              <w:t>Neutral</w:t>
            </w:r>
          </w:p>
        </w:tc>
      </w:tr>
      <w:tr w:rsidR="0070491A" w:rsidRPr="00C01468" w14:paraId="05BB2E8A" w14:textId="77777777" w:rsidTr="17CECF10">
        <w:trPr>
          <w:cantSplit/>
          <w:trHeight w:val="148"/>
          <w:jc w:val="center"/>
        </w:trPr>
        <w:tc>
          <w:tcPr>
            <w:tcW w:w="2129" w:type="dxa"/>
            <w:tcBorders>
              <w:right w:val="single" w:sz="2" w:space="0" w:color="000000" w:themeColor="text1"/>
            </w:tcBorders>
            <w:vAlign w:val="center"/>
          </w:tcPr>
          <w:p w14:paraId="0640E1A6" w14:textId="03CCC980" w:rsidR="0070491A" w:rsidRPr="00C01468" w:rsidRDefault="07113879" w:rsidP="00C01468">
            <w:pPr>
              <w:keepNext/>
              <w:spacing w:line="276" w:lineRule="auto"/>
              <w:rPr>
                <w:rFonts w:ascii="Segoe UI" w:hAnsi="Segoe UI" w:cs="Segoe UI"/>
                <w:b/>
                <w:bCs/>
                <w:sz w:val="22"/>
              </w:rPr>
            </w:pPr>
            <w:r w:rsidRPr="00C01468">
              <w:rPr>
                <w:rFonts w:ascii="Segoe UI" w:hAnsi="Segoe UI" w:cs="Segoe UI"/>
                <w:b/>
                <w:bCs/>
                <w:sz w:val="22"/>
              </w:rPr>
              <w:t xml:space="preserve">Overall </w:t>
            </w:r>
            <w:r w:rsidR="002DB1B2" w:rsidRPr="00C01468">
              <w:rPr>
                <w:rFonts w:ascii="Segoe UI" w:hAnsi="Segoe UI" w:cs="Segoe UI"/>
                <w:b/>
                <w:bCs/>
                <w:sz w:val="22"/>
              </w:rPr>
              <w:t>c</w:t>
            </w:r>
            <w:r w:rsidRPr="00C01468">
              <w:rPr>
                <w:rFonts w:ascii="Segoe UI" w:hAnsi="Segoe UI" w:cs="Segoe UI"/>
                <w:b/>
                <w:bCs/>
                <w:sz w:val="22"/>
              </w:rPr>
              <w:t>osts</w:t>
            </w:r>
          </w:p>
        </w:tc>
        <w:tc>
          <w:tcPr>
            <w:tcW w:w="176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21D56EE" w14:textId="77777777" w:rsidR="0070491A" w:rsidRPr="00C01468" w:rsidRDefault="0070491A" w:rsidP="00C01468">
            <w:pPr>
              <w:keepNext/>
              <w:spacing w:line="276" w:lineRule="auto"/>
              <w:jc w:val="center"/>
              <w:rPr>
                <w:rFonts w:ascii="Segoe UI" w:hAnsi="Segoe UI" w:cs="Segoe UI"/>
                <w:b/>
                <w:sz w:val="22"/>
              </w:rPr>
            </w:pPr>
            <w:r w:rsidRPr="00C01468">
              <w:rPr>
                <w:rFonts w:ascii="Segoe UI" w:hAnsi="Segoe UI" w:cs="Segoe UI"/>
                <w:b/>
                <w:sz w:val="22"/>
              </w:rPr>
              <w:t>Moderate</w:t>
            </w:r>
          </w:p>
        </w:tc>
        <w:tc>
          <w:tcPr>
            <w:tcW w:w="1764" w:type="dxa"/>
            <w:gridSpan w:val="2"/>
            <w:tcBorders>
              <w:left w:val="single" w:sz="2" w:space="0" w:color="000000" w:themeColor="text1"/>
            </w:tcBorders>
            <w:vAlign w:val="center"/>
          </w:tcPr>
          <w:p w14:paraId="3A9C8FB9" w14:textId="77777777" w:rsidR="0070491A" w:rsidRPr="00C01468" w:rsidRDefault="0070491A" w:rsidP="00C01468">
            <w:pPr>
              <w:keepNext/>
              <w:spacing w:line="276" w:lineRule="auto"/>
              <w:jc w:val="center"/>
              <w:rPr>
                <w:rFonts w:ascii="Segoe UI" w:hAnsi="Segoe UI" w:cs="Segoe UI"/>
                <w:b/>
                <w:sz w:val="22"/>
              </w:rPr>
            </w:pPr>
            <w:r w:rsidRPr="00C01468">
              <w:rPr>
                <w:rFonts w:ascii="Segoe UI" w:hAnsi="Segoe UI" w:cs="Segoe UI"/>
                <w:b/>
                <w:sz w:val="22"/>
              </w:rPr>
              <w:t>Neutral</w:t>
            </w:r>
          </w:p>
        </w:tc>
        <w:tc>
          <w:tcPr>
            <w:tcW w:w="1578" w:type="dxa"/>
            <w:vAlign w:val="center"/>
          </w:tcPr>
          <w:p w14:paraId="23428CF2" w14:textId="77777777" w:rsidR="0070491A" w:rsidRPr="00C01468" w:rsidRDefault="0070491A" w:rsidP="00C01468">
            <w:pPr>
              <w:keepNext/>
              <w:spacing w:line="276" w:lineRule="auto"/>
              <w:jc w:val="center"/>
              <w:rPr>
                <w:rFonts w:ascii="Segoe UI" w:hAnsi="Segoe UI" w:cs="Segoe UI"/>
                <w:b/>
                <w:sz w:val="22"/>
              </w:rPr>
            </w:pPr>
            <w:r w:rsidRPr="00C01468">
              <w:rPr>
                <w:rFonts w:ascii="Segoe UI" w:hAnsi="Segoe UI" w:cs="Segoe UI"/>
                <w:b/>
                <w:sz w:val="22"/>
              </w:rPr>
              <w:t>Significant</w:t>
            </w:r>
          </w:p>
        </w:tc>
        <w:tc>
          <w:tcPr>
            <w:tcW w:w="1670" w:type="dxa"/>
            <w:vAlign w:val="center"/>
          </w:tcPr>
          <w:p w14:paraId="4B25D723" w14:textId="77777777" w:rsidR="0070491A" w:rsidRPr="00C01468" w:rsidRDefault="0070491A" w:rsidP="00C01468">
            <w:pPr>
              <w:keepNext/>
              <w:spacing w:line="276" w:lineRule="auto"/>
              <w:jc w:val="center"/>
              <w:rPr>
                <w:rFonts w:ascii="Segoe UI" w:hAnsi="Segoe UI" w:cs="Segoe UI"/>
                <w:b/>
                <w:sz w:val="22"/>
              </w:rPr>
            </w:pPr>
            <w:r w:rsidRPr="00C01468">
              <w:rPr>
                <w:rFonts w:ascii="Segoe UI" w:hAnsi="Segoe UI" w:cs="Segoe UI"/>
                <w:b/>
                <w:sz w:val="22"/>
              </w:rPr>
              <w:t>Neutral</w:t>
            </w:r>
          </w:p>
        </w:tc>
      </w:tr>
      <w:tr w:rsidR="0070491A" w:rsidRPr="00C01468" w14:paraId="6B6426B0" w14:textId="77777777" w:rsidTr="17CECF10">
        <w:trPr>
          <w:cantSplit/>
          <w:trHeight w:val="518"/>
          <w:jc w:val="center"/>
        </w:trPr>
        <w:tc>
          <w:tcPr>
            <w:tcW w:w="8904" w:type="dxa"/>
            <w:gridSpan w:val="7"/>
            <w:vAlign w:val="center"/>
          </w:tcPr>
          <w:p w14:paraId="78F508EB" w14:textId="77777777" w:rsidR="0070491A" w:rsidRPr="00C01468" w:rsidRDefault="0070491A" w:rsidP="00C01468">
            <w:pPr>
              <w:keepNext/>
              <w:spacing w:line="276" w:lineRule="auto"/>
              <w:rPr>
                <w:rFonts w:ascii="Segoe UI" w:hAnsi="Segoe UI" w:cs="Segoe UI"/>
                <w:b/>
                <w:sz w:val="22"/>
              </w:rPr>
            </w:pPr>
            <w:r w:rsidRPr="00C01468">
              <w:rPr>
                <w:rFonts w:ascii="Segoe UI" w:hAnsi="Segoe UI" w:cs="Segoe UI"/>
                <w:b/>
                <w:sz w:val="22"/>
              </w:rPr>
              <w:t>Benefits:</w:t>
            </w:r>
          </w:p>
        </w:tc>
      </w:tr>
      <w:tr w:rsidR="0070491A" w:rsidRPr="00C01468" w14:paraId="4353F38D" w14:textId="77777777" w:rsidTr="17CECF10">
        <w:trPr>
          <w:cantSplit/>
          <w:trHeight w:val="518"/>
          <w:jc w:val="center"/>
        </w:trPr>
        <w:tc>
          <w:tcPr>
            <w:tcW w:w="2129" w:type="dxa"/>
            <w:vAlign w:val="center"/>
          </w:tcPr>
          <w:p w14:paraId="7C2D2FEF" w14:textId="63ECF7DE" w:rsidR="0070491A" w:rsidRPr="00C01468" w:rsidRDefault="07113879" w:rsidP="00C01468">
            <w:pPr>
              <w:keepNext/>
              <w:spacing w:line="276" w:lineRule="auto"/>
              <w:rPr>
                <w:rFonts w:ascii="Segoe UI" w:hAnsi="Segoe UI" w:cs="Segoe UI"/>
                <w:b/>
                <w:bCs/>
                <w:sz w:val="22"/>
              </w:rPr>
            </w:pPr>
            <w:r w:rsidRPr="00C01468">
              <w:rPr>
                <w:rFonts w:ascii="Segoe UI" w:hAnsi="Segoe UI" w:cs="Segoe UI"/>
                <w:b/>
                <w:bCs/>
                <w:sz w:val="22"/>
              </w:rPr>
              <w:t xml:space="preserve">Secure </w:t>
            </w:r>
            <w:r w:rsidR="1B2C0D85" w:rsidRPr="00C01468">
              <w:rPr>
                <w:rFonts w:ascii="Segoe UI" w:hAnsi="Segoe UI" w:cs="Segoe UI"/>
                <w:b/>
                <w:bCs/>
                <w:sz w:val="22"/>
              </w:rPr>
              <w:t>a</w:t>
            </w:r>
            <w:r w:rsidRPr="00C01468">
              <w:rPr>
                <w:rFonts w:ascii="Segoe UI" w:hAnsi="Segoe UI" w:cs="Segoe UI"/>
                <w:b/>
                <w:bCs/>
                <w:sz w:val="22"/>
              </w:rPr>
              <w:t xml:space="preserve">ggregate </w:t>
            </w:r>
            <w:r w:rsidR="0B8C1344" w:rsidRPr="00C01468">
              <w:rPr>
                <w:rFonts w:ascii="Segoe UI" w:hAnsi="Segoe UI" w:cs="Segoe UI"/>
                <w:b/>
                <w:bCs/>
                <w:sz w:val="22"/>
              </w:rPr>
              <w:t>r</w:t>
            </w:r>
            <w:r w:rsidRPr="00C01468">
              <w:rPr>
                <w:rFonts w:ascii="Segoe UI" w:hAnsi="Segoe UI" w:cs="Segoe UI"/>
                <w:b/>
                <w:bCs/>
                <w:sz w:val="22"/>
              </w:rPr>
              <w:t xml:space="preserve">evenue to </w:t>
            </w:r>
            <w:r w:rsidR="479845A3" w:rsidRPr="00C01468">
              <w:rPr>
                <w:rFonts w:ascii="Segoe UI" w:hAnsi="Segoe UI" w:cs="Segoe UI"/>
                <w:b/>
                <w:bCs/>
                <w:sz w:val="22"/>
              </w:rPr>
              <w:t>r</w:t>
            </w:r>
            <w:r w:rsidRPr="00C01468">
              <w:rPr>
                <w:rFonts w:ascii="Segoe UI" w:hAnsi="Segoe UI" w:cs="Segoe UI"/>
                <w:b/>
                <w:bCs/>
                <w:sz w:val="22"/>
              </w:rPr>
              <w:t xml:space="preserve">ecover </w:t>
            </w:r>
            <w:r w:rsidR="3E90967D" w:rsidRPr="00C01468">
              <w:rPr>
                <w:rFonts w:ascii="Segoe UI" w:hAnsi="Segoe UI" w:cs="Segoe UI"/>
                <w:b/>
                <w:bCs/>
                <w:sz w:val="22"/>
              </w:rPr>
              <w:t>a</w:t>
            </w:r>
            <w:r w:rsidRPr="00C01468">
              <w:rPr>
                <w:rFonts w:ascii="Segoe UI" w:hAnsi="Segoe UI" w:cs="Segoe UI"/>
                <w:b/>
                <w:bCs/>
                <w:sz w:val="22"/>
              </w:rPr>
              <w:t xml:space="preserve">ggregate </w:t>
            </w:r>
            <w:r w:rsidR="27046592" w:rsidRPr="00C01468">
              <w:rPr>
                <w:rFonts w:ascii="Segoe UI" w:hAnsi="Segoe UI" w:cs="Segoe UI"/>
                <w:b/>
                <w:bCs/>
                <w:sz w:val="22"/>
              </w:rPr>
              <w:t>c</w:t>
            </w:r>
            <w:r w:rsidRPr="00C01468">
              <w:rPr>
                <w:rFonts w:ascii="Segoe UI" w:hAnsi="Segoe UI" w:cs="Segoe UI"/>
                <w:b/>
                <w:bCs/>
                <w:sz w:val="22"/>
              </w:rPr>
              <w:t>ost</w:t>
            </w:r>
            <w:r w:rsidR="5B973C88" w:rsidRPr="00C01468">
              <w:rPr>
                <w:rFonts w:ascii="Segoe UI" w:hAnsi="Segoe UI" w:cs="Segoe UI"/>
                <w:b/>
                <w:bCs/>
                <w:sz w:val="22"/>
              </w:rPr>
              <w:t>s</w:t>
            </w:r>
          </w:p>
        </w:tc>
        <w:tc>
          <w:tcPr>
            <w:tcW w:w="1763" w:type="dxa"/>
            <w:gridSpan w:val="2"/>
            <w:vAlign w:val="center"/>
          </w:tcPr>
          <w:p w14:paraId="6C94E9B8" w14:textId="77777777" w:rsidR="0070491A" w:rsidRPr="00024323" w:rsidRDefault="7C3B6D1F" w:rsidP="293D3C50">
            <w:pPr>
              <w:keepNext/>
              <w:spacing w:line="276" w:lineRule="auto"/>
              <w:jc w:val="center"/>
              <w:rPr>
                <w:rFonts w:ascii="Segoe UI" w:hAnsi="Segoe UI" w:cs="Segoe UI"/>
                <w:sz w:val="22"/>
              </w:rPr>
            </w:pPr>
            <w:r w:rsidRPr="293D3C50">
              <w:rPr>
                <w:rFonts w:ascii="Segoe UI" w:hAnsi="Segoe UI" w:cs="Segoe UI"/>
                <w:sz w:val="22"/>
              </w:rPr>
              <w:t>See costs</w:t>
            </w:r>
          </w:p>
        </w:tc>
        <w:tc>
          <w:tcPr>
            <w:tcW w:w="1764" w:type="dxa"/>
            <w:gridSpan w:val="2"/>
            <w:vAlign w:val="center"/>
          </w:tcPr>
          <w:p w14:paraId="27D72876" w14:textId="77777777" w:rsidR="0070491A" w:rsidRPr="00C01468" w:rsidRDefault="0070491A" w:rsidP="00C01468">
            <w:pPr>
              <w:keepNext/>
              <w:spacing w:line="276" w:lineRule="auto"/>
              <w:jc w:val="center"/>
              <w:rPr>
                <w:rFonts w:ascii="Segoe UI" w:hAnsi="Segoe UI" w:cs="Segoe UI"/>
                <w:i/>
                <w:sz w:val="22"/>
              </w:rPr>
            </w:pPr>
            <w:r w:rsidRPr="00C01468">
              <w:rPr>
                <w:rFonts w:ascii="Segoe UI" w:hAnsi="Segoe UI" w:cs="Segoe UI"/>
                <w:sz w:val="22"/>
              </w:rPr>
              <w:t>Significant</w:t>
            </w:r>
          </w:p>
        </w:tc>
        <w:tc>
          <w:tcPr>
            <w:tcW w:w="1578" w:type="dxa"/>
            <w:vAlign w:val="center"/>
          </w:tcPr>
          <w:p w14:paraId="04381103" w14:textId="6CFF7E3F" w:rsidR="0070491A" w:rsidRPr="00C01468" w:rsidRDefault="0070491A" w:rsidP="00C01468">
            <w:pPr>
              <w:keepNext/>
              <w:spacing w:line="276" w:lineRule="auto"/>
              <w:jc w:val="center"/>
              <w:rPr>
                <w:rFonts w:ascii="Segoe UI" w:hAnsi="Segoe UI" w:cs="Segoe UI"/>
                <w:i/>
                <w:sz w:val="22"/>
              </w:rPr>
            </w:pPr>
            <w:r w:rsidRPr="00C01468">
              <w:rPr>
                <w:rFonts w:ascii="Segoe UI" w:hAnsi="Segoe UI" w:cs="Segoe UI"/>
                <w:sz w:val="22"/>
              </w:rPr>
              <w:t>Significant</w:t>
            </w:r>
          </w:p>
        </w:tc>
        <w:tc>
          <w:tcPr>
            <w:tcW w:w="1670" w:type="dxa"/>
            <w:vAlign w:val="center"/>
          </w:tcPr>
          <w:p w14:paraId="75F140E8" w14:textId="77777777" w:rsidR="0070491A" w:rsidRPr="00C01468" w:rsidRDefault="0070491A" w:rsidP="00C01468">
            <w:pPr>
              <w:keepNext/>
              <w:spacing w:line="276" w:lineRule="auto"/>
              <w:jc w:val="center"/>
              <w:rPr>
                <w:rFonts w:ascii="Segoe UI" w:hAnsi="Segoe UI" w:cs="Segoe UI"/>
                <w:i/>
                <w:sz w:val="22"/>
              </w:rPr>
            </w:pPr>
            <w:r w:rsidRPr="00C01468">
              <w:rPr>
                <w:rFonts w:ascii="Segoe UI" w:hAnsi="Segoe UI" w:cs="Segoe UI"/>
                <w:sz w:val="22"/>
              </w:rPr>
              <w:t>Significant</w:t>
            </w:r>
          </w:p>
        </w:tc>
      </w:tr>
      <w:tr w:rsidR="0070491A" w:rsidRPr="00C01468" w14:paraId="472CD86E" w14:textId="77777777" w:rsidTr="17CECF10">
        <w:trPr>
          <w:cantSplit/>
          <w:trHeight w:val="148"/>
          <w:jc w:val="center"/>
        </w:trPr>
        <w:tc>
          <w:tcPr>
            <w:tcW w:w="2129" w:type="dxa"/>
          </w:tcPr>
          <w:p w14:paraId="06B33806" w14:textId="25877E40" w:rsidR="0070491A" w:rsidRPr="00C01468" w:rsidRDefault="07113879" w:rsidP="00C01468">
            <w:pPr>
              <w:keepNext/>
              <w:spacing w:line="276" w:lineRule="auto"/>
              <w:rPr>
                <w:rFonts w:ascii="Segoe UI" w:hAnsi="Segoe UI" w:cs="Segoe UI"/>
                <w:b/>
                <w:bCs/>
                <w:sz w:val="22"/>
              </w:rPr>
            </w:pPr>
            <w:r w:rsidRPr="00C01468">
              <w:rPr>
                <w:rFonts w:ascii="Segoe UI" w:hAnsi="Segoe UI" w:cs="Segoe UI"/>
                <w:b/>
                <w:bCs/>
                <w:sz w:val="22"/>
              </w:rPr>
              <w:t xml:space="preserve">Fee </w:t>
            </w:r>
            <w:r w:rsidR="130B6314" w:rsidRPr="00C01468">
              <w:rPr>
                <w:rFonts w:ascii="Segoe UI" w:hAnsi="Segoe UI" w:cs="Segoe UI"/>
                <w:b/>
                <w:bCs/>
                <w:sz w:val="22"/>
              </w:rPr>
              <w:t>s</w:t>
            </w:r>
            <w:r w:rsidRPr="00C01468">
              <w:rPr>
                <w:rFonts w:ascii="Segoe UI" w:hAnsi="Segoe UI" w:cs="Segoe UI"/>
                <w:b/>
                <w:bCs/>
                <w:sz w:val="22"/>
              </w:rPr>
              <w:t xml:space="preserve">chedule </w:t>
            </w:r>
            <w:r w:rsidR="7379D35F" w:rsidRPr="00C01468">
              <w:rPr>
                <w:rFonts w:ascii="Segoe UI" w:hAnsi="Segoe UI" w:cs="Segoe UI"/>
                <w:b/>
                <w:bCs/>
                <w:sz w:val="22"/>
              </w:rPr>
              <w:t>d</w:t>
            </w:r>
            <w:r w:rsidRPr="00C01468">
              <w:rPr>
                <w:rFonts w:ascii="Segoe UI" w:hAnsi="Segoe UI" w:cs="Segoe UI"/>
                <w:b/>
                <w:bCs/>
                <w:sz w:val="22"/>
              </w:rPr>
              <w:t>esign</w:t>
            </w:r>
          </w:p>
        </w:tc>
        <w:tc>
          <w:tcPr>
            <w:tcW w:w="1763" w:type="dxa"/>
            <w:gridSpan w:val="2"/>
            <w:vAlign w:val="center"/>
          </w:tcPr>
          <w:p w14:paraId="247902D1" w14:textId="77777777" w:rsidR="0070491A" w:rsidRPr="00C01468" w:rsidRDefault="0070491A" w:rsidP="00C01468">
            <w:pPr>
              <w:keepNext/>
              <w:spacing w:line="276" w:lineRule="auto"/>
              <w:jc w:val="center"/>
              <w:rPr>
                <w:rFonts w:ascii="Segoe UI" w:hAnsi="Segoe UI" w:cs="Segoe UI"/>
                <w:sz w:val="22"/>
              </w:rPr>
            </w:pPr>
            <w:r w:rsidRPr="00C01468">
              <w:rPr>
                <w:rFonts w:ascii="Segoe UI" w:hAnsi="Segoe UI" w:cs="Segoe UI"/>
                <w:sz w:val="22"/>
              </w:rPr>
              <w:t>Neutral</w:t>
            </w:r>
          </w:p>
        </w:tc>
        <w:tc>
          <w:tcPr>
            <w:tcW w:w="1764" w:type="dxa"/>
            <w:gridSpan w:val="2"/>
            <w:vAlign w:val="center"/>
          </w:tcPr>
          <w:p w14:paraId="516DCE16" w14:textId="77777777" w:rsidR="0070491A" w:rsidRPr="00C01468" w:rsidRDefault="0070491A" w:rsidP="00C01468">
            <w:pPr>
              <w:keepNext/>
              <w:spacing w:line="276" w:lineRule="auto"/>
              <w:jc w:val="center"/>
              <w:rPr>
                <w:rFonts w:ascii="Segoe UI" w:hAnsi="Segoe UI" w:cs="Segoe UI"/>
                <w:sz w:val="22"/>
              </w:rPr>
            </w:pPr>
            <w:r w:rsidRPr="00C01468">
              <w:rPr>
                <w:rFonts w:ascii="Segoe UI" w:hAnsi="Segoe UI" w:cs="Segoe UI"/>
                <w:sz w:val="22"/>
              </w:rPr>
              <w:t>Significant</w:t>
            </w:r>
          </w:p>
        </w:tc>
        <w:tc>
          <w:tcPr>
            <w:tcW w:w="1578" w:type="dxa"/>
            <w:vAlign w:val="center"/>
          </w:tcPr>
          <w:p w14:paraId="7C880ABD" w14:textId="77777777" w:rsidR="0070491A" w:rsidRPr="00024323" w:rsidRDefault="7C3B6D1F" w:rsidP="293D3C50">
            <w:pPr>
              <w:keepNext/>
              <w:spacing w:line="276" w:lineRule="auto"/>
              <w:jc w:val="center"/>
              <w:rPr>
                <w:rFonts w:ascii="Segoe UI" w:hAnsi="Segoe UI" w:cs="Segoe UI"/>
                <w:sz w:val="22"/>
              </w:rPr>
            </w:pPr>
            <w:r w:rsidRPr="293D3C50">
              <w:rPr>
                <w:rFonts w:ascii="Segoe UI" w:hAnsi="Segoe UI" w:cs="Segoe UI"/>
                <w:sz w:val="22"/>
              </w:rPr>
              <w:t>See costs</w:t>
            </w:r>
          </w:p>
        </w:tc>
        <w:tc>
          <w:tcPr>
            <w:tcW w:w="1670" w:type="dxa"/>
            <w:vAlign w:val="center"/>
          </w:tcPr>
          <w:p w14:paraId="0A10F252" w14:textId="77777777" w:rsidR="0070491A" w:rsidRPr="00C01468" w:rsidRDefault="0070491A" w:rsidP="00C01468">
            <w:pPr>
              <w:keepNext/>
              <w:spacing w:line="276" w:lineRule="auto"/>
              <w:jc w:val="center"/>
              <w:rPr>
                <w:rFonts w:ascii="Segoe UI" w:hAnsi="Segoe UI" w:cs="Segoe UI"/>
                <w:sz w:val="22"/>
              </w:rPr>
            </w:pPr>
            <w:r w:rsidRPr="00C01468">
              <w:rPr>
                <w:rFonts w:ascii="Segoe UI" w:hAnsi="Segoe UI" w:cs="Segoe UI"/>
                <w:sz w:val="22"/>
              </w:rPr>
              <w:t>Neutral</w:t>
            </w:r>
          </w:p>
        </w:tc>
      </w:tr>
      <w:tr w:rsidR="0070491A" w:rsidRPr="00C01468" w14:paraId="1BF11316" w14:textId="77777777" w:rsidTr="17CECF10">
        <w:trPr>
          <w:cantSplit/>
          <w:trHeight w:val="148"/>
          <w:jc w:val="center"/>
        </w:trPr>
        <w:tc>
          <w:tcPr>
            <w:tcW w:w="2129" w:type="dxa"/>
            <w:vAlign w:val="center"/>
          </w:tcPr>
          <w:p w14:paraId="1E77C6FC" w14:textId="05D4B78D" w:rsidR="0070491A" w:rsidRPr="00C01468" w:rsidRDefault="07113879" w:rsidP="00C01468">
            <w:pPr>
              <w:keepNext/>
              <w:spacing w:line="276" w:lineRule="auto"/>
              <w:rPr>
                <w:rFonts w:ascii="Segoe UI" w:hAnsi="Segoe UI" w:cs="Segoe UI"/>
                <w:b/>
                <w:bCs/>
                <w:sz w:val="22"/>
              </w:rPr>
            </w:pPr>
            <w:r w:rsidRPr="00C01468">
              <w:rPr>
                <w:rFonts w:ascii="Segoe UI" w:hAnsi="Segoe UI" w:cs="Segoe UI"/>
                <w:b/>
                <w:bCs/>
                <w:sz w:val="22"/>
              </w:rPr>
              <w:t xml:space="preserve">Overall </w:t>
            </w:r>
            <w:r w:rsidR="6CB57424" w:rsidRPr="00C01468">
              <w:rPr>
                <w:rFonts w:ascii="Segoe UI" w:hAnsi="Segoe UI" w:cs="Segoe UI"/>
                <w:b/>
                <w:bCs/>
                <w:sz w:val="22"/>
              </w:rPr>
              <w:t>b</w:t>
            </w:r>
            <w:r w:rsidRPr="00C01468">
              <w:rPr>
                <w:rFonts w:ascii="Segoe UI" w:hAnsi="Segoe UI" w:cs="Segoe UI"/>
                <w:b/>
                <w:bCs/>
                <w:sz w:val="22"/>
              </w:rPr>
              <w:t>enefits</w:t>
            </w:r>
          </w:p>
        </w:tc>
        <w:tc>
          <w:tcPr>
            <w:tcW w:w="1763" w:type="dxa"/>
            <w:gridSpan w:val="2"/>
            <w:vAlign w:val="center"/>
          </w:tcPr>
          <w:p w14:paraId="74196EE9" w14:textId="77777777" w:rsidR="0070491A" w:rsidRPr="00C01468" w:rsidRDefault="0070491A" w:rsidP="00C01468">
            <w:pPr>
              <w:keepNext/>
              <w:spacing w:line="276" w:lineRule="auto"/>
              <w:jc w:val="center"/>
              <w:rPr>
                <w:rFonts w:ascii="Segoe UI" w:hAnsi="Segoe UI" w:cs="Segoe UI"/>
                <w:b/>
                <w:sz w:val="22"/>
              </w:rPr>
            </w:pPr>
            <w:r w:rsidRPr="00C01468">
              <w:rPr>
                <w:rFonts w:ascii="Segoe UI" w:hAnsi="Segoe UI" w:cs="Segoe UI"/>
                <w:b/>
                <w:sz w:val="22"/>
              </w:rPr>
              <w:t>Neutral</w:t>
            </w:r>
          </w:p>
        </w:tc>
        <w:tc>
          <w:tcPr>
            <w:tcW w:w="1764" w:type="dxa"/>
            <w:gridSpan w:val="2"/>
            <w:vAlign w:val="center"/>
          </w:tcPr>
          <w:p w14:paraId="0EC0D7C9" w14:textId="77777777" w:rsidR="0070491A" w:rsidRPr="00C01468" w:rsidRDefault="0070491A" w:rsidP="00C01468">
            <w:pPr>
              <w:keepNext/>
              <w:spacing w:line="276" w:lineRule="auto"/>
              <w:jc w:val="center"/>
              <w:rPr>
                <w:rFonts w:ascii="Segoe UI" w:hAnsi="Segoe UI" w:cs="Segoe UI"/>
                <w:b/>
                <w:sz w:val="22"/>
              </w:rPr>
            </w:pPr>
            <w:r w:rsidRPr="00C01468">
              <w:rPr>
                <w:rFonts w:ascii="Segoe UI" w:hAnsi="Segoe UI" w:cs="Segoe UI"/>
                <w:b/>
                <w:sz w:val="22"/>
              </w:rPr>
              <w:t>Significant</w:t>
            </w:r>
          </w:p>
        </w:tc>
        <w:tc>
          <w:tcPr>
            <w:tcW w:w="1578" w:type="dxa"/>
            <w:vAlign w:val="center"/>
          </w:tcPr>
          <w:p w14:paraId="1722E64E" w14:textId="77777777" w:rsidR="0070491A" w:rsidRPr="00C01468" w:rsidRDefault="0070491A" w:rsidP="00C01468">
            <w:pPr>
              <w:keepNext/>
              <w:spacing w:line="276" w:lineRule="auto"/>
              <w:jc w:val="center"/>
              <w:rPr>
                <w:rFonts w:ascii="Segoe UI" w:hAnsi="Segoe UI" w:cs="Segoe UI"/>
                <w:b/>
                <w:sz w:val="22"/>
              </w:rPr>
            </w:pPr>
            <w:r w:rsidRPr="00C01468">
              <w:rPr>
                <w:rFonts w:ascii="Segoe UI" w:hAnsi="Segoe UI" w:cs="Segoe UI"/>
                <w:b/>
                <w:sz w:val="22"/>
              </w:rPr>
              <w:t>Neutral</w:t>
            </w:r>
          </w:p>
        </w:tc>
        <w:tc>
          <w:tcPr>
            <w:tcW w:w="1670" w:type="dxa"/>
            <w:vAlign w:val="center"/>
          </w:tcPr>
          <w:p w14:paraId="30E9FF3A" w14:textId="77777777" w:rsidR="0070491A" w:rsidRPr="00C01468" w:rsidRDefault="0070491A" w:rsidP="00C01468">
            <w:pPr>
              <w:keepNext/>
              <w:spacing w:line="276" w:lineRule="auto"/>
              <w:jc w:val="center"/>
              <w:rPr>
                <w:rFonts w:ascii="Segoe UI" w:hAnsi="Segoe UI" w:cs="Segoe UI"/>
                <w:b/>
                <w:sz w:val="22"/>
              </w:rPr>
            </w:pPr>
            <w:r w:rsidRPr="00C01468">
              <w:rPr>
                <w:rFonts w:ascii="Segoe UI" w:hAnsi="Segoe UI" w:cs="Segoe UI"/>
                <w:b/>
                <w:sz w:val="22"/>
              </w:rPr>
              <w:t>Moderate</w:t>
            </w:r>
          </w:p>
        </w:tc>
      </w:tr>
      <w:tr w:rsidR="0070491A" w:rsidRPr="00C01468" w14:paraId="6C7588F5" w14:textId="77777777" w:rsidTr="17CECF10">
        <w:trPr>
          <w:cantSplit/>
          <w:trHeight w:val="148"/>
          <w:jc w:val="center"/>
        </w:trPr>
        <w:tc>
          <w:tcPr>
            <w:tcW w:w="8904" w:type="dxa"/>
            <w:gridSpan w:val="7"/>
            <w:vAlign w:val="center"/>
          </w:tcPr>
          <w:p w14:paraId="0A76039E" w14:textId="77777777" w:rsidR="0070491A" w:rsidRPr="00C01468" w:rsidRDefault="0070491A" w:rsidP="00C01468">
            <w:pPr>
              <w:keepNext/>
              <w:spacing w:line="276" w:lineRule="auto"/>
              <w:rPr>
                <w:rFonts w:ascii="Segoe UI" w:hAnsi="Segoe UI" w:cs="Segoe UI"/>
                <w:b/>
                <w:sz w:val="22"/>
              </w:rPr>
            </w:pPr>
            <w:r w:rsidRPr="00C01468">
              <w:rPr>
                <w:rFonts w:ascii="Segoe UI" w:hAnsi="Segoe UI" w:cs="Segoe UI"/>
                <w:b/>
                <w:sz w:val="22"/>
              </w:rPr>
              <w:t>Transfers:</w:t>
            </w:r>
          </w:p>
        </w:tc>
      </w:tr>
      <w:tr w:rsidR="0070491A" w:rsidRPr="00C01468" w14:paraId="2B209F05" w14:textId="77777777" w:rsidTr="17CECF10">
        <w:trPr>
          <w:cantSplit/>
          <w:trHeight w:val="148"/>
          <w:jc w:val="center"/>
        </w:trPr>
        <w:tc>
          <w:tcPr>
            <w:tcW w:w="2129" w:type="dxa"/>
            <w:vAlign w:val="center"/>
          </w:tcPr>
          <w:p w14:paraId="7414008F" w14:textId="1C4C033A" w:rsidR="0070491A" w:rsidRPr="00C01468" w:rsidRDefault="07113879" w:rsidP="00C01468">
            <w:pPr>
              <w:keepNext/>
              <w:spacing w:line="276" w:lineRule="auto"/>
              <w:rPr>
                <w:rFonts w:ascii="Segoe UI" w:hAnsi="Segoe UI" w:cs="Segoe UI"/>
                <w:b/>
                <w:bCs/>
                <w:sz w:val="22"/>
              </w:rPr>
            </w:pPr>
            <w:r w:rsidRPr="00C01468">
              <w:rPr>
                <w:rFonts w:ascii="Segoe UI" w:hAnsi="Segoe UI" w:cs="Segoe UI"/>
                <w:b/>
                <w:bCs/>
                <w:sz w:val="22"/>
              </w:rPr>
              <w:t xml:space="preserve">Aggregate </w:t>
            </w:r>
            <w:r w:rsidR="0D1B0332" w:rsidRPr="00C01468">
              <w:rPr>
                <w:rFonts w:ascii="Segoe UI" w:hAnsi="Segoe UI" w:cs="Segoe UI"/>
                <w:b/>
                <w:bCs/>
                <w:sz w:val="22"/>
              </w:rPr>
              <w:t>i</w:t>
            </w:r>
            <w:r w:rsidRPr="00C01468">
              <w:rPr>
                <w:rFonts w:ascii="Segoe UI" w:hAnsi="Segoe UI" w:cs="Segoe UI"/>
                <w:b/>
                <w:bCs/>
                <w:sz w:val="22"/>
              </w:rPr>
              <w:t xml:space="preserve">ncrease in </w:t>
            </w:r>
            <w:r w:rsidR="07B2B7BC" w:rsidRPr="00C01468">
              <w:rPr>
                <w:rFonts w:ascii="Segoe UI" w:hAnsi="Segoe UI" w:cs="Segoe UI"/>
                <w:b/>
                <w:bCs/>
                <w:sz w:val="22"/>
              </w:rPr>
              <w:t>u</w:t>
            </w:r>
            <w:r w:rsidRPr="00C01468">
              <w:rPr>
                <w:rFonts w:ascii="Segoe UI" w:hAnsi="Segoe UI" w:cs="Segoe UI"/>
                <w:b/>
                <w:bCs/>
                <w:sz w:val="22"/>
              </w:rPr>
              <w:t xml:space="preserve">ser </w:t>
            </w:r>
            <w:r w:rsidR="5926E910" w:rsidRPr="00C01468">
              <w:rPr>
                <w:rFonts w:ascii="Segoe UI" w:hAnsi="Segoe UI" w:cs="Segoe UI"/>
                <w:b/>
                <w:bCs/>
                <w:sz w:val="22"/>
              </w:rPr>
              <w:t>f</w:t>
            </w:r>
            <w:r w:rsidRPr="00C01468">
              <w:rPr>
                <w:rFonts w:ascii="Segoe UI" w:hAnsi="Segoe UI" w:cs="Segoe UI"/>
                <w:b/>
                <w:bCs/>
                <w:sz w:val="22"/>
              </w:rPr>
              <w:t xml:space="preserve">ee </w:t>
            </w:r>
            <w:r w:rsidR="490BEDF5" w:rsidRPr="00C01468">
              <w:rPr>
                <w:rFonts w:ascii="Segoe UI" w:hAnsi="Segoe UI" w:cs="Segoe UI"/>
                <w:b/>
                <w:bCs/>
                <w:sz w:val="22"/>
              </w:rPr>
              <w:t>p</w:t>
            </w:r>
            <w:r w:rsidRPr="00C01468">
              <w:rPr>
                <w:rFonts w:ascii="Segoe UI" w:hAnsi="Segoe UI" w:cs="Segoe UI"/>
                <w:b/>
                <w:bCs/>
                <w:sz w:val="22"/>
              </w:rPr>
              <w:t>ayments</w:t>
            </w:r>
          </w:p>
        </w:tc>
        <w:tc>
          <w:tcPr>
            <w:tcW w:w="1763" w:type="dxa"/>
            <w:gridSpan w:val="2"/>
            <w:vAlign w:val="center"/>
          </w:tcPr>
          <w:p w14:paraId="3E665AF8" w14:textId="77777777" w:rsidR="0070491A" w:rsidRPr="00C01468" w:rsidRDefault="0070491A" w:rsidP="00C01468">
            <w:pPr>
              <w:keepNext/>
              <w:spacing w:line="276" w:lineRule="auto"/>
              <w:jc w:val="center"/>
              <w:rPr>
                <w:rFonts w:ascii="Segoe UI" w:hAnsi="Segoe UI" w:cs="Segoe UI"/>
                <w:sz w:val="22"/>
              </w:rPr>
            </w:pPr>
            <w:r w:rsidRPr="00C01468">
              <w:rPr>
                <w:rFonts w:ascii="Segoe UI" w:hAnsi="Segoe UI" w:cs="Segoe UI"/>
                <w:sz w:val="22"/>
              </w:rPr>
              <w:t>Neutral</w:t>
            </w:r>
          </w:p>
        </w:tc>
        <w:tc>
          <w:tcPr>
            <w:tcW w:w="1764" w:type="dxa"/>
            <w:gridSpan w:val="2"/>
            <w:vAlign w:val="center"/>
          </w:tcPr>
          <w:p w14:paraId="77BCC105" w14:textId="77777777" w:rsidR="0070491A" w:rsidRPr="00C01468" w:rsidRDefault="0070491A" w:rsidP="00C01468">
            <w:pPr>
              <w:keepNext/>
              <w:spacing w:line="276" w:lineRule="auto"/>
              <w:jc w:val="center"/>
              <w:rPr>
                <w:rFonts w:ascii="Segoe UI" w:hAnsi="Segoe UI" w:cs="Segoe UI"/>
                <w:sz w:val="22"/>
              </w:rPr>
            </w:pPr>
            <w:r w:rsidRPr="00C01468">
              <w:rPr>
                <w:rFonts w:ascii="Segoe UI" w:hAnsi="Segoe UI" w:cs="Segoe UI"/>
                <w:sz w:val="22"/>
              </w:rPr>
              <w:t>Minimal</w:t>
            </w:r>
          </w:p>
        </w:tc>
        <w:tc>
          <w:tcPr>
            <w:tcW w:w="1578" w:type="dxa"/>
            <w:shd w:val="clear" w:color="auto" w:fill="auto"/>
            <w:vAlign w:val="center"/>
          </w:tcPr>
          <w:p w14:paraId="1F45D05C" w14:textId="77777777" w:rsidR="0070491A" w:rsidRPr="00C01468" w:rsidRDefault="0070491A" w:rsidP="00C01468">
            <w:pPr>
              <w:keepNext/>
              <w:spacing w:line="276" w:lineRule="auto"/>
              <w:jc w:val="center"/>
              <w:rPr>
                <w:rFonts w:ascii="Segoe UI" w:hAnsi="Segoe UI" w:cs="Segoe UI"/>
                <w:sz w:val="22"/>
              </w:rPr>
            </w:pPr>
            <w:r w:rsidRPr="00C01468">
              <w:rPr>
                <w:rFonts w:ascii="Segoe UI" w:hAnsi="Segoe UI" w:cs="Segoe UI"/>
                <w:sz w:val="22"/>
              </w:rPr>
              <w:t>Minimal</w:t>
            </w:r>
          </w:p>
        </w:tc>
        <w:tc>
          <w:tcPr>
            <w:tcW w:w="1670" w:type="dxa"/>
            <w:shd w:val="clear" w:color="auto" w:fill="auto"/>
            <w:vAlign w:val="center"/>
          </w:tcPr>
          <w:p w14:paraId="5457107E" w14:textId="77777777" w:rsidR="0070491A" w:rsidRPr="00C01468" w:rsidRDefault="0070491A" w:rsidP="00C01468">
            <w:pPr>
              <w:keepNext/>
              <w:spacing w:line="276" w:lineRule="auto"/>
              <w:jc w:val="center"/>
              <w:rPr>
                <w:rFonts w:ascii="Segoe UI" w:hAnsi="Segoe UI" w:cs="Segoe UI"/>
                <w:sz w:val="22"/>
              </w:rPr>
            </w:pPr>
            <w:r w:rsidRPr="00C01468">
              <w:rPr>
                <w:rFonts w:ascii="Segoe UI" w:hAnsi="Segoe UI" w:cs="Segoe UI"/>
                <w:sz w:val="22"/>
              </w:rPr>
              <w:t>Minimal</w:t>
            </w:r>
          </w:p>
        </w:tc>
      </w:tr>
      <w:tr w:rsidR="0070491A" w:rsidRPr="00C01468" w14:paraId="7DFFA294" w14:textId="77777777" w:rsidTr="17CECF10">
        <w:trPr>
          <w:cantSplit/>
          <w:trHeight w:val="148"/>
          <w:jc w:val="center"/>
        </w:trPr>
        <w:tc>
          <w:tcPr>
            <w:tcW w:w="2129" w:type="dxa"/>
            <w:vAlign w:val="center"/>
          </w:tcPr>
          <w:p w14:paraId="1D815637" w14:textId="323835E7" w:rsidR="0070491A" w:rsidRPr="00C01468" w:rsidRDefault="07113879" w:rsidP="00C01468">
            <w:pPr>
              <w:keepNext/>
              <w:spacing w:line="276" w:lineRule="auto"/>
              <w:rPr>
                <w:rFonts w:ascii="Segoe UI" w:hAnsi="Segoe UI" w:cs="Segoe UI"/>
                <w:b/>
                <w:bCs/>
                <w:sz w:val="22"/>
              </w:rPr>
            </w:pPr>
            <w:r w:rsidRPr="00C01468">
              <w:rPr>
                <w:rFonts w:ascii="Segoe UI" w:hAnsi="Segoe UI" w:cs="Segoe UI"/>
                <w:b/>
                <w:bCs/>
                <w:sz w:val="22"/>
              </w:rPr>
              <w:t xml:space="preserve">Overall </w:t>
            </w:r>
            <w:r w:rsidR="33C7201E" w:rsidRPr="00C01468">
              <w:rPr>
                <w:rFonts w:ascii="Segoe UI" w:hAnsi="Segoe UI" w:cs="Segoe UI"/>
                <w:b/>
                <w:bCs/>
                <w:sz w:val="22"/>
              </w:rPr>
              <w:t>n</w:t>
            </w:r>
            <w:r w:rsidRPr="00C01468">
              <w:rPr>
                <w:rFonts w:ascii="Segoe UI" w:hAnsi="Segoe UI" w:cs="Segoe UI"/>
                <w:b/>
                <w:bCs/>
                <w:sz w:val="22"/>
              </w:rPr>
              <w:t xml:space="preserve">et </w:t>
            </w:r>
            <w:r w:rsidR="6C2D7155" w:rsidRPr="00C01468">
              <w:rPr>
                <w:rFonts w:ascii="Segoe UI" w:hAnsi="Segoe UI" w:cs="Segoe UI"/>
                <w:b/>
                <w:bCs/>
                <w:sz w:val="22"/>
              </w:rPr>
              <w:t>b</w:t>
            </w:r>
            <w:r w:rsidRPr="00C01468">
              <w:rPr>
                <w:rFonts w:ascii="Segoe UI" w:hAnsi="Segoe UI" w:cs="Segoe UI"/>
                <w:b/>
                <w:bCs/>
                <w:sz w:val="22"/>
              </w:rPr>
              <w:t>enefits/</w:t>
            </w:r>
            <w:r w:rsidR="114B85FC" w:rsidRPr="00C01468">
              <w:rPr>
                <w:rFonts w:ascii="Segoe UI" w:hAnsi="Segoe UI" w:cs="Segoe UI"/>
                <w:b/>
                <w:bCs/>
                <w:sz w:val="22"/>
              </w:rPr>
              <w:t>c</w:t>
            </w:r>
            <w:r w:rsidRPr="00C01468">
              <w:rPr>
                <w:rFonts w:ascii="Segoe UI" w:hAnsi="Segoe UI" w:cs="Segoe UI"/>
                <w:b/>
                <w:bCs/>
                <w:sz w:val="22"/>
              </w:rPr>
              <w:t>osts</w:t>
            </w:r>
          </w:p>
        </w:tc>
        <w:tc>
          <w:tcPr>
            <w:tcW w:w="1763" w:type="dxa"/>
            <w:gridSpan w:val="2"/>
            <w:vAlign w:val="center"/>
          </w:tcPr>
          <w:p w14:paraId="05D535D4" w14:textId="237EF2AB" w:rsidR="0070491A" w:rsidRPr="00C01468" w:rsidRDefault="7638D3E7" w:rsidP="293D3C50">
            <w:pPr>
              <w:keepNext/>
              <w:spacing w:line="276" w:lineRule="auto"/>
              <w:jc w:val="center"/>
              <w:rPr>
                <w:rFonts w:ascii="Segoe UI" w:hAnsi="Segoe UI" w:cs="Segoe UI"/>
                <w:b/>
                <w:bCs/>
                <w:sz w:val="22"/>
              </w:rPr>
            </w:pPr>
            <w:r w:rsidRPr="293D3C50">
              <w:rPr>
                <w:rFonts w:ascii="Segoe UI" w:hAnsi="Segoe UI" w:cs="Segoe UI"/>
                <w:b/>
                <w:bCs/>
                <w:sz w:val="22"/>
              </w:rPr>
              <w:t xml:space="preserve">Moderate </w:t>
            </w:r>
            <w:r w:rsidR="00A84548" w:rsidRPr="293D3C50">
              <w:rPr>
                <w:rFonts w:ascii="Segoe UI" w:hAnsi="Segoe UI" w:cs="Segoe UI"/>
                <w:b/>
                <w:bCs/>
                <w:sz w:val="22"/>
              </w:rPr>
              <w:t>c</w:t>
            </w:r>
            <w:r w:rsidR="5A88AAE1" w:rsidRPr="293D3C50">
              <w:rPr>
                <w:rFonts w:ascii="Segoe UI" w:hAnsi="Segoe UI" w:cs="Segoe UI"/>
                <w:b/>
                <w:bCs/>
                <w:sz w:val="22"/>
              </w:rPr>
              <w:t>ost</w:t>
            </w:r>
            <w:r w:rsidR="635BDA37" w:rsidRPr="293D3C50">
              <w:rPr>
                <w:rFonts w:ascii="Segoe UI" w:hAnsi="Segoe UI" w:cs="Segoe UI"/>
                <w:b/>
                <w:bCs/>
                <w:sz w:val="22"/>
              </w:rPr>
              <w:t>s</w:t>
            </w:r>
          </w:p>
        </w:tc>
        <w:tc>
          <w:tcPr>
            <w:tcW w:w="1764" w:type="dxa"/>
            <w:gridSpan w:val="2"/>
            <w:vAlign w:val="center"/>
          </w:tcPr>
          <w:p w14:paraId="5F7EC22E" w14:textId="0D77A012" w:rsidR="0070491A" w:rsidRPr="00C01468" w:rsidRDefault="7638D3E7" w:rsidP="293D3C50">
            <w:pPr>
              <w:keepNext/>
              <w:spacing w:line="276" w:lineRule="auto"/>
              <w:jc w:val="center"/>
              <w:rPr>
                <w:rFonts w:ascii="Segoe UI" w:hAnsi="Segoe UI" w:cs="Segoe UI"/>
                <w:b/>
                <w:bCs/>
                <w:sz w:val="22"/>
              </w:rPr>
            </w:pPr>
            <w:r w:rsidRPr="293D3C50">
              <w:rPr>
                <w:rFonts w:ascii="Segoe UI" w:hAnsi="Segoe UI" w:cs="Segoe UI"/>
                <w:b/>
                <w:bCs/>
                <w:sz w:val="22"/>
              </w:rPr>
              <w:t xml:space="preserve">Significant </w:t>
            </w:r>
            <w:r w:rsidR="393ED20E" w:rsidRPr="293D3C50">
              <w:rPr>
                <w:rFonts w:ascii="Segoe UI" w:hAnsi="Segoe UI" w:cs="Segoe UI"/>
                <w:b/>
                <w:bCs/>
                <w:sz w:val="22"/>
              </w:rPr>
              <w:t>b</w:t>
            </w:r>
            <w:r w:rsidRPr="293D3C50">
              <w:rPr>
                <w:rFonts w:ascii="Segoe UI" w:hAnsi="Segoe UI" w:cs="Segoe UI"/>
                <w:b/>
                <w:bCs/>
                <w:sz w:val="22"/>
              </w:rPr>
              <w:t>enefit</w:t>
            </w:r>
            <w:r w:rsidR="4C3E81D7" w:rsidRPr="293D3C50">
              <w:rPr>
                <w:rFonts w:ascii="Segoe UI" w:hAnsi="Segoe UI" w:cs="Segoe UI"/>
                <w:b/>
                <w:bCs/>
                <w:sz w:val="22"/>
              </w:rPr>
              <w:t>s</w:t>
            </w:r>
          </w:p>
        </w:tc>
        <w:tc>
          <w:tcPr>
            <w:tcW w:w="1578" w:type="dxa"/>
            <w:shd w:val="clear" w:color="auto" w:fill="auto"/>
            <w:vAlign w:val="center"/>
          </w:tcPr>
          <w:p w14:paraId="1CEC5972" w14:textId="0CB16B8C" w:rsidR="0070491A" w:rsidRPr="00C01468" w:rsidRDefault="7638D3E7" w:rsidP="293D3C50">
            <w:pPr>
              <w:keepNext/>
              <w:spacing w:line="276" w:lineRule="auto"/>
              <w:jc w:val="center"/>
              <w:rPr>
                <w:rFonts w:ascii="Segoe UI" w:hAnsi="Segoe UI" w:cs="Segoe UI"/>
                <w:b/>
                <w:bCs/>
                <w:sz w:val="22"/>
              </w:rPr>
            </w:pPr>
            <w:r w:rsidRPr="293D3C50">
              <w:rPr>
                <w:rFonts w:ascii="Segoe UI" w:hAnsi="Segoe UI" w:cs="Segoe UI"/>
                <w:b/>
                <w:bCs/>
                <w:sz w:val="22"/>
              </w:rPr>
              <w:t xml:space="preserve">Significant </w:t>
            </w:r>
            <w:r w:rsidR="767BDEA8" w:rsidRPr="293D3C50">
              <w:rPr>
                <w:rFonts w:ascii="Segoe UI" w:hAnsi="Segoe UI" w:cs="Segoe UI"/>
                <w:b/>
                <w:bCs/>
                <w:sz w:val="22"/>
              </w:rPr>
              <w:t>c</w:t>
            </w:r>
            <w:r w:rsidRPr="293D3C50">
              <w:rPr>
                <w:rFonts w:ascii="Segoe UI" w:hAnsi="Segoe UI" w:cs="Segoe UI"/>
                <w:b/>
                <w:bCs/>
                <w:sz w:val="22"/>
              </w:rPr>
              <w:t>ost</w:t>
            </w:r>
            <w:r w:rsidR="4C3E81D7" w:rsidRPr="293D3C50">
              <w:rPr>
                <w:rFonts w:ascii="Segoe UI" w:hAnsi="Segoe UI" w:cs="Segoe UI"/>
                <w:b/>
                <w:bCs/>
                <w:sz w:val="22"/>
              </w:rPr>
              <w:t>s</w:t>
            </w:r>
          </w:p>
        </w:tc>
        <w:tc>
          <w:tcPr>
            <w:tcW w:w="1670" w:type="dxa"/>
            <w:shd w:val="clear" w:color="auto" w:fill="auto"/>
            <w:vAlign w:val="center"/>
          </w:tcPr>
          <w:p w14:paraId="3230321F" w14:textId="41448D95" w:rsidR="0070491A" w:rsidRPr="00C01468" w:rsidRDefault="7638D3E7" w:rsidP="293D3C50">
            <w:pPr>
              <w:keepNext/>
              <w:spacing w:line="276" w:lineRule="auto"/>
              <w:jc w:val="center"/>
              <w:rPr>
                <w:rFonts w:ascii="Segoe UI" w:hAnsi="Segoe UI" w:cs="Segoe UI"/>
                <w:b/>
                <w:bCs/>
                <w:sz w:val="22"/>
              </w:rPr>
            </w:pPr>
            <w:r w:rsidRPr="293D3C50">
              <w:rPr>
                <w:rFonts w:ascii="Segoe UI" w:hAnsi="Segoe UI" w:cs="Segoe UI"/>
                <w:b/>
                <w:bCs/>
                <w:sz w:val="22"/>
              </w:rPr>
              <w:t xml:space="preserve">Moderate </w:t>
            </w:r>
            <w:r w:rsidR="04A6F6FF" w:rsidRPr="293D3C50">
              <w:rPr>
                <w:rFonts w:ascii="Segoe UI" w:hAnsi="Segoe UI" w:cs="Segoe UI"/>
                <w:b/>
                <w:bCs/>
                <w:sz w:val="22"/>
              </w:rPr>
              <w:t>b</w:t>
            </w:r>
            <w:r w:rsidRPr="293D3C50">
              <w:rPr>
                <w:rFonts w:ascii="Segoe UI" w:hAnsi="Segoe UI" w:cs="Segoe UI"/>
                <w:b/>
                <w:bCs/>
                <w:sz w:val="22"/>
              </w:rPr>
              <w:t>enefit</w:t>
            </w:r>
            <w:r w:rsidR="4C3E81D7" w:rsidRPr="293D3C50">
              <w:rPr>
                <w:rFonts w:ascii="Segoe UI" w:hAnsi="Segoe UI" w:cs="Segoe UI"/>
                <w:b/>
                <w:bCs/>
                <w:sz w:val="22"/>
              </w:rPr>
              <w:t>s</w:t>
            </w:r>
          </w:p>
        </w:tc>
      </w:tr>
    </w:tbl>
    <w:p w14:paraId="3A10D64A" w14:textId="77777777" w:rsidR="00E80719" w:rsidRPr="00CF6436" w:rsidRDefault="00E80719" w:rsidP="00CF6436">
      <w:pPr>
        <w:spacing w:line="360" w:lineRule="auto"/>
        <w:rPr>
          <w:rFonts w:ascii="Segoe UI" w:hAnsi="Segoe UI" w:cs="Segoe UI"/>
        </w:rPr>
      </w:pPr>
    </w:p>
    <w:p w14:paraId="32F9AC07" w14:textId="77777777" w:rsidR="002B7A97" w:rsidRPr="00CF6436" w:rsidRDefault="0027478B" w:rsidP="00EA247B">
      <w:pPr>
        <w:pStyle w:val="Heading3"/>
        <w:numPr>
          <w:ilvl w:val="2"/>
          <w:numId w:val="7"/>
        </w:numPr>
        <w:spacing w:line="360" w:lineRule="auto"/>
        <w:rPr>
          <w:rFonts w:ascii="Segoe UI" w:hAnsi="Segoe UI" w:cs="Segoe UI"/>
        </w:rPr>
      </w:pPr>
      <w:r w:rsidRPr="00CF6436">
        <w:rPr>
          <w:rFonts w:ascii="Segoe UI" w:hAnsi="Segoe UI" w:cs="Segoe UI"/>
        </w:rPr>
        <w:t>Qualitative Costs</w:t>
      </w:r>
    </w:p>
    <w:p w14:paraId="2F494589" w14:textId="571932C5" w:rsidR="002B7A97" w:rsidRPr="00CF6436" w:rsidRDefault="70775772" w:rsidP="293D3C50">
      <w:pPr>
        <w:spacing w:line="360" w:lineRule="auto"/>
        <w:ind w:firstLine="450"/>
        <w:rPr>
          <w:rFonts w:ascii="Segoe UI" w:hAnsi="Segoe UI" w:cs="Segoe UI"/>
        </w:rPr>
      </w:pPr>
      <w:r w:rsidRPr="293D3C50">
        <w:rPr>
          <w:rFonts w:ascii="Segoe UI" w:hAnsi="Segoe UI" w:cs="Segoe UI"/>
        </w:rPr>
        <w:t xml:space="preserve">This section </w:t>
      </w:r>
      <w:r w:rsidR="4FC59012" w:rsidRPr="293D3C50">
        <w:rPr>
          <w:rFonts w:ascii="Segoe UI" w:hAnsi="Segoe UI" w:cs="Segoe UI"/>
        </w:rPr>
        <w:t>summarizes features of the alternatives</w:t>
      </w:r>
      <w:r w:rsidR="754EB0FA" w:rsidRPr="293D3C50">
        <w:rPr>
          <w:rFonts w:ascii="Segoe UI" w:hAnsi="Segoe UI" w:cs="Segoe UI"/>
        </w:rPr>
        <w:t xml:space="preserve"> </w:t>
      </w:r>
      <w:r w:rsidRPr="293D3C50">
        <w:rPr>
          <w:rFonts w:ascii="Segoe UI" w:hAnsi="Segoe UI" w:cs="Segoe UI"/>
        </w:rPr>
        <w:t xml:space="preserve">that </w:t>
      </w:r>
      <w:r w:rsidR="0C2FAF07" w:rsidRPr="293D3C50">
        <w:rPr>
          <w:rFonts w:ascii="Segoe UI" w:hAnsi="Segoe UI" w:cs="Segoe UI"/>
        </w:rPr>
        <w:t>represent a cost</w:t>
      </w:r>
      <w:r w:rsidRPr="293D3C50">
        <w:rPr>
          <w:rFonts w:ascii="Segoe UI" w:hAnsi="Segoe UI" w:cs="Segoe UI"/>
        </w:rPr>
        <w:t xml:space="preserve"> to one or more stakeholder groups</w:t>
      </w:r>
      <w:r w:rsidR="0C2FAF07" w:rsidRPr="293D3C50">
        <w:rPr>
          <w:rFonts w:ascii="Segoe UI" w:hAnsi="Segoe UI" w:cs="Segoe UI"/>
        </w:rPr>
        <w:t>.</w:t>
      </w:r>
      <w:r w:rsidR="138178D1" w:rsidRPr="293D3C50">
        <w:rPr>
          <w:rFonts w:ascii="Segoe UI" w:hAnsi="Segoe UI" w:cs="Segoe UI"/>
        </w:rPr>
        <w:t xml:space="preserve"> </w:t>
      </w:r>
      <w:r w:rsidRPr="293D3C50">
        <w:rPr>
          <w:rFonts w:ascii="Segoe UI" w:hAnsi="Segoe UI" w:cs="Segoe UI"/>
        </w:rPr>
        <w:t>Table 3-</w:t>
      </w:r>
      <w:r w:rsidR="0D5013BE" w:rsidRPr="293D3C50">
        <w:rPr>
          <w:rFonts w:ascii="Segoe UI" w:hAnsi="Segoe UI" w:cs="Segoe UI"/>
        </w:rPr>
        <w:t>4</w:t>
      </w:r>
      <w:r w:rsidR="448F6C94" w:rsidRPr="293D3C50">
        <w:rPr>
          <w:rFonts w:ascii="Segoe UI" w:hAnsi="Segoe UI" w:cs="Segoe UI"/>
        </w:rPr>
        <w:t xml:space="preserve"> show</w:t>
      </w:r>
      <w:r w:rsidRPr="293D3C50">
        <w:rPr>
          <w:rFonts w:ascii="Segoe UI" w:hAnsi="Segoe UI" w:cs="Segoe UI"/>
        </w:rPr>
        <w:t>s</w:t>
      </w:r>
      <w:r w:rsidR="448F6C94" w:rsidRPr="293D3C50">
        <w:rPr>
          <w:rFonts w:ascii="Segoe UI" w:hAnsi="Segoe UI" w:cs="Segoe UI"/>
        </w:rPr>
        <w:t xml:space="preserve"> the</w:t>
      </w:r>
      <w:r w:rsidR="0C2FAF07" w:rsidRPr="293D3C50">
        <w:rPr>
          <w:rFonts w:ascii="Segoe UI" w:hAnsi="Segoe UI" w:cs="Segoe UI"/>
        </w:rPr>
        <w:t xml:space="preserve"> major qualitative costs associated with the alternatives considered in this analysis.</w:t>
      </w:r>
      <w:r w:rsidR="138178D1" w:rsidRPr="293D3C50">
        <w:rPr>
          <w:rFonts w:ascii="Segoe UI" w:hAnsi="Segoe UI" w:cs="Segoe UI"/>
        </w:rPr>
        <w:t xml:space="preserve"> </w:t>
      </w:r>
      <w:r w:rsidRPr="293D3C50">
        <w:rPr>
          <w:rFonts w:ascii="Segoe UI" w:hAnsi="Segoe UI" w:cs="Segoe UI"/>
        </w:rPr>
        <w:t>If a cost applies to a certain alternative, it is denoted with a checkmark.</w:t>
      </w:r>
    </w:p>
    <w:p w14:paraId="1D4DE5EB" w14:textId="7FFB5865" w:rsidR="002B7A97" w:rsidRPr="00CF6436" w:rsidRDefault="4A9B36E3" w:rsidP="17CECF10">
      <w:pPr>
        <w:keepNext/>
        <w:spacing w:after="200" w:line="360" w:lineRule="auto"/>
        <w:jc w:val="center"/>
        <w:rPr>
          <w:rFonts w:ascii="Segoe UI" w:hAnsi="Segoe UI" w:cs="Segoe UI"/>
          <w:b/>
          <w:bCs/>
          <w:szCs w:val="24"/>
        </w:rPr>
      </w:pPr>
      <w:bookmarkStart w:id="106" w:name="_Ref324240231"/>
      <w:r w:rsidRPr="17CECF10">
        <w:rPr>
          <w:rFonts w:ascii="Segoe UI" w:hAnsi="Segoe UI" w:cs="Segoe UI"/>
          <w:b/>
          <w:bCs/>
          <w:szCs w:val="24"/>
        </w:rPr>
        <w:lastRenderedPageBreak/>
        <w:t xml:space="preserve">Table </w:t>
      </w:r>
      <w:r w:rsidR="5C221131" w:rsidRPr="17CECF10">
        <w:rPr>
          <w:rFonts w:ascii="Segoe UI" w:hAnsi="Segoe UI" w:cs="Segoe UI"/>
          <w:b/>
          <w:bCs/>
          <w:szCs w:val="24"/>
        </w:rPr>
        <w:t>3</w:t>
      </w:r>
      <w:bookmarkEnd w:id="106"/>
      <w:r w:rsidR="3EA1F685" w:rsidRPr="17CECF10">
        <w:rPr>
          <w:rFonts w:ascii="Segoe UI" w:hAnsi="Segoe UI" w:cs="Segoe UI"/>
          <w:b/>
          <w:bCs/>
          <w:szCs w:val="24"/>
        </w:rPr>
        <w:t>-</w:t>
      </w:r>
      <w:r w:rsidR="4B12B273" w:rsidRPr="17CECF10">
        <w:rPr>
          <w:rFonts w:ascii="Segoe UI" w:hAnsi="Segoe UI" w:cs="Segoe UI"/>
          <w:b/>
          <w:bCs/>
          <w:szCs w:val="24"/>
        </w:rPr>
        <w:t>4</w:t>
      </w:r>
    </w:p>
    <w:tbl>
      <w:tblPr>
        <w:tblStyle w:val="TableGrid"/>
        <w:tblW w:w="5000" w:type="pct"/>
        <w:jc w:val="center"/>
        <w:tblLook w:val="04A0" w:firstRow="1" w:lastRow="0" w:firstColumn="1" w:lastColumn="0" w:noHBand="0" w:noVBand="1"/>
        <w:tblCaption w:val="Cost Matrix"/>
        <w:tblDescription w:val="Presents the three costs discussed and identifies which alternatives align to those costs."/>
      </w:tblPr>
      <w:tblGrid>
        <w:gridCol w:w="1795"/>
        <w:gridCol w:w="1620"/>
        <w:gridCol w:w="1980"/>
        <w:gridCol w:w="1621"/>
        <w:gridCol w:w="1888"/>
      </w:tblGrid>
      <w:tr w:rsidR="00890B9C" w:rsidRPr="00CF6436" w14:paraId="3C81CA82" w14:textId="77777777" w:rsidTr="001C36C8">
        <w:trPr>
          <w:trHeight w:val="1574"/>
          <w:tblHeader/>
          <w:jc w:val="center"/>
        </w:trPr>
        <w:tc>
          <w:tcPr>
            <w:tcW w:w="1795" w:type="dxa"/>
            <w:vAlign w:val="center"/>
          </w:tcPr>
          <w:p w14:paraId="507A1973" w14:textId="113AD8F3" w:rsidR="00890B9C" w:rsidRPr="00F65FC8" w:rsidRDefault="24068184" w:rsidP="001C36C8">
            <w:pPr>
              <w:keepNext/>
              <w:spacing w:line="240" w:lineRule="auto"/>
              <w:jc w:val="center"/>
              <w:rPr>
                <w:rFonts w:ascii="Segoe UI" w:hAnsi="Segoe UI" w:cs="Segoe UI"/>
                <w:b/>
                <w:bCs/>
                <w:sz w:val="22"/>
              </w:rPr>
            </w:pPr>
            <w:r w:rsidRPr="524BF87A">
              <w:rPr>
                <w:rFonts w:ascii="Segoe UI" w:hAnsi="Segoe UI" w:cs="Segoe UI"/>
                <w:b/>
                <w:bCs/>
                <w:sz w:val="22"/>
              </w:rPr>
              <w:t xml:space="preserve">Cost </w:t>
            </w:r>
            <w:r w:rsidR="0358F41D" w:rsidRPr="524BF87A">
              <w:rPr>
                <w:rFonts w:ascii="Segoe UI" w:hAnsi="Segoe UI" w:cs="Segoe UI"/>
                <w:b/>
                <w:bCs/>
                <w:sz w:val="22"/>
              </w:rPr>
              <w:t>d</w:t>
            </w:r>
            <w:r w:rsidRPr="524BF87A">
              <w:rPr>
                <w:rFonts w:ascii="Segoe UI" w:hAnsi="Segoe UI" w:cs="Segoe UI"/>
                <w:b/>
                <w:bCs/>
                <w:sz w:val="22"/>
              </w:rPr>
              <w:t>escription</w:t>
            </w:r>
          </w:p>
        </w:tc>
        <w:tc>
          <w:tcPr>
            <w:tcW w:w="1620" w:type="dxa"/>
            <w:vAlign w:val="center"/>
          </w:tcPr>
          <w:p w14:paraId="772F29A4" w14:textId="77777777" w:rsidR="00273B5B" w:rsidRPr="00F65FC8" w:rsidRDefault="00273B5B" w:rsidP="001C36C8">
            <w:pPr>
              <w:keepNext/>
              <w:spacing w:line="240" w:lineRule="auto"/>
              <w:jc w:val="center"/>
              <w:rPr>
                <w:rFonts w:ascii="Segoe UI" w:hAnsi="Segoe UI" w:cs="Segoe UI"/>
                <w:b/>
                <w:sz w:val="22"/>
              </w:rPr>
            </w:pPr>
            <w:r w:rsidRPr="00F65FC8">
              <w:rPr>
                <w:rFonts w:ascii="Segoe UI" w:hAnsi="Segoe UI" w:cs="Segoe UI"/>
                <w:b/>
                <w:sz w:val="22"/>
              </w:rPr>
              <w:t>Alternative 4</w:t>
            </w:r>
          </w:p>
          <w:p w14:paraId="675D62C0" w14:textId="77777777" w:rsidR="00890B9C" w:rsidRPr="00F65FC8" w:rsidRDefault="00890B9C" w:rsidP="001C36C8">
            <w:pPr>
              <w:keepNext/>
              <w:spacing w:line="240" w:lineRule="auto"/>
              <w:jc w:val="center"/>
              <w:rPr>
                <w:rFonts w:ascii="Segoe UI" w:hAnsi="Segoe UI" w:cs="Segoe UI"/>
                <w:b/>
                <w:sz w:val="22"/>
              </w:rPr>
            </w:pPr>
            <w:r w:rsidRPr="00F65FC8">
              <w:rPr>
                <w:rFonts w:ascii="Segoe UI" w:hAnsi="Segoe UI" w:cs="Segoe UI"/>
                <w:b/>
                <w:sz w:val="22"/>
              </w:rPr>
              <w:t>Baseline</w:t>
            </w:r>
          </w:p>
        </w:tc>
        <w:tc>
          <w:tcPr>
            <w:tcW w:w="1980" w:type="dxa"/>
            <w:vAlign w:val="center"/>
          </w:tcPr>
          <w:p w14:paraId="04A2486E" w14:textId="77777777" w:rsidR="0086407D" w:rsidRPr="00F65FC8" w:rsidRDefault="00890B9C" w:rsidP="001C36C8">
            <w:pPr>
              <w:keepNext/>
              <w:spacing w:line="240" w:lineRule="auto"/>
              <w:jc w:val="center"/>
              <w:rPr>
                <w:rFonts w:ascii="Segoe UI" w:hAnsi="Segoe UI" w:cs="Segoe UI"/>
                <w:b/>
                <w:sz w:val="22"/>
              </w:rPr>
            </w:pPr>
            <w:r w:rsidRPr="00F65FC8">
              <w:rPr>
                <w:rFonts w:ascii="Segoe UI" w:hAnsi="Segoe UI" w:cs="Segoe UI"/>
                <w:b/>
                <w:sz w:val="22"/>
              </w:rPr>
              <w:t>Alt</w:t>
            </w:r>
            <w:r w:rsidR="00273B5B" w:rsidRPr="00F65FC8">
              <w:rPr>
                <w:rFonts w:ascii="Segoe UI" w:hAnsi="Segoe UI" w:cs="Segoe UI"/>
                <w:b/>
                <w:sz w:val="22"/>
              </w:rPr>
              <w:t xml:space="preserve">ernative </w:t>
            </w:r>
            <w:r w:rsidRPr="00F65FC8">
              <w:rPr>
                <w:rFonts w:ascii="Segoe UI" w:hAnsi="Segoe UI" w:cs="Segoe UI"/>
                <w:b/>
                <w:sz w:val="22"/>
              </w:rPr>
              <w:t>1</w:t>
            </w:r>
          </w:p>
          <w:p w14:paraId="60C14DEB" w14:textId="2E2684AA" w:rsidR="00890B9C" w:rsidRPr="00F65FC8" w:rsidRDefault="00573A64" w:rsidP="001C36C8">
            <w:pPr>
              <w:keepNext/>
              <w:spacing w:line="240" w:lineRule="auto"/>
              <w:jc w:val="center"/>
              <w:rPr>
                <w:rFonts w:ascii="Segoe UI" w:hAnsi="Segoe UI" w:cs="Segoe UI"/>
                <w:b/>
                <w:sz w:val="22"/>
              </w:rPr>
            </w:pPr>
            <w:r>
              <w:rPr>
                <w:rFonts w:ascii="Segoe UI" w:hAnsi="Segoe UI" w:cs="Segoe UI"/>
                <w:b/>
                <w:sz w:val="22"/>
              </w:rPr>
              <w:t>Final</w:t>
            </w:r>
            <w:r w:rsidRPr="00F65FC8">
              <w:rPr>
                <w:rFonts w:ascii="Segoe UI" w:hAnsi="Segoe UI" w:cs="Segoe UI"/>
                <w:b/>
                <w:sz w:val="22"/>
              </w:rPr>
              <w:t xml:space="preserve"> </w:t>
            </w:r>
            <w:r w:rsidR="00D60751" w:rsidRPr="00F65FC8">
              <w:rPr>
                <w:rFonts w:ascii="Segoe UI" w:hAnsi="Segoe UI" w:cs="Segoe UI"/>
                <w:b/>
                <w:sz w:val="22"/>
              </w:rPr>
              <w:t>Patent</w:t>
            </w:r>
            <w:r w:rsidR="00890B9C" w:rsidRPr="00F65FC8">
              <w:rPr>
                <w:rFonts w:ascii="Segoe UI" w:hAnsi="Segoe UI" w:cs="Segoe UI"/>
                <w:b/>
                <w:sz w:val="22"/>
              </w:rPr>
              <w:t xml:space="preserve"> Fee Schedule</w:t>
            </w:r>
          </w:p>
        </w:tc>
        <w:tc>
          <w:tcPr>
            <w:tcW w:w="1621" w:type="dxa"/>
            <w:vAlign w:val="center"/>
          </w:tcPr>
          <w:p w14:paraId="72D725C8" w14:textId="07B6ABED" w:rsidR="00890B9C" w:rsidRPr="00F65FC8" w:rsidRDefault="435DA420" w:rsidP="001C36C8">
            <w:pPr>
              <w:keepNext/>
              <w:spacing w:line="240" w:lineRule="auto"/>
              <w:jc w:val="center"/>
              <w:rPr>
                <w:rFonts w:ascii="Segoe UI" w:hAnsi="Segoe UI" w:cs="Segoe UI"/>
                <w:b/>
                <w:bCs/>
                <w:sz w:val="22"/>
              </w:rPr>
            </w:pPr>
            <w:r w:rsidRPr="293D3C50">
              <w:rPr>
                <w:rFonts w:ascii="Segoe UI" w:hAnsi="Segoe UI" w:cs="Segoe UI"/>
                <w:b/>
                <w:bCs/>
                <w:sz w:val="22"/>
              </w:rPr>
              <w:t>Alt</w:t>
            </w:r>
            <w:r w:rsidR="04D6982B" w:rsidRPr="293D3C50">
              <w:rPr>
                <w:rFonts w:ascii="Segoe UI" w:hAnsi="Segoe UI" w:cs="Segoe UI"/>
                <w:b/>
                <w:bCs/>
                <w:sz w:val="22"/>
              </w:rPr>
              <w:t>ernative</w:t>
            </w:r>
            <w:r w:rsidRPr="293D3C50">
              <w:rPr>
                <w:rFonts w:ascii="Segoe UI" w:hAnsi="Segoe UI" w:cs="Segoe UI"/>
                <w:b/>
                <w:bCs/>
                <w:sz w:val="22"/>
              </w:rPr>
              <w:t xml:space="preserve"> 2</w:t>
            </w:r>
          </w:p>
          <w:p w14:paraId="42D15BB3" w14:textId="77777777" w:rsidR="00890B9C" w:rsidRPr="00F65FC8" w:rsidRDefault="00890B9C" w:rsidP="001C36C8">
            <w:pPr>
              <w:keepNext/>
              <w:spacing w:line="240" w:lineRule="auto"/>
              <w:jc w:val="center"/>
              <w:rPr>
                <w:rFonts w:ascii="Segoe UI" w:hAnsi="Segoe UI" w:cs="Segoe UI"/>
                <w:b/>
                <w:sz w:val="22"/>
              </w:rPr>
            </w:pPr>
            <w:r w:rsidRPr="00F65FC8">
              <w:rPr>
                <w:rFonts w:ascii="Segoe UI" w:hAnsi="Segoe UI" w:cs="Segoe UI"/>
                <w:b/>
                <w:sz w:val="22"/>
              </w:rPr>
              <w:t>Unit Cost Recovery</w:t>
            </w:r>
          </w:p>
        </w:tc>
        <w:tc>
          <w:tcPr>
            <w:tcW w:w="1888" w:type="dxa"/>
            <w:vAlign w:val="center"/>
          </w:tcPr>
          <w:p w14:paraId="74B7A72F" w14:textId="421DD502" w:rsidR="00890B9C" w:rsidRPr="00F65FC8" w:rsidRDefault="435DA420" w:rsidP="001C36C8">
            <w:pPr>
              <w:keepNext/>
              <w:spacing w:line="240" w:lineRule="auto"/>
              <w:jc w:val="center"/>
              <w:rPr>
                <w:rFonts w:ascii="Segoe UI" w:hAnsi="Segoe UI" w:cs="Segoe UI"/>
                <w:b/>
                <w:bCs/>
                <w:sz w:val="22"/>
              </w:rPr>
            </w:pPr>
            <w:r w:rsidRPr="293D3C50">
              <w:rPr>
                <w:rFonts w:ascii="Segoe UI" w:hAnsi="Segoe UI" w:cs="Segoe UI"/>
                <w:b/>
                <w:bCs/>
                <w:sz w:val="22"/>
              </w:rPr>
              <w:t>Alt</w:t>
            </w:r>
            <w:r w:rsidR="04D6982B" w:rsidRPr="293D3C50">
              <w:rPr>
                <w:rFonts w:ascii="Segoe UI" w:hAnsi="Segoe UI" w:cs="Segoe UI"/>
                <w:b/>
                <w:bCs/>
                <w:sz w:val="22"/>
              </w:rPr>
              <w:t>ernative</w:t>
            </w:r>
            <w:r w:rsidRPr="293D3C50">
              <w:rPr>
                <w:rFonts w:ascii="Segoe UI" w:hAnsi="Segoe UI" w:cs="Segoe UI"/>
                <w:b/>
                <w:bCs/>
                <w:sz w:val="22"/>
              </w:rPr>
              <w:t xml:space="preserve"> 3</w:t>
            </w:r>
          </w:p>
          <w:p w14:paraId="4495A904" w14:textId="27C26BF2" w:rsidR="00890B9C" w:rsidRPr="00F65FC8" w:rsidRDefault="00890B9C" w:rsidP="001C36C8">
            <w:pPr>
              <w:keepNext/>
              <w:spacing w:line="240" w:lineRule="auto"/>
              <w:jc w:val="center"/>
              <w:rPr>
                <w:rFonts w:ascii="Segoe UI" w:hAnsi="Segoe UI" w:cs="Segoe UI"/>
                <w:b/>
                <w:sz w:val="22"/>
              </w:rPr>
            </w:pPr>
            <w:r w:rsidRPr="00F65FC8">
              <w:rPr>
                <w:rFonts w:ascii="Segoe UI" w:hAnsi="Segoe UI" w:cs="Segoe UI"/>
                <w:b/>
                <w:sz w:val="22"/>
              </w:rPr>
              <w:t>Across</w:t>
            </w:r>
            <w:r w:rsidR="009D5816" w:rsidRPr="00F65FC8">
              <w:rPr>
                <w:rFonts w:ascii="Segoe UI" w:hAnsi="Segoe UI" w:cs="Segoe UI"/>
                <w:b/>
                <w:sz w:val="22"/>
              </w:rPr>
              <w:t>-</w:t>
            </w:r>
            <w:r w:rsidRPr="00F65FC8">
              <w:rPr>
                <w:rFonts w:ascii="Segoe UI" w:hAnsi="Segoe UI" w:cs="Segoe UI"/>
                <w:b/>
                <w:sz w:val="22"/>
              </w:rPr>
              <w:t>the</w:t>
            </w:r>
            <w:r w:rsidR="009D5816" w:rsidRPr="00F65FC8">
              <w:rPr>
                <w:rFonts w:ascii="Segoe UI" w:hAnsi="Segoe UI" w:cs="Segoe UI"/>
                <w:b/>
                <w:sz w:val="22"/>
              </w:rPr>
              <w:t>-</w:t>
            </w:r>
            <w:r w:rsidRPr="00F65FC8">
              <w:rPr>
                <w:rFonts w:ascii="Segoe UI" w:hAnsi="Segoe UI" w:cs="Segoe UI"/>
                <w:b/>
                <w:sz w:val="22"/>
              </w:rPr>
              <w:t>Board Adjustment</w:t>
            </w:r>
          </w:p>
        </w:tc>
      </w:tr>
      <w:tr w:rsidR="00890B9C" w:rsidRPr="00CF6436" w14:paraId="1791C6B6" w14:textId="77777777" w:rsidTr="524BF87A">
        <w:trPr>
          <w:trHeight w:val="521"/>
          <w:jc w:val="center"/>
        </w:trPr>
        <w:tc>
          <w:tcPr>
            <w:tcW w:w="1795" w:type="dxa"/>
            <w:vAlign w:val="center"/>
          </w:tcPr>
          <w:p w14:paraId="5A429EB6" w14:textId="144D9D36" w:rsidR="00890B9C" w:rsidRPr="007E5AFA" w:rsidRDefault="70D1A028" w:rsidP="00F65FC8">
            <w:pPr>
              <w:spacing w:before="120" w:after="120" w:line="240" w:lineRule="auto"/>
              <w:rPr>
                <w:rFonts w:ascii="Segoe UI" w:hAnsi="Segoe UI" w:cs="Segoe UI"/>
                <w:sz w:val="22"/>
              </w:rPr>
            </w:pPr>
            <w:r w:rsidRPr="00F65FC8">
              <w:rPr>
                <w:rFonts w:ascii="Segoe UI" w:hAnsi="Segoe UI" w:cs="Segoe UI"/>
                <w:sz w:val="22"/>
              </w:rPr>
              <w:t xml:space="preserve">Secure </w:t>
            </w:r>
            <w:r w:rsidR="5B4CEC51" w:rsidRPr="3E055338">
              <w:rPr>
                <w:rFonts w:ascii="Segoe UI" w:hAnsi="Segoe UI" w:cs="Segoe UI"/>
                <w:sz w:val="22"/>
              </w:rPr>
              <w:t>a</w:t>
            </w:r>
            <w:r w:rsidRPr="00F65FC8">
              <w:rPr>
                <w:rFonts w:ascii="Segoe UI" w:hAnsi="Segoe UI" w:cs="Segoe UI"/>
                <w:sz w:val="22"/>
              </w:rPr>
              <w:t xml:space="preserve">ggregate </w:t>
            </w:r>
            <w:r w:rsidR="5870033A" w:rsidRPr="3E055338">
              <w:rPr>
                <w:rFonts w:ascii="Segoe UI" w:hAnsi="Segoe UI" w:cs="Segoe UI"/>
                <w:sz w:val="22"/>
              </w:rPr>
              <w:t>r</w:t>
            </w:r>
            <w:r w:rsidRPr="00F65FC8">
              <w:rPr>
                <w:rFonts w:ascii="Segoe UI" w:hAnsi="Segoe UI" w:cs="Segoe UI"/>
                <w:sz w:val="22"/>
              </w:rPr>
              <w:t xml:space="preserve">evenue to </w:t>
            </w:r>
            <w:r w:rsidR="08E907AB" w:rsidRPr="3E055338">
              <w:rPr>
                <w:rFonts w:ascii="Segoe UI" w:hAnsi="Segoe UI" w:cs="Segoe UI"/>
                <w:sz w:val="22"/>
              </w:rPr>
              <w:t>r</w:t>
            </w:r>
            <w:r w:rsidRPr="00F65FC8">
              <w:rPr>
                <w:rFonts w:ascii="Segoe UI" w:hAnsi="Segoe UI" w:cs="Segoe UI"/>
                <w:sz w:val="22"/>
              </w:rPr>
              <w:t>ec</w:t>
            </w:r>
            <w:r w:rsidR="5E3D4E51" w:rsidRPr="00F65FC8">
              <w:rPr>
                <w:rFonts w:ascii="Segoe UI" w:hAnsi="Segoe UI" w:cs="Segoe UI"/>
                <w:sz w:val="22"/>
              </w:rPr>
              <w:t xml:space="preserve">over </w:t>
            </w:r>
            <w:r w:rsidR="5A646056" w:rsidRPr="3E055338">
              <w:rPr>
                <w:rFonts w:ascii="Segoe UI" w:hAnsi="Segoe UI" w:cs="Segoe UI"/>
                <w:sz w:val="22"/>
              </w:rPr>
              <w:t>a</w:t>
            </w:r>
            <w:r w:rsidR="5E3D4E51" w:rsidRPr="00F65FC8">
              <w:rPr>
                <w:rFonts w:ascii="Segoe UI" w:hAnsi="Segoe UI" w:cs="Segoe UI"/>
                <w:sz w:val="22"/>
              </w:rPr>
              <w:t xml:space="preserve">ggregate </w:t>
            </w:r>
            <w:r w:rsidR="4D3BBEE2" w:rsidRPr="3E055338">
              <w:rPr>
                <w:rFonts w:ascii="Segoe UI" w:hAnsi="Segoe UI" w:cs="Segoe UI"/>
                <w:sz w:val="22"/>
              </w:rPr>
              <w:t>c</w:t>
            </w:r>
            <w:r w:rsidR="5E3D4E51" w:rsidRPr="00F65FC8">
              <w:rPr>
                <w:rFonts w:ascii="Segoe UI" w:hAnsi="Segoe UI" w:cs="Segoe UI"/>
                <w:sz w:val="22"/>
              </w:rPr>
              <w:t>ost</w:t>
            </w:r>
            <w:r w:rsidR="5B973C88" w:rsidRPr="00F65FC8">
              <w:rPr>
                <w:rFonts w:ascii="Segoe UI" w:hAnsi="Segoe UI" w:cs="Segoe UI"/>
                <w:sz w:val="22"/>
              </w:rPr>
              <w:t>s</w:t>
            </w:r>
          </w:p>
        </w:tc>
        <w:tc>
          <w:tcPr>
            <w:tcW w:w="1620" w:type="dxa"/>
            <w:vAlign w:val="center"/>
          </w:tcPr>
          <w:p w14:paraId="60A867C1" w14:textId="0094E661" w:rsidR="00890B9C" w:rsidRPr="00F65FC8" w:rsidRDefault="007E5AFA" w:rsidP="00F65FC8">
            <w:pPr>
              <w:spacing w:before="120" w:after="120" w:line="240" w:lineRule="auto"/>
              <w:jc w:val="center"/>
              <w:rPr>
                <w:rFonts w:ascii="Segoe UI" w:hAnsi="Segoe UI" w:cs="Segoe UI"/>
                <w:sz w:val="22"/>
              </w:rPr>
            </w:pPr>
            <w:r w:rsidRPr="00F65FC8">
              <w:rPr>
                <w:rFonts w:ascii="Wingdings" w:eastAsia="Wingdings" w:hAnsi="Wingdings" w:cs="Wingdings"/>
                <w:sz w:val="22"/>
              </w:rPr>
              <w:t>ü</w:t>
            </w:r>
          </w:p>
        </w:tc>
        <w:tc>
          <w:tcPr>
            <w:tcW w:w="1980" w:type="dxa"/>
            <w:vAlign w:val="center"/>
          </w:tcPr>
          <w:p w14:paraId="37A14509" w14:textId="44601643" w:rsidR="00890B9C" w:rsidRPr="00F65FC8" w:rsidRDefault="008F27FA" w:rsidP="00F65FC8">
            <w:pPr>
              <w:spacing w:before="120" w:after="120" w:line="240" w:lineRule="auto"/>
              <w:jc w:val="center"/>
              <w:rPr>
                <w:rFonts w:ascii="Segoe UI" w:hAnsi="Segoe UI" w:cs="Segoe UI"/>
                <w:sz w:val="22"/>
              </w:rPr>
            </w:pPr>
            <w:r w:rsidRPr="00F65FC8">
              <w:rPr>
                <w:rFonts w:ascii="Segoe UI" w:hAnsi="Segoe UI" w:cs="Segoe UI"/>
                <w:sz w:val="22"/>
              </w:rPr>
              <w:t>--</w:t>
            </w:r>
          </w:p>
        </w:tc>
        <w:tc>
          <w:tcPr>
            <w:tcW w:w="1621" w:type="dxa"/>
            <w:vAlign w:val="center"/>
          </w:tcPr>
          <w:p w14:paraId="40E22FA7" w14:textId="3542D2E5" w:rsidR="00890B9C" w:rsidRPr="00F65FC8" w:rsidRDefault="008F27FA" w:rsidP="00F65FC8">
            <w:pPr>
              <w:spacing w:before="120" w:after="120" w:line="240" w:lineRule="auto"/>
              <w:jc w:val="center"/>
              <w:rPr>
                <w:rFonts w:ascii="Segoe UI" w:hAnsi="Segoe UI" w:cs="Segoe UI"/>
                <w:sz w:val="22"/>
              </w:rPr>
            </w:pPr>
            <w:r w:rsidRPr="00F65FC8">
              <w:rPr>
                <w:rFonts w:ascii="Segoe UI" w:hAnsi="Segoe UI" w:cs="Segoe UI"/>
                <w:sz w:val="22"/>
              </w:rPr>
              <w:t>--</w:t>
            </w:r>
          </w:p>
        </w:tc>
        <w:tc>
          <w:tcPr>
            <w:tcW w:w="1888" w:type="dxa"/>
            <w:vAlign w:val="center"/>
          </w:tcPr>
          <w:p w14:paraId="404AFB26" w14:textId="5FA16AC3" w:rsidR="00890B9C" w:rsidRPr="00F65FC8" w:rsidRDefault="008F27FA" w:rsidP="00F65FC8">
            <w:pPr>
              <w:spacing w:before="120" w:after="120" w:line="240" w:lineRule="auto"/>
              <w:jc w:val="center"/>
              <w:rPr>
                <w:rFonts w:ascii="Segoe UI" w:hAnsi="Segoe UI" w:cs="Segoe UI"/>
                <w:sz w:val="22"/>
              </w:rPr>
            </w:pPr>
            <w:r w:rsidRPr="00F65FC8">
              <w:rPr>
                <w:rFonts w:ascii="Segoe UI" w:hAnsi="Segoe UI" w:cs="Segoe UI"/>
                <w:sz w:val="22"/>
              </w:rPr>
              <w:t>--</w:t>
            </w:r>
          </w:p>
        </w:tc>
      </w:tr>
      <w:tr w:rsidR="00F80E99" w:rsidRPr="00CF6436" w14:paraId="4E6F11E8" w14:textId="77777777" w:rsidTr="524BF87A">
        <w:tblPrEx>
          <w:jc w:val="left"/>
        </w:tblPrEx>
        <w:trPr>
          <w:trHeight w:val="521"/>
        </w:trPr>
        <w:tc>
          <w:tcPr>
            <w:tcW w:w="1795" w:type="dxa"/>
          </w:tcPr>
          <w:p w14:paraId="4E80E8CB" w14:textId="1D35F05C" w:rsidR="00F80E99" w:rsidRPr="007E5AFA" w:rsidRDefault="62120962" w:rsidP="00F65FC8">
            <w:pPr>
              <w:spacing w:before="120" w:after="120" w:line="240" w:lineRule="auto"/>
              <w:rPr>
                <w:rFonts w:ascii="Segoe UI" w:hAnsi="Segoe UI" w:cs="Segoe UI"/>
                <w:sz w:val="22"/>
              </w:rPr>
            </w:pPr>
            <w:r w:rsidRPr="00F65FC8">
              <w:rPr>
                <w:rFonts w:ascii="Segoe UI" w:hAnsi="Segoe UI" w:cs="Segoe UI"/>
                <w:sz w:val="22"/>
              </w:rPr>
              <w:t xml:space="preserve">Fee </w:t>
            </w:r>
            <w:r w:rsidR="57AA9FDF" w:rsidRPr="3E055338">
              <w:rPr>
                <w:rFonts w:ascii="Segoe UI" w:hAnsi="Segoe UI" w:cs="Segoe UI"/>
                <w:sz w:val="22"/>
              </w:rPr>
              <w:t>s</w:t>
            </w:r>
            <w:r w:rsidRPr="00F65FC8">
              <w:rPr>
                <w:rFonts w:ascii="Segoe UI" w:hAnsi="Segoe UI" w:cs="Segoe UI"/>
                <w:sz w:val="22"/>
              </w:rPr>
              <w:t xml:space="preserve">chedule </w:t>
            </w:r>
            <w:r w:rsidR="7E00B14C" w:rsidRPr="3E055338">
              <w:rPr>
                <w:rFonts w:ascii="Segoe UI" w:hAnsi="Segoe UI" w:cs="Segoe UI"/>
                <w:sz w:val="22"/>
              </w:rPr>
              <w:t>d</w:t>
            </w:r>
            <w:r w:rsidRPr="00F65FC8">
              <w:rPr>
                <w:rFonts w:ascii="Segoe UI" w:hAnsi="Segoe UI" w:cs="Segoe UI"/>
                <w:sz w:val="22"/>
              </w:rPr>
              <w:t xml:space="preserve">esign </w:t>
            </w:r>
          </w:p>
        </w:tc>
        <w:tc>
          <w:tcPr>
            <w:tcW w:w="1620" w:type="dxa"/>
            <w:vAlign w:val="center"/>
          </w:tcPr>
          <w:p w14:paraId="4AD43978" w14:textId="243A59D2" w:rsidR="00F80E99" w:rsidRPr="00F65FC8" w:rsidRDefault="00F80E99" w:rsidP="00F65FC8">
            <w:pPr>
              <w:spacing w:before="120" w:after="120" w:line="240" w:lineRule="auto"/>
              <w:jc w:val="center"/>
              <w:rPr>
                <w:rFonts w:ascii="Segoe UI" w:hAnsi="Segoe UI" w:cs="Segoe UI"/>
                <w:sz w:val="22"/>
              </w:rPr>
            </w:pPr>
            <w:r w:rsidRPr="00F65FC8">
              <w:rPr>
                <w:rFonts w:ascii="Segoe UI" w:hAnsi="Segoe UI" w:cs="Segoe UI"/>
                <w:sz w:val="22"/>
              </w:rPr>
              <w:t>--</w:t>
            </w:r>
          </w:p>
        </w:tc>
        <w:tc>
          <w:tcPr>
            <w:tcW w:w="1980" w:type="dxa"/>
            <w:vAlign w:val="center"/>
          </w:tcPr>
          <w:p w14:paraId="7DCCFFB1" w14:textId="79B17C1B" w:rsidR="00F80E99" w:rsidRPr="00F65FC8" w:rsidRDefault="00F80E99" w:rsidP="00F65FC8">
            <w:pPr>
              <w:spacing w:before="120" w:after="120" w:line="240" w:lineRule="auto"/>
              <w:jc w:val="center"/>
              <w:rPr>
                <w:rFonts w:ascii="Segoe UI" w:hAnsi="Segoe UI" w:cs="Segoe UI"/>
                <w:sz w:val="22"/>
              </w:rPr>
            </w:pPr>
            <w:r w:rsidRPr="00F65FC8">
              <w:rPr>
                <w:rFonts w:ascii="Segoe UI" w:hAnsi="Segoe UI" w:cs="Segoe UI"/>
                <w:sz w:val="22"/>
              </w:rPr>
              <w:t>--</w:t>
            </w:r>
          </w:p>
        </w:tc>
        <w:tc>
          <w:tcPr>
            <w:tcW w:w="1621" w:type="dxa"/>
            <w:vAlign w:val="center"/>
          </w:tcPr>
          <w:p w14:paraId="35D928B6" w14:textId="3952B152" w:rsidR="00F80E99" w:rsidRPr="00F65FC8" w:rsidRDefault="007E5AFA" w:rsidP="00F65FC8">
            <w:pPr>
              <w:spacing w:before="120" w:after="120" w:line="240" w:lineRule="auto"/>
              <w:jc w:val="center"/>
              <w:rPr>
                <w:rFonts w:ascii="Segoe UI" w:hAnsi="Segoe UI" w:cs="Segoe UI"/>
                <w:sz w:val="22"/>
              </w:rPr>
            </w:pPr>
            <w:r w:rsidRPr="00F65FC8">
              <w:rPr>
                <w:rFonts w:ascii="Wingdings" w:eastAsia="Wingdings" w:hAnsi="Wingdings" w:cs="Wingdings"/>
                <w:sz w:val="22"/>
              </w:rPr>
              <w:t>ü</w:t>
            </w:r>
          </w:p>
        </w:tc>
        <w:tc>
          <w:tcPr>
            <w:tcW w:w="1888" w:type="dxa"/>
            <w:vAlign w:val="center"/>
          </w:tcPr>
          <w:p w14:paraId="5EB7DB90" w14:textId="7F78C694" w:rsidR="00F80E99" w:rsidRPr="00F65FC8" w:rsidRDefault="00F80E99" w:rsidP="00F65FC8">
            <w:pPr>
              <w:spacing w:before="120" w:after="120" w:line="240" w:lineRule="auto"/>
              <w:jc w:val="center"/>
              <w:rPr>
                <w:rFonts w:ascii="Segoe UI" w:hAnsi="Segoe UI" w:cs="Segoe UI"/>
                <w:sz w:val="22"/>
              </w:rPr>
            </w:pPr>
            <w:r w:rsidRPr="00F65FC8">
              <w:rPr>
                <w:rFonts w:ascii="Segoe UI" w:hAnsi="Segoe UI" w:cs="Segoe UI"/>
                <w:sz w:val="22"/>
              </w:rPr>
              <w:t>--</w:t>
            </w:r>
          </w:p>
        </w:tc>
      </w:tr>
    </w:tbl>
    <w:p w14:paraId="13A0164F" w14:textId="77777777" w:rsidR="002B7A97" w:rsidRPr="00CF6436" w:rsidRDefault="002B7A97" w:rsidP="00CF6436">
      <w:pPr>
        <w:pStyle w:val="Caption"/>
        <w:spacing w:line="360" w:lineRule="auto"/>
        <w:rPr>
          <w:rFonts w:ascii="Segoe UI" w:hAnsi="Segoe UI" w:cs="Segoe UI"/>
          <w:szCs w:val="24"/>
        </w:rPr>
      </w:pPr>
    </w:p>
    <w:p w14:paraId="7F8487F2" w14:textId="7F12ED5B" w:rsidR="0002055F" w:rsidRPr="00CF6436" w:rsidRDefault="06C0D7FD" w:rsidP="00CF6436">
      <w:pPr>
        <w:spacing w:line="360" w:lineRule="auto"/>
        <w:ind w:firstLine="720"/>
        <w:rPr>
          <w:rFonts w:ascii="Segoe UI" w:hAnsi="Segoe UI" w:cs="Segoe UI"/>
        </w:rPr>
      </w:pPr>
      <w:r w:rsidRPr="293D3C50">
        <w:rPr>
          <w:rFonts w:ascii="Segoe UI" w:hAnsi="Segoe UI" w:cs="Segoe UI"/>
        </w:rPr>
        <w:t xml:space="preserve">Since it does not </w:t>
      </w:r>
      <w:r w:rsidR="3EFD1599" w:rsidRPr="293D3C50">
        <w:rPr>
          <w:rFonts w:ascii="Segoe UI" w:hAnsi="Segoe UI" w:cs="Segoe UI"/>
        </w:rPr>
        <w:t xml:space="preserve">secure sufficient aggregate revenue to recover aggregate costs, </w:t>
      </w:r>
      <w:r w:rsidR="1A074F14" w:rsidRPr="293D3C50">
        <w:rPr>
          <w:rFonts w:ascii="Segoe UI" w:hAnsi="Segoe UI" w:cs="Segoe UI"/>
        </w:rPr>
        <w:t>t</w:t>
      </w:r>
      <w:r w:rsidR="1D6ACBC1" w:rsidRPr="293D3C50">
        <w:rPr>
          <w:rFonts w:ascii="Segoe UI" w:hAnsi="Segoe UI" w:cs="Segoe UI"/>
        </w:rPr>
        <w:t xml:space="preserve">he Baseline </w:t>
      </w:r>
      <w:r w:rsidR="6EFAAD46" w:rsidRPr="293D3C50">
        <w:rPr>
          <w:rFonts w:ascii="Segoe UI" w:hAnsi="Segoe UI" w:cs="Segoe UI"/>
        </w:rPr>
        <w:t xml:space="preserve">(Alternative 4) </w:t>
      </w:r>
      <w:r w:rsidR="1D6ACBC1" w:rsidRPr="293D3C50">
        <w:rPr>
          <w:rFonts w:ascii="Segoe UI" w:hAnsi="Segoe UI" w:cs="Segoe UI"/>
        </w:rPr>
        <w:t>has a cost</w:t>
      </w:r>
      <w:r w:rsidR="19A81E75" w:rsidRPr="293D3C50">
        <w:rPr>
          <w:rFonts w:ascii="Segoe UI" w:hAnsi="Segoe UI" w:cs="Segoe UI"/>
        </w:rPr>
        <w:t xml:space="preserve"> </w:t>
      </w:r>
      <w:r w:rsidR="1D6ACBC1" w:rsidRPr="293D3C50">
        <w:rPr>
          <w:rFonts w:ascii="Segoe UI" w:hAnsi="Segoe UI" w:cs="Segoe UI"/>
        </w:rPr>
        <w:t xml:space="preserve">because it would not allow the USPTO to </w:t>
      </w:r>
      <w:r w:rsidR="6DB003DD" w:rsidRPr="293D3C50">
        <w:rPr>
          <w:rFonts w:ascii="Segoe UI" w:hAnsi="Segoe UI" w:cs="Segoe UI"/>
        </w:rPr>
        <w:t xml:space="preserve">maintain operations or </w:t>
      </w:r>
      <w:r w:rsidR="1D6ACBC1" w:rsidRPr="293D3C50">
        <w:rPr>
          <w:rFonts w:ascii="Segoe UI" w:hAnsi="Segoe UI" w:cs="Segoe UI"/>
        </w:rPr>
        <w:t xml:space="preserve">meet its </w:t>
      </w:r>
      <w:r w:rsidR="4577691C" w:rsidRPr="293D3C50">
        <w:rPr>
          <w:rFonts w:ascii="Segoe UI" w:hAnsi="Segoe UI" w:cs="Segoe UI"/>
        </w:rPr>
        <w:t>s</w:t>
      </w:r>
      <w:r w:rsidR="1D6ACBC1" w:rsidRPr="293D3C50">
        <w:rPr>
          <w:rFonts w:ascii="Segoe UI" w:hAnsi="Segoe UI" w:cs="Segoe UI"/>
        </w:rPr>
        <w:t>trategic goals.</w:t>
      </w:r>
      <w:r w:rsidR="6FD2E1BA" w:rsidRPr="293D3C50">
        <w:rPr>
          <w:rFonts w:ascii="Segoe UI" w:hAnsi="Segoe UI" w:cs="Segoe UI"/>
        </w:rPr>
        <w:t xml:space="preserve"> </w:t>
      </w:r>
      <w:r w:rsidR="1D6ACBC1" w:rsidRPr="293D3C50">
        <w:rPr>
          <w:rFonts w:ascii="Segoe UI" w:hAnsi="Segoe UI" w:cs="Segoe UI"/>
        </w:rPr>
        <w:t xml:space="preserve">Alternative 2 has a cost related to fee schedule design because it is counter to the </w:t>
      </w:r>
      <w:r w:rsidR="49B5568F" w:rsidRPr="293D3C50">
        <w:rPr>
          <w:rFonts w:ascii="Segoe UI" w:hAnsi="Segoe UI" w:cs="Segoe UI"/>
        </w:rPr>
        <w:t xml:space="preserve">USPTO’s </w:t>
      </w:r>
      <w:r w:rsidR="1D6ACBC1" w:rsidRPr="293D3C50">
        <w:rPr>
          <w:rFonts w:ascii="Segoe UI" w:hAnsi="Segoe UI" w:cs="Segoe UI"/>
        </w:rPr>
        <w:t xml:space="preserve">general philosophy to charge applicants and holders lower </w:t>
      </w:r>
      <w:r w:rsidR="228459A0" w:rsidRPr="293D3C50">
        <w:rPr>
          <w:rFonts w:ascii="Segoe UI" w:hAnsi="Segoe UI" w:cs="Segoe UI"/>
        </w:rPr>
        <w:t>filing, search, and examination (</w:t>
      </w:r>
      <w:r w:rsidR="30716504" w:rsidRPr="293D3C50">
        <w:rPr>
          <w:rFonts w:ascii="Segoe UI" w:hAnsi="Segoe UI" w:cs="Segoe UI"/>
        </w:rPr>
        <w:t>“</w:t>
      </w:r>
      <w:r w:rsidR="1D6ACBC1" w:rsidRPr="293D3C50">
        <w:rPr>
          <w:rFonts w:ascii="Segoe UI" w:hAnsi="Segoe UI" w:cs="Segoe UI"/>
        </w:rPr>
        <w:t>front-end</w:t>
      </w:r>
      <w:r w:rsidR="1D2F0A5D" w:rsidRPr="293D3C50">
        <w:rPr>
          <w:rFonts w:ascii="Segoe UI" w:hAnsi="Segoe UI" w:cs="Segoe UI"/>
        </w:rPr>
        <w:t>”</w:t>
      </w:r>
      <w:r w:rsidR="456CA7F9" w:rsidRPr="293D3C50">
        <w:rPr>
          <w:rFonts w:ascii="Segoe UI" w:hAnsi="Segoe UI" w:cs="Segoe UI"/>
        </w:rPr>
        <w:t>)</w:t>
      </w:r>
      <w:r w:rsidR="1D6ACBC1" w:rsidRPr="293D3C50">
        <w:rPr>
          <w:rFonts w:ascii="Segoe UI" w:hAnsi="Segoe UI" w:cs="Segoe UI"/>
        </w:rPr>
        <w:t xml:space="preserve"> fees and higher </w:t>
      </w:r>
      <w:r w:rsidR="61AA1CD0" w:rsidRPr="293D3C50">
        <w:rPr>
          <w:rFonts w:ascii="Segoe UI" w:hAnsi="Segoe UI" w:cs="Segoe UI"/>
        </w:rPr>
        <w:t>issue and maintenance (</w:t>
      </w:r>
      <w:r w:rsidR="32BEB8AE" w:rsidRPr="293D3C50">
        <w:rPr>
          <w:rFonts w:ascii="Segoe UI" w:hAnsi="Segoe UI" w:cs="Segoe UI"/>
        </w:rPr>
        <w:t>“</w:t>
      </w:r>
      <w:r w:rsidR="1D6ACBC1" w:rsidRPr="293D3C50">
        <w:rPr>
          <w:rFonts w:ascii="Segoe UI" w:hAnsi="Segoe UI" w:cs="Segoe UI"/>
        </w:rPr>
        <w:t>back-end</w:t>
      </w:r>
      <w:r w:rsidR="0EB22352" w:rsidRPr="293D3C50">
        <w:rPr>
          <w:rFonts w:ascii="Segoe UI" w:hAnsi="Segoe UI" w:cs="Segoe UI"/>
        </w:rPr>
        <w:t>”</w:t>
      </w:r>
      <w:r w:rsidR="4B77B5AA" w:rsidRPr="293D3C50">
        <w:rPr>
          <w:rFonts w:ascii="Segoe UI" w:hAnsi="Segoe UI" w:cs="Segoe UI"/>
        </w:rPr>
        <w:t>)</w:t>
      </w:r>
      <w:r w:rsidR="1D6ACBC1" w:rsidRPr="293D3C50">
        <w:rPr>
          <w:rFonts w:ascii="Segoe UI" w:hAnsi="Segoe UI" w:cs="Segoe UI"/>
        </w:rPr>
        <w:t xml:space="preserve"> fees</w:t>
      </w:r>
      <w:r w:rsidR="33149B6F" w:rsidRPr="293D3C50">
        <w:rPr>
          <w:rFonts w:ascii="Segoe UI" w:hAnsi="Segoe UI" w:cs="Segoe UI"/>
        </w:rPr>
        <w:t>,</w:t>
      </w:r>
      <w:r w:rsidR="1D6ACBC1" w:rsidRPr="293D3C50">
        <w:rPr>
          <w:rFonts w:ascii="Segoe UI" w:hAnsi="Segoe UI" w:cs="Segoe UI"/>
        </w:rPr>
        <w:t xml:space="preserve"> when they have more information about the relative value of their </w:t>
      </w:r>
      <w:r w:rsidR="49B5568F" w:rsidRPr="293D3C50">
        <w:rPr>
          <w:rFonts w:ascii="Segoe UI" w:hAnsi="Segoe UI" w:cs="Segoe UI"/>
        </w:rPr>
        <w:t>invention</w:t>
      </w:r>
      <w:r w:rsidR="22F0919A" w:rsidRPr="293D3C50">
        <w:rPr>
          <w:rFonts w:ascii="Segoe UI" w:hAnsi="Segoe UI" w:cs="Segoe UI"/>
        </w:rPr>
        <w:t>s</w:t>
      </w:r>
      <w:r w:rsidR="49B5568F" w:rsidRPr="293D3C50">
        <w:rPr>
          <w:rFonts w:ascii="Segoe UI" w:hAnsi="Segoe UI" w:cs="Segoe UI"/>
        </w:rPr>
        <w:t xml:space="preserve">. </w:t>
      </w:r>
      <w:r w:rsidR="1D6ACBC1" w:rsidRPr="293D3C50">
        <w:rPr>
          <w:rFonts w:ascii="Segoe UI" w:hAnsi="Segoe UI" w:cs="Segoe UI"/>
        </w:rPr>
        <w:t xml:space="preserve">These costs </w:t>
      </w:r>
      <w:r w:rsidR="49B5568F" w:rsidRPr="293D3C50">
        <w:rPr>
          <w:rFonts w:ascii="Segoe UI" w:hAnsi="Segoe UI" w:cs="Segoe UI"/>
        </w:rPr>
        <w:t>are</w:t>
      </w:r>
      <w:r w:rsidR="1D6ACBC1" w:rsidRPr="293D3C50">
        <w:rPr>
          <w:rFonts w:ascii="Segoe UI" w:hAnsi="Segoe UI" w:cs="Segoe UI"/>
        </w:rPr>
        <w:t xml:space="preserve"> discussed in more detail in Section</w:t>
      </w:r>
      <w:r w:rsidR="49B5568F" w:rsidRPr="293D3C50">
        <w:rPr>
          <w:rFonts w:ascii="Segoe UI" w:hAnsi="Segoe UI" w:cs="Segoe UI"/>
        </w:rPr>
        <w:t xml:space="preserve"> </w:t>
      </w:r>
      <w:r w:rsidR="1D6ACBC1" w:rsidRPr="293D3C50">
        <w:rPr>
          <w:rFonts w:ascii="Segoe UI" w:hAnsi="Segoe UI" w:cs="Segoe UI"/>
        </w:rPr>
        <w:t>4.</w:t>
      </w:r>
    </w:p>
    <w:p w14:paraId="1A605869" w14:textId="77777777" w:rsidR="0002055F" w:rsidRPr="00CF6436" w:rsidRDefault="0002055F" w:rsidP="00CF6436">
      <w:pPr>
        <w:spacing w:line="360" w:lineRule="auto"/>
        <w:jc w:val="both"/>
        <w:rPr>
          <w:rFonts w:ascii="Segoe UI" w:hAnsi="Segoe UI" w:cs="Segoe UI"/>
        </w:rPr>
      </w:pPr>
    </w:p>
    <w:p w14:paraId="7D2C739B" w14:textId="77777777" w:rsidR="007E7BF8" w:rsidRPr="00CF6436" w:rsidRDefault="009B4229" w:rsidP="00CF6436">
      <w:pPr>
        <w:pStyle w:val="Heading3"/>
        <w:spacing w:line="360" w:lineRule="auto"/>
        <w:rPr>
          <w:rFonts w:ascii="Segoe UI" w:hAnsi="Segoe UI" w:cs="Segoe UI"/>
        </w:rPr>
      </w:pPr>
      <w:r w:rsidRPr="00CF6436">
        <w:rPr>
          <w:rFonts w:ascii="Segoe UI" w:hAnsi="Segoe UI" w:cs="Segoe UI"/>
        </w:rPr>
        <w:t>3</w:t>
      </w:r>
      <w:r w:rsidR="0027478B" w:rsidRPr="00CF6436">
        <w:rPr>
          <w:rFonts w:ascii="Segoe UI" w:hAnsi="Segoe UI" w:cs="Segoe UI"/>
        </w:rPr>
        <w:t>.</w:t>
      </w:r>
      <w:r w:rsidR="00245C1F" w:rsidRPr="00CF6436">
        <w:rPr>
          <w:rFonts w:ascii="Segoe UI" w:hAnsi="Segoe UI" w:cs="Segoe UI"/>
        </w:rPr>
        <w:t>3</w:t>
      </w:r>
      <w:r w:rsidR="0027478B" w:rsidRPr="00CF6436">
        <w:rPr>
          <w:rFonts w:ascii="Segoe UI" w:hAnsi="Segoe UI" w:cs="Segoe UI"/>
        </w:rPr>
        <w:t xml:space="preserve">.2 Qualitative </w:t>
      </w:r>
      <w:r w:rsidR="002B7A97" w:rsidRPr="00CF6436">
        <w:rPr>
          <w:rFonts w:ascii="Segoe UI" w:hAnsi="Segoe UI" w:cs="Segoe UI"/>
        </w:rPr>
        <w:t>Benefits</w:t>
      </w:r>
    </w:p>
    <w:p w14:paraId="2D5BFBBE" w14:textId="5F502A21" w:rsidR="0002055F" w:rsidRPr="00CF6436" w:rsidRDefault="754EB0FA" w:rsidP="293D3C50">
      <w:pPr>
        <w:spacing w:line="360" w:lineRule="auto"/>
        <w:ind w:firstLine="450"/>
        <w:rPr>
          <w:rFonts w:ascii="Segoe UI" w:hAnsi="Segoe UI" w:cs="Segoe UI"/>
        </w:rPr>
      </w:pPr>
      <w:r w:rsidRPr="293D3C50">
        <w:rPr>
          <w:rFonts w:ascii="Segoe UI" w:hAnsi="Segoe UI" w:cs="Segoe UI"/>
        </w:rPr>
        <w:t xml:space="preserve">This section </w:t>
      </w:r>
      <w:r w:rsidR="4FC59012" w:rsidRPr="293D3C50">
        <w:rPr>
          <w:rFonts w:ascii="Segoe UI" w:hAnsi="Segoe UI" w:cs="Segoe UI"/>
        </w:rPr>
        <w:t xml:space="preserve">summarizes features of the alternatives </w:t>
      </w:r>
      <w:r w:rsidRPr="293D3C50">
        <w:rPr>
          <w:rFonts w:ascii="Segoe UI" w:hAnsi="Segoe UI" w:cs="Segoe UI"/>
        </w:rPr>
        <w:t>that represent a benefit to one or more stakeholder groups.</w:t>
      </w:r>
      <w:r w:rsidR="138178D1" w:rsidRPr="293D3C50">
        <w:rPr>
          <w:rFonts w:ascii="Segoe UI" w:hAnsi="Segoe UI" w:cs="Segoe UI"/>
        </w:rPr>
        <w:t xml:space="preserve"> </w:t>
      </w:r>
      <w:r w:rsidRPr="293D3C50">
        <w:rPr>
          <w:rFonts w:ascii="Segoe UI" w:hAnsi="Segoe UI" w:cs="Segoe UI"/>
        </w:rPr>
        <w:t>Table 3-</w:t>
      </w:r>
      <w:r w:rsidR="0D5013BE" w:rsidRPr="293D3C50">
        <w:rPr>
          <w:rFonts w:ascii="Segoe UI" w:hAnsi="Segoe UI" w:cs="Segoe UI"/>
        </w:rPr>
        <w:t>5</w:t>
      </w:r>
      <w:r w:rsidRPr="293D3C50">
        <w:rPr>
          <w:rFonts w:ascii="Segoe UI" w:hAnsi="Segoe UI" w:cs="Segoe UI"/>
        </w:rPr>
        <w:t xml:space="preserve"> shows the major qualitative benefits associated with the alternatives considered in this analysis.</w:t>
      </w:r>
      <w:r w:rsidR="138178D1" w:rsidRPr="293D3C50">
        <w:rPr>
          <w:rFonts w:ascii="Segoe UI" w:hAnsi="Segoe UI" w:cs="Segoe UI"/>
        </w:rPr>
        <w:t xml:space="preserve"> </w:t>
      </w:r>
      <w:r w:rsidRPr="293D3C50">
        <w:rPr>
          <w:rFonts w:ascii="Segoe UI" w:hAnsi="Segoe UI" w:cs="Segoe UI"/>
        </w:rPr>
        <w:t>If a benefit applies to a certain alternative, it is denoted with a checkmark.</w:t>
      </w:r>
    </w:p>
    <w:p w14:paraId="64C459E3" w14:textId="687B223D" w:rsidR="007E7BF8" w:rsidRPr="00CF6436" w:rsidRDefault="312549B8" w:rsidP="17CECF10">
      <w:pPr>
        <w:pStyle w:val="Caption"/>
        <w:keepNext/>
        <w:spacing w:after="200" w:line="360" w:lineRule="auto"/>
        <w:rPr>
          <w:rFonts w:ascii="Segoe UI" w:hAnsi="Segoe UI" w:cs="Segoe UI"/>
          <w:sz w:val="24"/>
          <w:szCs w:val="24"/>
        </w:rPr>
      </w:pPr>
      <w:bookmarkStart w:id="107" w:name="_Ref324245961"/>
      <w:r w:rsidRPr="17CECF10">
        <w:rPr>
          <w:rFonts w:ascii="Segoe UI" w:hAnsi="Segoe UI" w:cs="Segoe UI"/>
          <w:sz w:val="24"/>
          <w:szCs w:val="24"/>
        </w:rPr>
        <w:lastRenderedPageBreak/>
        <w:t xml:space="preserve">Table </w:t>
      </w:r>
      <w:r w:rsidR="5C221131" w:rsidRPr="17CECF10">
        <w:rPr>
          <w:rFonts w:ascii="Segoe UI" w:hAnsi="Segoe UI" w:cs="Segoe UI"/>
          <w:sz w:val="24"/>
          <w:szCs w:val="24"/>
        </w:rPr>
        <w:t>3</w:t>
      </w:r>
      <w:r w:rsidR="3EA1F685" w:rsidRPr="17CECF10">
        <w:rPr>
          <w:rFonts w:ascii="Segoe UI" w:hAnsi="Segoe UI" w:cs="Segoe UI"/>
          <w:sz w:val="24"/>
          <w:szCs w:val="24"/>
        </w:rPr>
        <w:t>-</w:t>
      </w:r>
      <w:bookmarkEnd w:id="107"/>
      <w:r w:rsidR="4B12B273" w:rsidRPr="17CECF10">
        <w:rPr>
          <w:rFonts w:ascii="Segoe UI" w:hAnsi="Segoe UI" w:cs="Segoe UI"/>
          <w:sz w:val="24"/>
          <w:szCs w:val="24"/>
        </w:rPr>
        <w:t>5</w:t>
      </w:r>
    </w:p>
    <w:tbl>
      <w:tblPr>
        <w:tblStyle w:val="TableGrid"/>
        <w:tblW w:w="9189" w:type="dxa"/>
        <w:jc w:val="center"/>
        <w:tblLayout w:type="fixed"/>
        <w:tblLook w:val="04A0" w:firstRow="1" w:lastRow="0" w:firstColumn="1" w:lastColumn="0" w:noHBand="0" w:noVBand="1"/>
        <w:tblCaption w:val="Benefits Matrix"/>
        <w:tblDescription w:val="Presents the two benefits discussed and identifies which of the alternatives align to each benefit."/>
      </w:tblPr>
      <w:tblGrid>
        <w:gridCol w:w="1890"/>
        <w:gridCol w:w="1620"/>
        <w:gridCol w:w="2340"/>
        <w:gridCol w:w="1630"/>
        <w:gridCol w:w="1709"/>
      </w:tblGrid>
      <w:tr w:rsidR="00890B9C" w:rsidRPr="00CF6436" w14:paraId="21746EA1" w14:textId="77777777" w:rsidTr="17CECF10">
        <w:trPr>
          <w:cantSplit/>
          <w:trHeight w:val="1574"/>
          <w:tblHeader/>
          <w:jc w:val="center"/>
        </w:trPr>
        <w:tc>
          <w:tcPr>
            <w:tcW w:w="1890" w:type="dxa"/>
            <w:vAlign w:val="center"/>
          </w:tcPr>
          <w:p w14:paraId="5BB94F53" w14:textId="11E396B6" w:rsidR="00890B9C" w:rsidRPr="00F65FC8" w:rsidRDefault="1E2EA617" w:rsidP="17CECF10">
            <w:pPr>
              <w:spacing w:before="120" w:after="120" w:line="240" w:lineRule="auto"/>
              <w:jc w:val="center"/>
              <w:rPr>
                <w:rFonts w:ascii="Segoe UI" w:hAnsi="Segoe UI" w:cs="Segoe UI"/>
                <w:b/>
                <w:bCs/>
                <w:sz w:val="22"/>
              </w:rPr>
            </w:pPr>
            <w:r w:rsidRPr="17CECF10">
              <w:rPr>
                <w:rFonts w:ascii="Segoe UI" w:hAnsi="Segoe UI" w:cs="Segoe UI"/>
                <w:b/>
                <w:bCs/>
                <w:sz w:val="22"/>
              </w:rPr>
              <w:t xml:space="preserve">Benefit </w:t>
            </w:r>
            <w:r w:rsidR="2E4A4B65" w:rsidRPr="17CECF10">
              <w:rPr>
                <w:rFonts w:ascii="Segoe UI" w:hAnsi="Segoe UI" w:cs="Segoe UI"/>
                <w:b/>
                <w:bCs/>
                <w:sz w:val="22"/>
              </w:rPr>
              <w:t>d</w:t>
            </w:r>
            <w:r w:rsidRPr="17CECF10">
              <w:rPr>
                <w:rFonts w:ascii="Segoe UI" w:hAnsi="Segoe UI" w:cs="Segoe UI"/>
                <w:b/>
                <w:bCs/>
                <w:sz w:val="22"/>
              </w:rPr>
              <w:t>escription</w:t>
            </w:r>
          </w:p>
        </w:tc>
        <w:tc>
          <w:tcPr>
            <w:tcW w:w="1620" w:type="dxa"/>
          </w:tcPr>
          <w:p w14:paraId="6F2518A3" w14:textId="77777777" w:rsidR="00273B5B" w:rsidRPr="00F65FC8" w:rsidRDefault="00273B5B" w:rsidP="00C01468">
            <w:pPr>
              <w:keepNext/>
              <w:spacing w:before="120" w:line="240" w:lineRule="auto"/>
              <w:jc w:val="center"/>
              <w:rPr>
                <w:rFonts w:ascii="Segoe UI" w:hAnsi="Segoe UI" w:cs="Segoe UI"/>
                <w:b/>
                <w:sz w:val="22"/>
              </w:rPr>
            </w:pPr>
            <w:r w:rsidRPr="00F65FC8">
              <w:rPr>
                <w:rFonts w:ascii="Segoe UI" w:hAnsi="Segoe UI" w:cs="Segoe UI"/>
                <w:b/>
                <w:sz w:val="22"/>
              </w:rPr>
              <w:t>Alternative 4</w:t>
            </w:r>
          </w:p>
          <w:p w14:paraId="7D2F1E38" w14:textId="77777777" w:rsidR="00890B9C" w:rsidRPr="00F65FC8" w:rsidRDefault="00890B9C" w:rsidP="00C01468">
            <w:pPr>
              <w:keepNext/>
              <w:spacing w:before="120" w:line="240" w:lineRule="auto"/>
              <w:jc w:val="center"/>
              <w:rPr>
                <w:rFonts w:ascii="Segoe UI" w:hAnsi="Segoe UI" w:cs="Segoe UI"/>
                <w:b/>
                <w:sz w:val="22"/>
              </w:rPr>
            </w:pPr>
            <w:r w:rsidRPr="00F65FC8">
              <w:rPr>
                <w:rFonts w:ascii="Segoe UI" w:hAnsi="Segoe UI" w:cs="Segoe UI"/>
                <w:b/>
                <w:sz w:val="22"/>
              </w:rPr>
              <w:t>Baseline</w:t>
            </w:r>
          </w:p>
        </w:tc>
        <w:tc>
          <w:tcPr>
            <w:tcW w:w="2340" w:type="dxa"/>
          </w:tcPr>
          <w:p w14:paraId="13A75809" w14:textId="4C30FA36" w:rsidR="00890B9C" w:rsidRPr="00F65FC8" w:rsidRDefault="435DA420" w:rsidP="293D3C50">
            <w:pPr>
              <w:keepNext/>
              <w:spacing w:before="120" w:line="240" w:lineRule="auto"/>
              <w:jc w:val="center"/>
              <w:rPr>
                <w:rFonts w:ascii="Segoe UI" w:hAnsi="Segoe UI" w:cs="Segoe UI"/>
                <w:b/>
                <w:bCs/>
                <w:sz w:val="22"/>
              </w:rPr>
            </w:pPr>
            <w:r w:rsidRPr="293D3C50">
              <w:rPr>
                <w:rFonts w:ascii="Segoe UI" w:hAnsi="Segoe UI" w:cs="Segoe UI"/>
                <w:b/>
                <w:bCs/>
                <w:sz w:val="22"/>
              </w:rPr>
              <w:t>Alt</w:t>
            </w:r>
            <w:r w:rsidR="04D6982B" w:rsidRPr="293D3C50">
              <w:rPr>
                <w:rFonts w:ascii="Segoe UI" w:hAnsi="Segoe UI" w:cs="Segoe UI"/>
                <w:b/>
                <w:bCs/>
                <w:sz w:val="22"/>
              </w:rPr>
              <w:t xml:space="preserve">ernative </w:t>
            </w:r>
            <w:r w:rsidRPr="293D3C50">
              <w:rPr>
                <w:rFonts w:ascii="Segoe UI" w:hAnsi="Segoe UI" w:cs="Segoe UI"/>
                <w:b/>
                <w:bCs/>
                <w:sz w:val="22"/>
              </w:rPr>
              <w:t>1</w:t>
            </w:r>
          </w:p>
          <w:p w14:paraId="15E91755" w14:textId="70D93DBB" w:rsidR="00890B9C" w:rsidRPr="00F65FC8" w:rsidRDefault="00573A64" w:rsidP="00C01468">
            <w:pPr>
              <w:spacing w:before="120" w:line="240" w:lineRule="auto"/>
              <w:jc w:val="center"/>
              <w:rPr>
                <w:rFonts w:ascii="Segoe UI" w:hAnsi="Segoe UI" w:cs="Segoe UI"/>
                <w:b/>
                <w:sz w:val="22"/>
              </w:rPr>
            </w:pPr>
            <w:r>
              <w:rPr>
                <w:rFonts w:ascii="Segoe UI" w:hAnsi="Segoe UI" w:cs="Segoe UI"/>
                <w:b/>
                <w:sz w:val="22"/>
              </w:rPr>
              <w:t>Final</w:t>
            </w:r>
            <w:r w:rsidRPr="00F65FC8">
              <w:rPr>
                <w:rFonts w:ascii="Segoe UI" w:hAnsi="Segoe UI" w:cs="Segoe UI"/>
                <w:b/>
                <w:sz w:val="22"/>
              </w:rPr>
              <w:t xml:space="preserve"> </w:t>
            </w:r>
            <w:r w:rsidR="00D60751" w:rsidRPr="00F65FC8">
              <w:rPr>
                <w:rFonts w:ascii="Segoe UI" w:hAnsi="Segoe UI" w:cs="Segoe UI"/>
                <w:b/>
                <w:sz w:val="22"/>
              </w:rPr>
              <w:t>Patent</w:t>
            </w:r>
            <w:r w:rsidR="00890B9C" w:rsidRPr="00F65FC8">
              <w:rPr>
                <w:rFonts w:ascii="Segoe UI" w:hAnsi="Segoe UI" w:cs="Segoe UI"/>
                <w:b/>
                <w:sz w:val="22"/>
              </w:rPr>
              <w:t xml:space="preserve"> Fee Schedule </w:t>
            </w:r>
          </w:p>
        </w:tc>
        <w:tc>
          <w:tcPr>
            <w:tcW w:w="1630" w:type="dxa"/>
          </w:tcPr>
          <w:p w14:paraId="2A30C4FD" w14:textId="77777777" w:rsidR="00890B9C" w:rsidRPr="00F65FC8" w:rsidRDefault="00890B9C" w:rsidP="00C01468">
            <w:pPr>
              <w:keepNext/>
              <w:spacing w:before="120" w:line="240" w:lineRule="auto"/>
              <w:jc w:val="center"/>
              <w:rPr>
                <w:rFonts w:ascii="Segoe UI" w:hAnsi="Segoe UI" w:cs="Segoe UI"/>
                <w:b/>
                <w:sz w:val="22"/>
              </w:rPr>
            </w:pPr>
            <w:r w:rsidRPr="00F65FC8">
              <w:rPr>
                <w:rFonts w:ascii="Segoe UI" w:hAnsi="Segoe UI" w:cs="Segoe UI"/>
                <w:b/>
                <w:sz w:val="22"/>
              </w:rPr>
              <w:t>Alt</w:t>
            </w:r>
            <w:r w:rsidR="00273B5B" w:rsidRPr="00F65FC8">
              <w:rPr>
                <w:rFonts w:ascii="Segoe UI" w:hAnsi="Segoe UI" w:cs="Segoe UI"/>
                <w:b/>
                <w:sz w:val="22"/>
              </w:rPr>
              <w:t>ernative</w:t>
            </w:r>
            <w:r w:rsidRPr="00F65FC8">
              <w:rPr>
                <w:rFonts w:ascii="Segoe UI" w:hAnsi="Segoe UI" w:cs="Segoe UI"/>
                <w:b/>
                <w:sz w:val="22"/>
              </w:rPr>
              <w:t xml:space="preserve"> 2</w:t>
            </w:r>
          </w:p>
          <w:p w14:paraId="2C01DEBA" w14:textId="77777777" w:rsidR="00890B9C" w:rsidRPr="00F65FC8" w:rsidRDefault="00890B9C" w:rsidP="00C01468">
            <w:pPr>
              <w:spacing w:before="120" w:line="240" w:lineRule="auto"/>
              <w:jc w:val="center"/>
              <w:rPr>
                <w:rFonts w:ascii="Segoe UI" w:hAnsi="Segoe UI" w:cs="Segoe UI"/>
                <w:b/>
                <w:sz w:val="22"/>
              </w:rPr>
            </w:pPr>
            <w:r w:rsidRPr="00F65FC8">
              <w:rPr>
                <w:rFonts w:ascii="Segoe UI" w:hAnsi="Segoe UI" w:cs="Segoe UI"/>
                <w:b/>
                <w:sz w:val="22"/>
              </w:rPr>
              <w:t>Unit Cost Recovery</w:t>
            </w:r>
          </w:p>
        </w:tc>
        <w:tc>
          <w:tcPr>
            <w:tcW w:w="1709" w:type="dxa"/>
          </w:tcPr>
          <w:p w14:paraId="5ECA3D9D" w14:textId="490AABFB" w:rsidR="00890B9C" w:rsidRPr="00F65FC8" w:rsidRDefault="435DA420" w:rsidP="293D3C50">
            <w:pPr>
              <w:keepNext/>
              <w:spacing w:before="120" w:after="120" w:line="240" w:lineRule="auto"/>
              <w:jc w:val="center"/>
              <w:rPr>
                <w:rFonts w:ascii="Segoe UI" w:hAnsi="Segoe UI" w:cs="Segoe UI"/>
                <w:b/>
                <w:bCs/>
                <w:sz w:val="22"/>
              </w:rPr>
            </w:pPr>
            <w:r w:rsidRPr="293D3C50">
              <w:rPr>
                <w:rFonts w:ascii="Segoe UI" w:hAnsi="Segoe UI" w:cs="Segoe UI"/>
                <w:b/>
                <w:bCs/>
                <w:sz w:val="22"/>
              </w:rPr>
              <w:t>Alt</w:t>
            </w:r>
            <w:r w:rsidR="04D6982B" w:rsidRPr="293D3C50">
              <w:rPr>
                <w:rFonts w:ascii="Segoe UI" w:hAnsi="Segoe UI" w:cs="Segoe UI"/>
                <w:b/>
                <w:bCs/>
                <w:sz w:val="22"/>
              </w:rPr>
              <w:t>ernative</w:t>
            </w:r>
            <w:r w:rsidRPr="293D3C50">
              <w:rPr>
                <w:rFonts w:ascii="Segoe UI" w:hAnsi="Segoe UI" w:cs="Segoe UI"/>
                <w:b/>
                <w:bCs/>
                <w:sz w:val="22"/>
              </w:rPr>
              <w:t xml:space="preserve"> 3</w:t>
            </w:r>
          </w:p>
          <w:p w14:paraId="0FAAAB25" w14:textId="33CC5332" w:rsidR="00890B9C" w:rsidRPr="00F65FC8" w:rsidRDefault="00890B9C" w:rsidP="00C01468">
            <w:pPr>
              <w:spacing w:before="120" w:after="120" w:line="240" w:lineRule="auto"/>
              <w:jc w:val="center"/>
              <w:rPr>
                <w:rFonts w:ascii="Segoe UI" w:hAnsi="Segoe UI" w:cs="Segoe UI"/>
                <w:b/>
                <w:sz w:val="22"/>
              </w:rPr>
            </w:pPr>
            <w:r w:rsidRPr="00F65FC8">
              <w:rPr>
                <w:rFonts w:ascii="Segoe UI" w:hAnsi="Segoe UI" w:cs="Segoe UI"/>
                <w:b/>
                <w:sz w:val="22"/>
              </w:rPr>
              <w:t>Across</w:t>
            </w:r>
            <w:r w:rsidR="00116DBE" w:rsidRPr="00F65FC8">
              <w:rPr>
                <w:rFonts w:ascii="Segoe UI" w:hAnsi="Segoe UI" w:cs="Segoe UI"/>
                <w:b/>
                <w:sz w:val="22"/>
              </w:rPr>
              <w:t>-</w:t>
            </w:r>
            <w:r w:rsidRPr="00F65FC8">
              <w:rPr>
                <w:rFonts w:ascii="Segoe UI" w:hAnsi="Segoe UI" w:cs="Segoe UI"/>
                <w:b/>
                <w:sz w:val="22"/>
              </w:rPr>
              <w:t>the</w:t>
            </w:r>
            <w:r w:rsidR="00116DBE" w:rsidRPr="00F65FC8">
              <w:rPr>
                <w:rFonts w:ascii="Segoe UI" w:hAnsi="Segoe UI" w:cs="Segoe UI"/>
                <w:b/>
                <w:sz w:val="22"/>
              </w:rPr>
              <w:t>-</w:t>
            </w:r>
            <w:r w:rsidRPr="00F65FC8">
              <w:rPr>
                <w:rFonts w:ascii="Segoe UI" w:hAnsi="Segoe UI" w:cs="Segoe UI"/>
                <w:b/>
                <w:sz w:val="22"/>
              </w:rPr>
              <w:t>Board Adjustment</w:t>
            </w:r>
          </w:p>
        </w:tc>
      </w:tr>
      <w:tr w:rsidR="00890B9C" w:rsidRPr="00CF6436" w14:paraId="7C9F0888" w14:textId="77777777" w:rsidTr="17CECF10">
        <w:trPr>
          <w:cantSplit/>
          <w:trHeight w:val="521"/>
          <w:jc w:val="center"/>
        </w:trPr>
        <w:tc>
          <w:tcPr>
            <w:tcW w:w="1890" w:type="dxa"/>
            <w:vAlign w:val="center"/>
          </w:tcPr>
          <w:p w14:paraId="0AC4D535" w14:textId="504A8725" w:rsidR="00890B9C" w:rsidRPr="00BD627F" w:rsidRDefault="44F5EF39" w:rsidP="00C01468">
            <w:pPr>
              <w:spacing w:before="120" w:after="120" w:line="240" w:lineRule="auto"/>
              <w:rPr>
                <w:rFonts w:ascii="Segoe UI" w:hAnsi="Segoe UI" w:cs="Segoe UI"/>
                <w:sz w:val="22"/>
              </w:rPr>
            </w:pPr>
            <w:r w:rsidRPr="00F65FC8">
              <w:rPr>
                <w:rFonts w:ascii="Segoe UI" w:hAnsi="Segoe UI" w:cs="Segoe UI"/>
                <w:sz w:val="22"/>
              </w:rPr>
              <w:t xml:space="preserve">Secure </w:t>
            </w:r>
            <w:r w:rsidR="73AD0E80" w:rsidRPr="3E055338">
              <w:rPr>
                <w:rFonts w:ascii="Segoe UI" w:hAnsi="Segoe UI" w:cs="Segoe UI"/>
                <w:sz w:val="22"/>
              </w:rPr>
              <w:t>a</w:t>
            </w:r>
            <w:r w:rsidRPr="00F65FC8">
              <w:rPr>
                <w:rFonts w:ascii="Segoe UI" w:hAnsi="Segoe UI" w:cs="Segoe UI"/>
                <w:sz w:val="22"/>
              </w:rPr>
              <w:t xml:space="preserve">ggregate </w:t>
            </w:r>
            <w:r w:rsidR="106F0654" w:rsidRPr="3E055338">
              <w:rPr>
                <w:rFonts w:ascii="Segoe UI" w:hAnsi="Segoe UI" w:cs="Segoe UI"/>
                <w:sz w:val="22"/>
              </w:rPr>
              <w:t>r</w:t>
            </w:r>
            <w:r w:rsidRPr="00F65FC8">
              <w:rPr>
                <w:rFonts w:ascii="Segoe UI" w:hAnsi="Segoe UI" w:cs="Segoe UI"/>
                <w:sz w:val="22"/>
              </w:rPr>
              <w:t xml:space="preserve">evenue to </w:t>
            </w:r>
            <w:r w:rsidR="6F1C29FA" w:rsidRPr="3E055338">
              <w:rPr>
                <w:rFonts w:ascii="Segoe UI" w:hAnsi="Segoe UI" w:cs="Segoe UI"/>
                <w:sz w:val="22"/>
              </w:rPr>
              <w:t>r</w:t>
            </w:r>
            <w:r w:rsidR="51943788" w:rsidRPr="00F65FC8">
              <w:rPr>
                <w:rFonts w:ascii="Segoe UI" w:hAnsi="Segoe UI" w:cs="Segoe UI"/>
                <w:sz w:val="22"/>
              </w:rPr>
              <w:t>ec</w:t>
            </w:r>
            <w:r w:rsidRPr="00F65FC8">
              <w:rPr>
                <w:rFonts w:ascii="Segoe UI" w:hAnsi="Segoe UI" w:cs="Segoe UI"/>
                <w:sz w:val="22"/>
              </w:rPr>
              <w:t xml:space="preserve">over </w:t>
            </w:r>
            <w:r w:rsidR="1D1C345E" w:rsidRPr="3E055338">
              <w:rPr>
                <w:rFonts w:ascii="Segoe UI" w:hAnsi="Segoe UI" w:cs="Segoe UI"/>
                <w:sz w:val="22"/>
              </w:rPr>
              <w:t>a</w:t>
            </w:r>
            <w:r w:rsidRPr="00F65FC8">
              <w:rPr>
                <w:rFonts w:ascii="Segoe UI" w:hAnsi="Segoe UI" w:cs="Segoe UI"/>
                <w:sz w:val="22"/>
              </w:rPr>
              <w:t>ggregate</w:t>
            </w:r>
            <w:r w:rsidR="2B3646EC" w:rsidRPr="00F65FC8">
              <w:rPr>
                <w:rFonts w:ascii="Segoe UI" w:hAnsi="Segoe UI" w:cs="Segoe UI"/>
                <w:sz w:val="22"/>
              </w:rPr>
              <w:t xml:space="preserve"> </w:t>
            </w:r>
            <w:r w:rsidR="5AF5F849" w:rsidRPr="3E055338">
              <w:rPr>
                <w:rFonts w:ascii="Segoe UI" w:hAnsi="Segoe UI" w:cs="Segoe UI"/>
                <w:sz w:val="22"/>
              </w:rPr>
              <w:t>c</w:t>
            </w:r>
            <w:r w:rsidR="2B3646EC" w:rsidRPr="00F65FC8">
              <w:rPr>
                <w:rFonts w:ascii="Segoe UI" w:hAnsi="Segoe UI" w:cs="Segoe UI"/>
                <w:sz w:val="22"/>
              </w:rPr>
              <w:t>osts</w:t>
            </w:r>
          </w:p>
        </w:tc>
        <w:tc>
          <w:tcPr>
            <w:tcW w:w="1620" w:type="dxa"/>
            <w:vAlign w:val="center"/>
          </w:tcPr>
          <w:p w14:paraId="32FD8668" w14:textId="77777777" w:rsidR="00890B9C" w:rsidRPr="00F65FC8" w:rsidRDefault="00890B9C" w:rsidP="00C01468">
            <w:pPr>
              <w:spacing w:before="120" w:after="120" w:line="240" w:lineRule="auto"/>
              <w:jc w:val="center"/>
              <w:rPr>
                <w:rFonts w:ascii="Segoe UI" w:hAnsi="Segoe UI" w:cs="Segoe UI"/>
                <w:sz w:val="22"/>
              </w:rPr>
            </w:pPr>
            <w:r w:rsidRPr="00F65FC8">
              <w:rPr>
                <w:rFonts w:ascii="Segoe UI" w:hAnsi="Segoe UI" w:cs="Segoe UI"/>
                <w:sz w:val="22"/>
              </w:rPr>
              <w:t>--</w:t>
            </w:r>
          </w:p>
        </w:tc>
        <w:tc>
          <w:tcPr>
            <w:tcW w:w="2340" w:type="dxa"/>
            <w:vAlign w:val="center"/>
          </w:tcPr>
          <w:p w14:paraId="431A23D7" w14:textId="562F7107" w:rsidR="00890B9C" w:rsidRPr="00F65FC8" w:rsidRDefault="007E5AFA" w:rsidP="00C01468">
            <w:pPr>
              <w:spacing w:before="120" w:after="120" w:line="240" w:lineRule="auto"/>
              <w:jc w:val="center"/>
              <w:rPr>
                <w:rFonts w:ascii="Segoe UI" w:hAnsi="Segoe UI" w:cs="Segoe UI"/>
                <w:sz w:val="22"/>
              </w:rPr>
            </w:pPr>
            <w:r w:rsidRPr="00F65FC8">
              <w:rPr>
                <w:rFonts w:ascii="Wingdings" w:eastAsia="Wingdings" w:hAnsi="Wingdings" w:cs="Wingdings"/>
                <w:sz w:val="22"/>
              </w:rPr>
              <w:t>ü</w:t>
            </w:r>
          </w:p>
        </w:tc>
        <w:tc>
          <w:tcPr>
            <w:tcW w:w="1630" w:type="dxa"/>
            <w:vAlign w:val="center"/>
          </w:tcPr>
          <w:p w14:paraId="5CDDC3B3" w14:textId="75100A88" w:rsidR="00890B9C" w:rsidRPr="00F65FC8" w:rsidRDefault="007E5AFA" w:rsidP="00C01468">
            <w:pPr>
              <w:spacing w:before="120" w:after="120" w:line="240" w:lineRule="auto"/>
              <w:jc w:val="center"/>
              <w:rPr>
                <w:rFonts w:ascii="Segoe UI" w:hAnsi="Segoe UI" w:cs="Segoe UI"/>
                <w:sz w:val="22"/>
              </w:rPr>
            </w:pPr>
            <w:r w:rsidRPr="00F65FC8">
              <w:rPr>
                <w:rFonts w:ascii="Wingdings" w:eastAsia="Wingdings" w:hAnsi="Wingdings" w:cs="Wingdings"/>
                <w:sz w:val="22"/>
              </w:rPr>
              <w:t>ü</w:t>
            </w:r>
          </w:p>
        </w:tc>
        <w:tc>
          <w:tcPr>
            <w:tcW w:w="1709" w:type="dxa"/>
            <w:vAlign w:val="center"/>
          </w:tcPr>
          <w:p w14:paraId="42A986A4" w14:textId="03710051" w:rsidR="00890B9C" w:rsidRPr="00F65FC8" w:rsidRDefault="007E5AFA" w:rsidP="00C01468">
            <w:pPr>
              <w:spacing w:before="120" w:after="120" w:line="240" w:lineRule="auto"/>
              <w:jc w:val="center"/>
              <w:rPr>
                <w:rFonts w:ascii="Segoe UI" w:hAnsi="Segoe UI" w:cs="Segoe UI"/>
                <w:sz w:val="22"/>
              </w:rPr>
            </w:pPr>
            <w:r w:rsidRPr="00F65FC8">
              <w:rPr>
                <w:rFonts w:ascii="Wingdings" w:eastAsia="Wingdings" w:hAnsi="Wingdings" w:cs="Wingdings"/>
                <w:sz w:val="22"/>
              </w:rPr>
              <w:t>ü</w:t>
            </w:r>
          </w:p>
        </w:tc>
      </w:tr>
      <w:tr w:rsidR="00890B9C" w:rsidRPr="00CF6436" w14:paraId="08613D75" w14:textId="77777777" w:rsidTr="17CECF10">
        <w:trPr>
          <w:cantSplit/>
          <w:trHeight w:val="149"/>
          <w:jc w:val="center"/>
        </w:trPr>
        <w:tc>
          <w:tcPr>
            <w:tcW w:w="1890" w:type="dxa"/>
            <w:vAlign w:val="center"/>
          </w:tcPr>
          <w:p w14:paraId="7C174A21" w14:textId="29335107" w:rsidR="00890B9C" w:rsidRPr="00BD627F" w:rsidRDefault="44F5EF39" w:rsidP="00C01468">
            <w:pPr>
              <w:spacing w:before="120" w:after="120" w:line="240" w:lineRule="auto"/>
              <w:rPr>
                <w:rFonts w:ascii="Segoe UI" w:hAnsi="Segoe UI" w:cs="Segoe UI"/>
                <w:sz w:val="22"/>
              </w:rPr>
            </w:pPr>
            <w:r w:rsidRPr="00F65FC8">
              <w:rPr>
                <w:rFonts w:ascii="Segoe UI" w:hAnsi="Segoe UI" w:cs="Segoe UI"/>
                <w:sz w:val="22"/>
              </w:rPr>
              <w:t xml:space="preserve">Fee </w:t>
            </w:r>
            <w:r w:rsidR="1569BA0F" w:rsidRPr="3E055338">
              <w:rPr>
                <w:rFonts w:ascii="Segoe UI" w:hAnsi="Segoe UI" w:cs="Segoe UI"/>
                <w:sz w:val="22"/>
              </w:rPr>
              <w:t>s</w:t>
            </w:r>
            <w:r w:rsidRPr="00F65FC8">
              <w:rPr>
                <w:rFonts w:ascii="Segoe UI" w:hAnsi="Segoe UI" w:cs="Segoe UI"/>
                <w:sz w:val="22"/>
              </w:rPr>
              <w:t xml:space="preserve">chedule </w:t>
            </w:r>
            <w:r w:rsidR="1ABA731B" w:rsidRPr="3E055338">
              <w:rPr>
                <w:rFonts w:ascii="Segoe UI" w:hAnsi="Segoe UI" w:cs="Segoe UI"/>
                <w:sz w:val="22"/>
              </w:rPr>
              <w:t>d</w:t>
            </w:r>
            <w:r w:rsidRPr="00F65FC8">
              <w:rPr>
                <w:rFonts w:ascii="Segoe UI" w:hAnsi="Segoe UI" w:cs="Segoe UI"/>
                <w:sz w:val="22"/>
              </w:rPr>
              <w:t xml:space="preserve">esign </w:t>
            </w:r>
          </w:p>
        </w:tc>
        <w:tc>
          <w:tcPr>
            <w:tcW w:w="1620" w:type="dxa"/>
            <w:vAlign w:val="center"/>
          </w:tcPr>
          <w:p w14:paraId="2483D697" w14:textId="77777777" w:rsidR="00890B9C" w:rsidRPr="00F65FC8" w:rsidRDefault="00890B9C" w:rsidP="00C01468">
            <w:pPr>
              <w:spacing w:before="120" w:after="120" w:line="240" w:lineRule="auto"/>
              <w:jc w:val="center"/>
              <w:rPr>
                <w:rFonts w:ascii="Segoe UI" w:hAnsi="Segoe UI" w:cs="Segoe UI"/>
                <w:sz w:val="22"/>
              </w:rPr>
            </w:pPr>
            <w:r w:rsidRPr="00F65FC8">
              <w:rPr>
                <w:rFonts w:ascii="Segoe UI" w:hAnsi="Segoe UI" w:cs="Segoe UI"/>
                <w:sz w:val="22"/>
              </w:rPr>
              <w:t>--</w:t>
            </w:r>
          </w:p>
        </w:tc>
        <w:tc>
          <w:tcPr>
            <w:tcW w:w="2340" w:type="dxa"/>
            <w:vAlign w:val="center"/>
          </w:tcPr>
          <w:p w14:paraId="70CC2968" w14:textId="30B833EA" w:rsidR="00890B9C" w:rsidRPr="00F65FC8" w:rsidRDefault="007E5AFA" w:rsidP="00C01468">
            <w:pPr>
              <w:spacing w:before="120" w:after="120" w:line="240" w:lineRule="auto"/>
              <w:jc w:val="center"/>
              <w:rPr>
                <w:rFonts w:ascii="Segoe UI" w:hAnsi="Segoe UI" w:cs="Segoe UI"/>
                <w:sz w:val="22"/>
              </w:rPr>
            </w:pPr>
            <w:r w:rsidRPr="00F65FC8">
              <w:rPr>
                <w:rFonts w:ascii="Wingdings" w:eastAsia="Wingdings" w:hAnsi="Wingdings" w:cs="Wingdings"/>
                <w:sz w:val="22"/>
              </w:rPr>
              <w:t>ü</w:t>
            </w:r>
          </w:p>
        </w:tc>
        <w:tc>
          <w:tcPr>
            <w:tcW w:w="1630" w:type="dxa"/>
            <w:vAlign w:val="center"/>
          </w:tcPr>
          <w:p w14:paraId="635D70B7" w14:textId="77777777" w:rsidR="00890B9C" w:rsidRPr="00F65FC8" w:rsidRDefault="00890B9C" w:rsidP="00C01468">
            <w:pPr>
              <w:spacing w:before="120" w:after="120" w:line="240" w:lineRule="auto"/>
              <w:jc w:val="center"/>
              <w:rPr>
                <w:rFonts w:ascii="Segoe UI" w:hAnsi="Segoe UI" w:cs="Segoe UI"/>
                <w:sz w:val="22"/>
              </w:rPr>
            </w:pPr>
            <w:r w:rsidRPr="00F65FC8">
              <w:rPr>
                <w:rFonts w:ascii="Segoe UI" w:hAnsi="Segoe UI" w:cs="Segoe UI"/>
                <w:sz w:val="22"/>
              </w:rPr>
              <w:t>--</w:t>
            </w:r>
          </w:p>
        </w:tc>
        <w:tc>
          <w:tcPr>
            <w:tcW w:w="1709" w:type="dxa"/>
            <w:vAlign w:val="center"/>
          </w:tcPr>
          <w:p w14:paraId="12BA1917" w14:textId="77777777" w:rsidR="00890B9C" w:rsidRPr="00F65FC8" w:rsidRDefault="00890B9C" w:rsidP="00C01468">
            <w:pPr>
              <w:spacing w:before="120" w:after="120" w:line="240" w:lineRule="auto"/>
              <w:jc w:val="center"/>
              <w:rPr>
                <w:rFonts w:ascii="Segoe UI" w:hAnsi="Segoe UI" w:cs="Segoe UI"/>
                <w:sz w:val="22"/>
              </w:rPr>
            </w:pPr>
            <w:r w:rsidRPr="00F65FC8">
              <w:rPr>
                <w:rFonts w:ascii="Segoe UI" w:hAnsi="Segoe UI" w:cs="Segoe UI"/>
                <w:sz w:val="22"/>
              </w:rPr>
              <w:t>--</w:t>
            </w:r>
          </w:p>
        </w:tc>
      </w:tr>
    </w:tbl>
    <w:p w14:paraId="157F6A87" w14:textId="77777777" w:rsidR="00D954CD" w:rsidRPr="00CF6436" w:rsidRDefault="00D954CD" w:rsidP="00CF6436">
      <w:pPr>
        <w:spacing w:line="360" w:lineRule="auto"/>
        <w:rPr>
          <w:rFonts w:ascii="Segoe UI" w:hAnsi="Segoe UI" w:cs="Segoe UI"/>
        </w:rPr>
      </w:pPr>
      <w:r w:rsidRPr="00CF6436">
        <w:rPr>
          <w:rFonts w:ascii="Segoe UI" w:hAnsi="Segoe UI" w:cs="Segoe UI"/>
        </w:rPr>
        <w:t xml:space="preserve"> </w:t>
      </w:r>
    </w:p>
    <w:p w14:paraId="54267949" w14:textId="4C81B0B5" w:rsidR="0002055F" w:rsidRPr="00CF6436" w:rsidRDefault="3DBD92E4" w:rsidP="00CF6436">
      <w:pPr>
        <w:spacing w:line="360" w:lineRule="auto"/>
        <w:ind w:firstLine="720"/>
        <w:rPr>
          <w:rFonts w:ascii="Segoe UI" w:hAnsi="Segoe UI" w:cs="Segoe UI"/>
        </w:rPr>
      </w:pPr>
      <w:r w:rsidRPr="293D3C50">
        <w:rPr>
          <w:rFonts w:ascii="Segoe UI" w:hAnsi="Segoe UI" w:cs="Segoe UI"/>
        </w:rPr>
        <w:t>Using the assumptions found in the</w:t>
      </w:r>
      <w:r w:rsidR="000E20E9">
        <w:rPr>
          <w:rFonts w:ascii="Segoe UI" w:hAnsi="Segoe UI" w:cs="Segoe UI"/>
        </w:rPr>
        <w:t xml:space="preserve"> final rule</w:t>
      </w:r>
      <w:r w:rsidRPr="293D3C50">
        <w:rPr>
          <w:rFonts w:ascii="Segoe UI" w:hAnsi="Segoe UI" w:cs="Segoe UI"/>
        </w:rPr>
        <w:t xml:space="preserve"> and the FY 2025 Budget, a</w:t>
      </w:r>
      <w:r w:rsidR="5E643209" w:rsidRPr="293D3C50">
        <w:rPr>
          <w:rFonts w:ascii="Segoe UI" w:hAnsi="Segoe UI" w:cs="Segoe UI"/>
        </w:rPr>
        <w:t>ll</w:t>
      </w:r>
      <w:r w:rsidR="208A6032" w:rsidRPr="293D3C50">
        <w:rPr>
          <w:rFonts w:ascii="Segoe UI" w:hAnsi="Segoe UI" w:cs="Segoe UI"/>
        </w:rPr>
        <w:t xml:space="preserve"> alternatives</w:t>
      </w:r>
      <w:r w:rsidR="5E643209" w:rsidRPr="293D3C50">
        <w:rPr>
          <w:rFonts w:ascii="Segoe UI" w:hAnsi="Segoe UI" w:cs="Segoe UI"/>
        </w:rPr>
        <w:t>, other than the Baseline,</w:t>
      </w:r>
      <w:r w:rsidR="208A6032" w:rsidRPr="293D3C50">
        <w:rPr>
          <w:rFonts w:ascii="Segoe UI" w:hAnsi="Segoe UI" w:cs="Segoe UI"/>
        </w:rPr>
        <w:t xml:space="preserve"> </w:t>
      </w:r>
      <w:r w:rsidR="19FAB04C" w:rsidRPr="293D3C50">
        <w:rPr>
          <w:rFonts w:ascii="Segoe UI" w:hAnsi="Segoe UI" w:cs="Segoe UI"/>
        </w:rPr>
        <w:t xml:space="preserve">ensure </w:t>
      </w:r>
      <w:r w:rsidR="225C7181" w:rsidRPr="293D3C50">
        <w:rPr>
          <w:rFonts w:ascii="Segoe UI" w:hAnsi="Segoe UI" w:cs="Segoe UI"/>
        </w:rPr>
        <w:t xml:space="preserve">the USPTO’s </w:t>
      </w:r>
      <w:r w:rsidR="19FAB04C" w:rsidRPr="293D3C50">
        <w:rPr>
          <w:rFonts w:ascii="Segoe UI" w:hAnsi="Segoe UI" w:cs="Segoe UI"/>
        </w:rPr>
        <w:t xml:space="preserve">financial sustainability </w:t>
      </w:r>
      <w:r w:rsidR="1564CEFF" w:rsidRPr="293D3C50">
        <w:rPr>
          <w:rFonts w:ascii="Segoe UI" w:hAnsi="Segoe UI" w:cs="Segoe UI"/>
        </w:rPr>
        <w:t xml:space="preserve">by providing adequate aggregate revenue to recover </w:t>
      </w:r>
      <w:r w:rsidR="668139E0" w:rsidRPr="293D3C50">
        <w:rPr>
          <w:rFonts w:ascii="Segoe UI" w:hAnsi="Segoe UI" w:cs="Segoe UI"/>
        </w:rPr>
        <w:t xml:space="preserve">the </w:t>
      </w:r>
      <w:r w:rsidR="1564CEFF" w:rsidRPr="293D3C50">
        <w:rPr>
          <w:rFonts w:ascii="Segoe UI" w:hAnsi="Segoe UI" w:cs="Segoe UI"/>
        </w:rPr>
        <w:t>aggregate costs required</w:t>
      </w:r>
      <w:r w:rsidR="675367A8" w:rsidRPr="293D3C50">
        <w:rPr>
          <w:rFonts w:ascii="Segoe UI" w:hAnsi="Segoe UI" w:cs="Segoe UI"/>
        </w:rPr>
        <w:t xml:space="preserve"> to maintain operations and </w:t>
      </w:r>
      <w:r w:rsidR="19FAB04C" w:rsidRPr="293D3C50">
        <w:rPr>
          <w:rFonts w:ascii="Segoe UI" w:hAnsi="Segoe UI" w:cs="Segoe UI"/>
        </w:rPr>
        <w:t>improve the predictability and reliability of patent IP protection</w:t>
      </w:r>
      <w:r w:rsidR="3E03810C" w:rsidRPr="293D3C50">
        <w:rPr>
          <w:rFonts w:ascii="Segoe UI" w:hAnsi="Segoe UI" w:cs="Segoe UI"/>
        </w:rPr>
        <w:t>.</w:t>
      </w:r>
      <w:r w:rsidR="611FAAC7" w:rsidRPr="293D3C50">
        <w:rPr>
          <w:rFonts w:ascii="Segoe UI" w:hAnsi="Segoe UI" w:cs="Segoe UI"/>
        </w:rPr>
        <w:t xml:space="preserve"> </w:t>
      </w:r>
      <w:r w:rsidR="3E03810C" w:rsidRPr="293D3C50">
        <w:rPr>
          <w:rFonts w:ascii="Segoe UI" w:hAnsi="Segoe UI" w:cs="Segoe UI"/>
        </w:rPr>
        <w:t xml:space="preserve">However, the only </w:t>
      </w:r>
      <w:r w:rsidR="04D6982B" w:rsidRPr="293D3C50">
        <w:rPr>
          <w:rFonts w:ascii="Segoe UI" w:hAnsi="Segoe UI" w:cs="Segoe UI"/>
        </w:rPr>
        <w:t>a</w:t>
      </w:r>
      <w:r w:rsidR="3E03810C" w:rsidRPr="293D3C50">
        <w:rPr>
          <w:rFonts w:ascii="Segoe UI" w:hAnsi="Segoe UI" w:cs="Segoe UI"/>
        </w:rPr>
        <w:t>lternative that offers additional benefits related to fee schedule design is Alternative 1.</w:t>
      </w:r>
      <w:r w:rsidR="611FAAC7" w:rsidRPr="293D3C50">
        <w:rPr>
          <w:rFonts w:ascii="Segoe UI" w:hAnsi="Segoe UI" w:cs="Segoe UI"/>
        </w:rPr>
        <w:t xml:space="preserve"> </w:t>
      </w:r>
      <w:r w:rsidR="3E03810C" w:rsidRPr="293D3C50">
        <w:rPr>
          <w:rFonts w:ascii="Segoe UI" w:hAnsi="Segoe UI" w:cs="Segoe UI"/>
        </w:rPr>
        <w:t>These benefits</w:t>
      </w:r>
      <w:r w:rsidR="611FAAC7" w:rsidRPr="293D3C50">
        <w:rPr>
          <w:rFonts w:ascii="Segoe UI" w:hAnsi="Segoe UI" w:cs="Segoe UI"/>
        </w:rPr>
        <w:t xml:space="preserve"> </w:t>
      </w:r>
      <w:r w:rsidR="3E03810C" w:rsidRPr="293D3C50">
        <w:rPr>
          <w:rFonts w:ascii="Segoe UI" w:hAnsi="Segoe UI" w:cs="Segoe UI"/>
        </w:rPr>
        <w:t>will be discussed in more detail in Section</w:t>
      </w:r>
      <w:r w:rsidR="3F44465D" w:rsidRPr="293D3C50">
        <w:rPr>
          <w:rFonts w:ascii="Segoe UI" w:hAnsi="Segoe UI" w:cs="Segoe UI"/>
        </w:rPr>
        <w:t> </w:t>
      </w:r>
      <w:r w:rsidR="3E03810C" w:rsidRPr="293D3C50">
        <w:rPr>
          <w:rFonts w:ascii="Segoe UI" w:hAnsi="Segoe UI" w:cs="Segoe UI"/>
        </w:rPr>
        <w:t>4.</w:t>
      </w:r>
    </w:p>
    <w:p w14:paraId="6307C0DB" w14:textId="77777777" w:rsidR="0002055F" w:rsidRPr="00CF6436" w:rsidRDefault="0002055F" w:rsidP="00CF6436">
      <w:pPr>
        <w:spacing w:line="360" w:lineRule="auto"/>
        <w:rPr>
          <w:rFonts w:ascii="Segoe UI" w:hAnsi="Segoe UI" w:cs="Segoe UI"/>
        </w:rPr>
      </w:pPr>
    </w:p>
    <w:p w14:paraId="3B7E7B82" w14:textId="77777777" w:rsidR="0027478B" w:rsidRPr="00CF6436" w:rsidRDefault="0027478B" w:rsidP="00EA247B">
      <w:pPr>
        <w:pStyle w:val="Heading3"/>
        <w:numPr>
          <w:ilvl w:val="2"/>
          <w:numId w:val="7"/>
        </w:numPr>
        <w:spacing w:line="360" w:lineRule="auto"/>
        <w:rPr>
          <w:rFonts w:ascii="Segoe UI" w:hAnsi="Segoe UI" w:cs="Segoe UI"/>
        </w:rPr>
      </w:pPr>
      <w:r w:rsidRPr="00CF6436">
        <w:rPr>
          <w:rFonts w:ascii="Segoe UI" w:hAnsi="Segoe UI" w:cs="Segoe UI"/>
        </w:rPr>
        <w:t>Transfer Estimates</w:t>
      </w:r>
    </w:p>
    <w:p w14:paraId="0C911A00" w14:textId="6AC7CBF4" w:rsidR="00B51934" w:rsidRPr="00615FC9" w:rsidRDefault="74BB9FDF" w:rsidP="293D3C50">
      <w:pPr>
        <w:spacing w:line="360" w:lineRule="auto"/>
        <w:ind w:firstLine="450"/>
        <w:rPr>
          <w:rFonts w:ascii="Segoe UI" w:hAnsi="Segoe UI" w:cs="Segoe UI"/>
        </w:rPr>
      </w:pPr>
      <w:r w:rsidRPr="293D3C50">
        <w:rPr>
          <w:rFonts w:ascii="Segoe UI" w:hAnsi="Segoe UI" w:cs="Segoe UI"/>
        </w:rPr>
        <w:t>OMB Circular A-4 details the importance of distinguishing between real costs and transfer payments</w:t>
      </w:r>
      <w:r w:rsidR="28C91ACD" w:rsidRPr="293D3C50">
        <w:rPr>
          <w:rFonts w:ascii="Segoe UI" w:hAnsi="Segoe UI" w:cs="Segoe UI"/>
        </w:rPr>
        <w:t xml:space="preserve">, stating that </w:t>
      </w:r>
      <w:r w:rsidRPr="293D3C50">
        <w:rPr>
          <w:rFonts w:ascii="Segoe UI" w:hAnsi="Segoe UI" w:cs="Segoe UI"/>
        </w:rPr>
        <w:t>“</w:t>
      </w:r>
      <w:r w:rsidR="35F535DD" w:rsidRPr="293D3C50">
        <w:rPr>
          <w:rFonts w:ascii="Segoe UI" w:hAnsi="Segoe UI" w:cs="Segoe UI"/>
        </w:rPr>
        <w:t>b</w:t>
      </w:r>
      <w:r w:rsidRPr="293D3C50">
        <w:rPr>
          <w:rFonts w:ascii="Segoe UI" w:hAnsi="Segoe UI" w:cs="Segoe UI"/>
        </w:rPr>
        <w:t>enefit and cost estimates should reflect real resource use.</w:t>
      </w:r>
      <w:r w:rsidR="138178D1" w:rsidRPr="293D3C50">
        <w:rPr>
          <w:rFonts w:ascii="Segoe UI" w:hAnsi="Segoe UI" w:cs="Segoe UI"/>
        </w:rPr>
        <w:t xml:space="preserve"> </w:t>
      </w:r>
      <w:r w:rsidRPr="293D3C50">
        <w:rPr>
          <w:rFonts w:ascii="Segoe UI" w:hAnsi="Segoe UI" w:cs="Segoe UI"/>
        </w:rPr>
        <w:t>Transfer payments are monetary payments from one group to another that do not affect total resources available to society.”</w:t>
      </w:r>
      <w:r w:rsidR="138178D1" w:rsidRPr="293D3C50">
        <w:rPr>
          <w:rFonts w:ascii="Segoe UI" w:hAnsi="Segoe UI" w:cs="Segoe UI"/>
        </w:rPr>
        <w:t xml:space="preserve"> </w:t>
      </w:r>
      <w:r w:rsidRPr="293D3C50">
        <w:rPr>
          <w:rFonts w:ascii="Segoe UI" w:hAnsi="Segoe UI" w:cs="Segoe UI"/>
        </w:rPr>
        <w:t>OMB’s Regulatory Impact Analysis: A Primer</w:t>
      </w:r>
      <w:r w:rsidRPr="293D3C50">
        <w:rPr>
          <w:rFonts w:ascii="Segoe UI" w:hAnsi="Segoe UI" w:cs="Segoe UI"/>
          <w:i/>
          <w:iCs/>
        </w:rPr>
        <w:t xml:space="preserve"> </w:t>
      </w:r>
      <w:r w:rsidRPr="293D3C50">
        <w:rPr>
          <w:rFonts w:ascii="Segoe UI" w:hAnsi="Segoe UI" w:cs="Segoe UI"/>
        </w:rPr>
        <w:t>cites “fees to government agencies for goods or services provided by the agency” as an example of transfer payments.</w:t>
      </w:r>
      <w:r w:rsidR="138178D1" w:rsidRPr="293D3C50">
        <w:rPr>
          <w:rFonts w:ascii="Segoe UI" w:hAnsi="Segoe UI" w:cs="Segoe UI"/>
        </w:rPr>
        <w:t xml:space="preserve"> </w:t>
      </w:r>
      <w:r w:rsidR="3AB6CCB8" w:rsidRPr="293D3C50">
        <w:rPr>
          <w:rFonts w:ascii="Segoe UI" w:hAnsi="Segoe UI" w:cs="Segoe UI"/>
        </w:rPr>
        <w:t xml:space="preserve">OMB </w:t>
      </w:r>
      <w:r w:rsidRPr="293D3C50">
        <w:rPr>
          <w:rFonts w:ascii="Segoe UI" w:hAnsi="Segoe UI" w:cs="Segoe UI"/>
        </w:rPr>
        <w:t xml:space="preserve">Circular A-4 </w:t>
      </w:r>
      <w:r w:rsidRPr="293D3C50">
        <w:rPr>
          <w:rFonts w:ascii="Segoe UI" w:hAnsi="Segoe UI" w:cs="Segoe UI"/>
        </w:rPr>
        <w:lastRenderedPageBreak/>
        <w:t>states that transfer payments should be addressed “in a separate discussion of the regulation’s distributional effects.”</w:t>
      </w:r>
    </w:p>
    <w:p w14:paraId="3448582F" w14:textId="0B2DFDB1" w:rsidR="00B51934" w:rsidRPr="00CF6436" w:rsidRDefault="1CE1E83F" w:rsidP="293D3C50">
      <w:pPr>
        <w:spacing w:line="360" w:lineRule="auto"/>
        <w:ind w:firstLine="450"/>
        <w:rPr>
          <w:rFonts w:ascii="Segoe UI" w:hAnsi="Segoe UI" w:cs="Segoe UI"/>
        </w:rPr>
      </w:pPr>
      <w:r w:rsidRPr="293D3C50">
        <w:rPr>
          <w:rFonts w:ascii="Segoe UI" w:hAnsi="Segoe UI" w:cs="Segoe UI"/>
        </w:rPr>
        <w:t xml:space="preserve">The </w:t>
      </w:r>
      <w:r w:rsidR="62341E0B" w:rsidRPr="293D3C50">
        <w:rPr>
          <w:rFonts w:ascii="Segoe UI" w:hAnsi="Segoe UI" w:cs="Segoe UI"/>
        </w:rPr>
        <w:t>USPTO considers the</w:t>
      </w:r>
      <w:r w:rsidR="000E20E9">
        <w:rPr>
          <w:rFonts w:ascii="Segoe UI" w:hAnsi="Segoe UI" w:cs="Segoe UI"/>
        </w:rPr>
        <w:t xml:space="preserve"> final rule</w:t>
      </w:r>
      <w:r w:rsidR="62341E0B" w:rsidRPr="293D3C50">
        <w:rPr>
          <w:rFonts w:ascii="Segoe UI" w:hAnsi="Segoe UI" w:cs="Segoe UI"/>
        </w:rPr>
        <w:t xml:space="preserve">’s </w:t>
      </w:r>
      <w:r w:rsidRPr="293D3C50">
        <w:rPr>
          <w:rFonts w:ascii="Segoe UI" w:hAnsi="Segoe UI" w:cs="Segoe UI"/>
        </w:rPr>
        <w:t>distributional effects</w:t>
      </w:r>
      <w:r w:rsidR="62341E0B" w:rsidRPr="293D3C50">
        <w:rPr>
          <w:rFonts w:ascii="Segoe UI" w:hAnsi="Segoe UI" w:cs="Segoe UI"/>
        </w:rPr>
        <w:t xml:space="preserve"> </w:t>
      </w:r>
      <w:r w:rsidRPr="293D3C50">
        <w:rPr>
          <w:rFonts w:ascii="Segoe UI" w:hAnsi="Segoe UI" w:cs="Segoe UI"/>
        </w:rPr>
        <w:t>to be minimal given the fee increases contemplated and the equal application of fees to all users of USPTO services, as described herein.</w:t>
      </w:r>
      <w:r w:rsidR="6457BB83" w:rsidRPr="293D3C50">
        <w:rPr>
          <w:rFonts w:ascii="Segoe UI" w:hAnsi="Segoe UI" w:cs="Segoe UI"/>
        </w:rPr>
        <w:t xml:space="preserve"> </w:t>
      </w:r>
      <w:r w:rsidRPr="293D3C50">
        <w:rPr>
          <w:rFonts w:ascii="Segoe UI" w:hAnsi="Segoe UI" w:cs="Segoe UI"/>
        </w:rPr>
        <w:t xml:space="preserve">Further, the USPTO’s </w:t>
      </w:r>
      <w:r w:rsidR="00573A64">
        <w:rPr>
          <w:rFonts w:ascii="Segoe UI" w:hAnsi="Segoe UI" w:cs="Segoe UI"/>
        </w:rPr>
        <w:t>Final</w:t>
      </w:r>
      <w:r w:rsidR="00573A64" w:rsidRPr="293D3C50">
        <w:rPr>
          <w:rFonts w:ascii="Segoe UI" w:hAnsi="Segoe UI" w:cs="Segoe UI"/>
        </w:rPr>
        <w:t xml:space="preserve"> </w:t>
      </w:r>
      <w:r w:rsidR="40E08C6C" w:rsidRPr="293D3C50">
        <w:rPr>
          <w:rFonts w:ascii="Segoe UI" w:hAnsi="Segoe UI" w:cs="Segoe UI"/>
        </w:rPr>
        <w:t xml:space="preserve">Patent </w:t>
      </w:r>
      <w:r w:rsidR="11AD9801" w:rsidRPr="293D3C50">
        <w:rPr>
          <w:rFonts w:ascii="Segoe UI" w:hAnsi="Segoe UI" w:cs="Segoe UI"/>
        </w:rPr>
        <w:t>Fee Schedule</w:t>
      </w:r>
      <w:r w:rsidRPr="293D3C50">
        <w:rPr>
          <w:rFonts w:ascii="Segoe UI" w:hAnsi="Segoe UI" w:cs="Segoe UI"/>
        </w:rPr>
        <w:t xml:space="preserve"> and other three alternatives apply fees for each service equally, regardless of the customer’s point of origin, technology, or </w:t>
      </w:r>
      <w:r w:rsidR="75ABD659" w:rsidRPr="293D3C50">
        <w:rPr>
          <w:rFonts w:ascii="Segoe UI" w:hAnsi="Segoe UI" w:cs="Segoe UI"/>
        </w:rPr>
        <w:t xml:space="preserve">economic </w:t>
      </w:r>
      <w:r w:rsidRPr="293D3C50">
        <w:rPr>
          <w:rFonts w:ascii="Segoe UI" w:hAnsi="Segoe UI" w:cs="Segoe UI"/>
        </w:rPr>
        <w:t>sector</w:t>
      </w:r>
      <w:r w:rsidR="75ABD659" w:rsidRPr="293D3C50">
        <w:rPr>
          <w:rFonts w:ascii="Segoe UI" w:hAnsi="Segoe UI" w:cs="Segoe UI"/>
        </w:rPr>
        <w:t>.</w:t>
      </w:r>
    </w:p>
    <w:p w14:paraId="02B6524E" w14:textId="7DFA5491" w:rsidR="00B51934" w:rsidRPr="00CF6436" w:rsidRDefault="74BB9FDF" w:rsidP="293D3C50">
      <w:pPr>
        <w:spacing w:line="360" w:lineRule="auto"/>
        <w:ind w:firstLine="450"/>
        <w:rPr>
          <w:rFonts w:ascii="Segoe UI" w:hAnsi="Segoe UI" w:cs="Segoe UI"/>
        </w:rPr>
      </w:pPr>
      <w:r w:rsidRPr="293D3C50">
        <w:rPr>
          <w:rFonts w:ascii="Segoe UI" w:hAnsi="Segoe UI" w:cs="Segoe UI"/>
        </w:rPr>
        <w:t xml:space="preserve">The </w:t>
      </w:r>
      <w:r w:rsidR="73C768F1" w:rsidRPr="293D3C50">
        <w:rPr>
          <w:rFonts w:ascii="Segoe UI" w:hAnsi="Segoe UI" w:cs="Segoe UI"/>
        </w:rPr>
        <w:t xml:space="preserve">USPTO used </w:t>
      </w:r>
      <w:r w:rsidRPr="293D3C50">
        <w:rPr>
          <w:rFonts w:ascii="Segoe UI" w:hAnsi="Segoe UI" w:cs="Segoe UI"/>
        </w:rPr>
        <w:t xml:space="preserve">Baseline fee revenue for all patent fees to </w:t>
      </w:r>
      <w:r w:rsidR="73C768F1" w:rsidRPr="293D3C50">
        <w:rPr>
          <w:rFonts w:ascii="Segoe UI" w:hAnsi="Segoe UI" w:cs="Segoe UI"/>
        </w:rPr>
        <w:t>calculate</w:t>
      </w:r>
      <w:r w:rsidRPr="293D3C50">
        <w:rPr>
          <w:rFonts w:ascii="Segoe UI" w:hAnsi="Segoe UI" w:cs="Segoe UI"/>
        </w:rPr>
        <w:t xml:space="preserve"> the Baseline transfer amount</w:t>
      </w:r>
      <w:r w:rsidR="5C6BA01C" w:rsidRPr="293D3C50">
        <w:rPr>
          <w:rFonts w:ascii="Segoe UI" w:hAnsi="Segoe UI" w:cs="Segoe UI"/>
        </w:rPr>
        <w:t xml:space="preserve">, </w:t>
      </w:r>
      <w:r w:rsidRPr="293D3C50">
        <w:rPr>
          <w:rFonts w:ascii="Segoe UI" w:hAnsi="Segoe UI" w:cs="Segoe UI"/>
        </w:rPr>
        <w:t>a reasonable estimate because these fees represent the current patent fee schedule in the absence of rulemakings.</w:t>
      </w:r>
    </w:p>
    <w:p w14:paraId="1D9E1C74" w14:textId="26B36979" w:rsidR="0027478B" w:rsidRPr="00CF6436" w:rsidRDefault="2CC68819" w:rsidP="293D3C50">
      <w:pPr>
        <w:spacing w:line="360" w:lineRule="auto"/>
        <w:ind w:firstLine="450"/>
        <w:rPr>
          <w:rFonts w:ascii="Segoe UI" w:hAnsi="Segoe UI" w:cs="Segoe UI"/>
        </w:rPr>
      </w:pPr>
      <w:r w:rsidRPr="524BF87A">
        <w:rPr>
          <w:rFonts w:ascii="Segoe UI" w:hAnsi="Segoe UI" w:cs="Segoe UI"/>
        </w:rPr>
        <w:t xml:space="preserve">OMB </w:t>
      </w:r>
      <w:r w:rsidR="74BB9FDF" w:rsidRPr="524BF87A">
        <w:rPr>
          <w:rFonts w:ascii="Segoe UI" w:hAnsi="Segoe UI" w:cs="Segoe UI"/>
        </w:rPr>
        <w:t>Circular A-4 states that a discount factor should be used to adjust for differences in timing</w:t>
      </w:r>
      <w:r w:rsidR="62229D5E" w:rsidRPr="524BF87A">
        <w:rPr>
          <w:rFonts w:ascii="Segoe UI" w:hAnsi="Segoe UI" w:cs="Segoe UI"/>
        </w:rPr>
        <w:t>,</w:t>
      </w:r>
      <w:r w:rsidR="4005F26E" w:rsidRPr="524BF87A">
        <w:rPr>
          <w:rFonts w:ascii="Segoe UI" w:hAnsi="Segoe UI" w:cs="Segoe UI"/>
        </w:rPr>
        <w:t xml:space="preserve"> and </w:t>
      </w:r>
      <w:r w:rsidR="62229D5E" w:rsidRPr="524BF87A">
        <w:rPr>
          <w:rFonts w:ascii="Segoe UI" w:hAnsi="Segoe UI" w:cs="Segoe UI"/>
        </w:rPr>
        <w:t xml:space="preserve">that </w:t>
      </w:r>
      <w:r w:rsidR="74BB9FDF" w:rsidRPr="524BF87A">
        <w:rPr>
          <w:rFonts w:ascii="Segoe UI" w:hAnsi="Segoe UI" w:cs="Segoe UI"/>
        </w:rPr>
        <w:t>invested resources “will normally earn a positive return, so current consumption is more expensive than future consumption, since you are giving up that expected return on investment when you consume today.”</w:t>
      </w:r>
      <w:r w:rsidR="138178D1" w:rsidRPr="524BF87A">
        <w:rPr>
          <w:rFonts w:ascii="Segoe UI" w:hAnsi="Segoe UI" w:cs="Segoe UI"/>
        </w:rPr>
        <w:t xml:space="preserve"> </w:t>
      </w:r>
      <w:r w:rsidR="329685B5" w:rsidRPr="524BF87A">
        <w:rPr>
          <w:rFonts w:ascii="Segoe UI" w:hAnsi="Segoe UI" w:cs="Segoe UI"/>
        </w:rPr>
        <w:t>On the other hand</w:t>
      </w:r>
      <w:r w:rsidR="74BB9FDF" w:rsidRPr="524BF87A">
        <w:rPr>
          <w:rFonts w:ascii="Segoe UI" w:hAnsi="Segoe UI" w:cs="Segoe UI"/>
        </w:rPr>
        <w:t>, “people generally prefer present to future consumption.</w:t>
      </w:r>
      <w:r w:rsidR="138178D1" w:rsidRPr="524BF87A">
        <w:rPr>
          <w:rFonts w:ascii="Segoe UI" w:hAnsi="Segoe UI" w:cs="Segoe UI"/>
        </w:rPr>
        <w:t xml:space="preserve"> </w:t>
      </w:r>
      <w:r w:rsidR="74BB9FDF" w:rsidRPr="524BF87A">
        <w:rPr>
          <w:rFonts w:ascii="Segoe UI" w:hAnsi="Segoe UI" w:cs="Segoe UI"/>
        </w:rPr>
        <w:t>They are said to have positive time preference.”</w:t>
      </w:r>
      <w:r w:rsidR="138178D1" w:rsidRPr="524BF87A">
        <w:rPr>
          <w:rFonts w:ascii="Segoe UI" w:hAnsi="Segoe UI" w:cs="Segoe UI"/>
        </w:rPr>
        <w:t xml:space="preserve"> </w:t>
      </w:r>
      <w:r w:rsidRPr="524BF87A">
        <w:rPr>
          <w:rFonts w:ascii="Segoe UI" w:hAnsi="Segoe UI" w:cs="Segoe UI"/>
        </w:rPr>
        <w:t xml:space="preserve">OMB </w:t>
      </w:r>
      <w:r w:rsidR="74BB9FDF" w:rsidRPr="524BF87A">
        <w:rPr>
          <w:rFonts w:ascii="Segoe UI" w:hAnsi="Segoe UI" w:cs="Segoe UI"/>
        </w:rPr>
        <w:t xml:space="preserve">Circular A-4 </w:t>
      </w:r>
      <w:r w:rsidR="2FE20901" w:rsidRPr="524BF87A">
        <w:rPr>
          <w:rFonts w:ascii="Segoe UI" w:hAnsi="Segoe UI" w:cs="Segoe UI"/>
        </w:rPr>
        <w:t xml:space="preserve">further </w:t>
      </w:r>
      <w:r w:rsidR="74BB9FDF" w:rsidRPr="524BF87A">
        <w:rPr>
          <w:rFonts w:ascii="Segoe UI" w:hAnsi="Segoe UI" w:cs="Segoe UI"/>
        </w:rPr>
        <w:t xml:space="preserve">states that estimates should be provided using both </w:t>
      </w:r>
      <w:r w:rsidR="2A859236" w:rsidRPr="524BF87A">
        <w:rPr>
          <w:rFonts w:ascii="Segoe UI" w:hAnsi="Segoe UI" w:cs="Segoe UI"/>
        </w:rPr>
        <w:t>3</w:t>
      </w:r>
      <w:r w:rsidR="35DD4942" w:rsidRPr="524BF87A">
        <w:rPr>
          <w:rFonts w:ascii="Segoe UI" w:hAnsi="Segoe UI" w:cs="Segoe UI"/>
        </w:rPr>
        <w:t>%</w:t>
      </w:r>
      <w:r w:rsidR="74BB9FDF" w:rsidRPr="524BF87A">
        <w:rPr>
          <w:rFonts w:ascii="Segoe UI" w:hAnsi="Segoe UI" w:cs="Segoe UI"/>
        </w:rPr>
        <w:t xml:space="preserve"> and </w:t>
      </w:r>
      <w:r w:rsidR="2A859236" w:rsidRPr="524BF87A">
        <w:rPr>
          <w:rFonts w:ascii="Segoe UI" w:hAnsi="Segoe UI" w:cs="Segoe UI"/>
        </w:rPr>
        <w:t>7</w:t>
      </w:r>
      <w:r w:rsidR="35DD4942" w:rsidRPr="524BF87A">
        <w:rPr>
          <w:rFonts w:ascii="Segoe UI" w:hAnsi="Segoe UI" w:cs="Segoe UI"/>
        </w:rPr>
        <w:t>%</w:t>
      </w:r>
      <w:r w:rsidR="74BB9FDF" w:rsidRPr="524BF87A">
        <w:rPr>
          <w:rFonts w:ascii="Segoe UI" w:hAnsi="Segoe UI" w:cs="Segoe UI"/>
        </w:rPr>
        <w:t xml:space="preserve"> discount rates to </w:t>
      </w:r>
      <w:r w:rsidR="2FE20901" w:rsidRPr="524BF87A">
        <w:rPr>
          <w:rFonts w:ascii="Segoe UI" w:hAnsi="Segoe UI" w:cs="Segoe UI"/>
        </w:rPr>
        <w:t xml:space="preserve">demonstrate </w:t>
      </w:r>
      <w:r w:rsidR="74BB9FDF" w:rsidRPr="524BF87A">
        <w:rPr>
          <w:rFonts w:ascii="Segoe UI" w:hAnsi="Segoe UI" w:cs="Segoe UI"/>
        </w:rPr>
        <w:t xml:space="preserve">sensitivity of the estimates to </w:t>
      </w:r>
      <w:r w:rsidR="75A7D7CD" w:rsidRPr="524BF87A">
        <w:rPr>
          <w:rFonts w:ascii="Segoe UI" w:hAnsi="Segoe UI" w:cs="Segoe UI"/>
        </w:rPr>
        <w:t xml:space="preserve">the </w:t>
      </w:r>
      <w:r w:rsidR="74BB9FDF" w:rsidRPr="524BF87A">
        <w:rPr>
          <w:rFonts w:ascii="Segoe UI" w:hAnsi="Segoe UI" w:cs="Segoe UI"/>
        </w:rPr>
        <w:t>discount rate assumption.</w:t>
      </w:r>
    </w:p>
    <w:p w14:paraId="5094E74E" w14:textId="67A51B08" w:rsidR="0053022C" w:rsidRPr="00CF6436" w:rsidRDefault="53F932ED" w:rsidP="293D3C50">
      <w:pPr>
        <w:pStyle w:val="ListParagraph"/>
        <w:spacing w:line="360" w:lineRule="auto"/>
        <w:ind w:left="0" w:firstLine="450"/>
        <w:rPr>
          <w:rFonts w:ascii="Segoe UI" w:hAnsi="Segoe UI" w:cs="Segoe UI"/>
        </w:rPr>
      </w:pPr>
      <w:r w:rsidRPr="524BF87A">
        <w:rPr>
          <w:rFonts w:ascii="Segoe UI" w:hAnsi="Segoe UI" w:cs="Segoe UI"/>
        </w:rPr>
        <w:t>Table</w:t>
      </w:r>
      <w:r w:rsidR="206D1286" w:rsidRPr="524BF87A">
        <w:rPr>
          <w:rFonts w:ascii="Segoe UI" w:hAnsi="Segoe UI" w:cs="Segoe UI"/>
        </w:rPr>
        <w:t>s</w:t>
      </w:r>
      <w:r w:rsidRPr="524BF87A">
        <w:rPr>
          <w:rFonts w:ascii="Segoe UI" w:hAnsi="Segoe UI" w:cs="Segoe UI"/>
        </w:rPr>
        <w:t xml:space="preserve"> </w:t>
      </w:r>
      <w:r w:rsidR="79F650FF" w:rsidRPr="524BF87A">
        <w:rPr>
          <w:rFonts w:ascii="Segoe UI" w:hAnsi="Segoe UI" w:cs="Segoe UI"/>
        </w:rPr>
        <w:t>3</w:t>
      </w:r>
      <w:r w:rsidRPr="524BF87A">
        <w:rPr>
          <w:rFonts w:ascii="Segoe UI" w:hAnsi="Segoe UI" w:cs="Segoe UI"/>
        </w:rPr>
        <w:t>-</w:t>
      </w:r>
      <w:r w:rsidR="49034518" w:rsidRPr="524BF87A">
        <w:rPr>
          <w:rFonts w:ascii="Segoe UI" w:hAnsi="Segoe UI" w:cs="Segoe UI"/>
        </w:rPr>
        <w:t>6</w:t>
      </w:r>
      <w:r w:rsidRPr="524BF87A">
        <w:rPr>
          <w:rFonts w:ascii="Segoe UI" w:hAnsi="Segoe UI" w:cs="Segoe UI"/>
        </w:rPr>
        <w:t xml:space="preserve">, </w:t>
      </w:r>
      <w:r w:rsidR="79F650FF" w:rsidRPr="524BF87A">
        <w:rPr>
          <w:rFonts w:ascii="Segoe UI" w:hAnsi="Segoe UI" w:cs="Segoe UI"/>
        </w:rPr>
        <w:t>3</w:t>
      </w:r>
      <w:r w:rsidRPr="524BF87A">
        <w:rPr>
          <w:rFonts w:ascii="Segoe UI" w:hAnsi="Segoe UI" w:cs="Segoe UI"/>
        </w:rPr>
        <w:t>-</w:t>
      </w:r>
      <w:r w:rsidR="49034518" w:rsidRPr="524BF87A">
        <w:rPr>
          <w:rFonts w:ascii="Segoe UI" w:hAnsi="Segoe UI" w:cs="Segoe UI"/>
        </w:rPr>
        <w:t>7</w:t>
      </w:r>
      <w:r w:rsidRPr="524BF87A">
        <w:rPr>
          <w:rFonts w:ascii="Segoe UI" w:hAnsi="Segoe UI" w:cs="Segoe UI"/>
        </w:rPr>
        <w:t xml:space="preserve">, and </w:t>
      </w:r>
      <w:r w:rsidR="79F650FF" w:rsidRPr="524BF87A">
        <w:rPr>
          <w:rFonts w:ascii="Segoe UI" w:hAnsi="Segoe UI" w:cs="Segoe UI"/>
        </w:rPr>
        <w:t>3</w:t>
      </w:r>
      <w:r w:rsidRPr="524BF87A">
        <w:rPr>
          <w:rFonts w:ascii="Segoe UI" w:hAnsi="Segoe UI" w:cs="Segoe UI"/>
        </w:rPr>
        <w:t>-</w:t>
      </w:r>
      <w:r w:rsidR="49034518" w:rsidRPr="524BF87A">
        <w:rPr>
          <w:rFonts w:ascii="Segoe UI" w:hAnsi="Segoe UI" w:cs="Segoe UI"/>
        </w:rPr>
        <w:t>8</w:t>
      </w:r>
      <w:r w:rsidRPr="524BF87A">
        <w:rPr>
          <w:rFonts w:ascii="Segoe UI" w:hAnsi="Segoe UI" w:cs="Segoe UI"/>
        </w:rPr>
        <w:t xml:space="preserve"> compare undiscounted</w:t>
      </w:r>
      <w:r w:rsidR="6098E38F" w:rsidRPr="524BF87A">
        <w:rPr>
          <w:rFonts w:ascii="Segoe UI" w:hAnsi="Segoe UI" w:cs="Segoe UI"/>
        </w:rPr>
        <w:t>,</w:t>
      </w:r>
      <w:r w:rsidRPr="524BF87A">
        <w:rPr>
          <w:rFonts w:ascii="Segoe UI" w:hAnsi="Segoe UI" w:cs="Segoe UI"/>
        </w:rPr>
        <w:t xml:space="preserve"> </w:t>
      </w:r>
      <w:r w:rsidR="797CEEE1" w:rsidRPr="524BF87A">
        <w:rPr>
          <w:rFonts w:ascii="Segoe UI" w:hAnsi="Segoe UI" w:cs="Segoe UI"/>
        </w:rPr>
        <w:t>3</w:t>
      </w:r>
      <w:r w:rsidR="03701B75" w:rsidRPr="524BF87A">
        <w:rPr>
          <w:rFonts w:ascii="Segoe UI" w:hAnsi="Segoe UI" w:cs="Segoe UI"/>
        </w:rPr>
        <w:t>%</w:t>
      </w:r>
      <w:r w:rsidR="6098E38F" w:rsidRPr="524BF87A">
        <w:rPr>
          <w:rFonts w:ascii="Segoe UI" w:hAnsi="Segoe UI" w:cs="Segoe UI"/>
        </w:rPr>
        <w:t xml:space="preserve">, </w:t>
      </w:r>
      <w:r w:rsidRPr="524BF87A">
        <w:rPr>
          <w:rFonts w:ascii="Segoe UI" w:hAnsi="Segoe UI" w:cs="Segoe UI"/>
        </w:rPr>
        <w:t xml:space="preserve">and </w:t>
      </w:r>
      <w:r w:rsidR="797CEEE1" w:rsidRPr="524BF87A">
        <w:rPr>
          <w:rFonts w:ascii="Segoe UI" w:hAnsi="Segoe UI" w:cs="Segoe UI"/>
        </w:rPr>
        <w:t>7</w:t>
      </w:r>
      <w:r w:rsidR="03701B75" w:rsidRPr="524BF87A">
        <w:rPr>
          <w:rFonts w:ascii="Segoe UI" w:hAnsi="Segoe UI" w:cs="Segoe UI"/>
        </w:rPr>
        <w:t>%</w:t>
      </w:r>
      <w:r w:rsidRPr="524BF87A">
        <w:rPr>
          <w:rFonts w:ascii="Segoe UI" w:hAnsi="Segoe UI" w:cs="Segoe UI"/>
        </w:rPr>
        <w:t xml:space="preserve"> discounted amounts of transfers for each </w:t>
      </w:r>
      <w:r w:rsidR="206D1286" w:rsidRPr="524BF87A">
        <w:rPr>
          <w:rFonts w:ascii="Segoe UI" w:hAnsi="Segoe UI" w:cs="Segoe UI"/>
        </w:rPr>
        <w:t xml:space="preserve">of </w:t>
      </w:r>
      <w:r w:rsidR="4C9E3BC5" w:rsidRPr="524BF87A">
        <w:rPr>
          <w:rFonts w:ascii="Segoe UI" w:hAnsi="Segoe UI" w:cs="Segoe UI"/>
        </w:rPr>
        <w:t>A</w:t>
      </w:r>
      <w:r w:rsidRPr="524BF87A">
        <w:rPr>
          <w:rFonts w:ascii="Segoe UI" w:hAnsi="Segoe UI" w:cs="Segoe UI"/>
        </w:rPr>
        <w:t>lternative</w:t>
      </w:r>
      <w:r w:rsidR="4C9E3BC5" w:rsidRPr="524BF87A">
        <w:rPr>
          <w:rFonts w:ascii="Segoe UI" w:hAnsi="Segoe UI" w:cs="Segoe UI"/>
        </w:rPr>
        <w:t>s 1, 2</w:t>
      </w:r>
      <w:r w:rsidR="04434F76" w:rsidRPr="524BF87A">
        <w:rPr>
          <w:rFonts w:ascii="Segoe UI" w:hAnsi="Segoe UI" w:cs="Segoe UI"/>
        </w:rPr>
        <w:t>,</w:t>
      </w:r>
      <w:r w:rsidR="4C9E3BC5" w:rsidRPr="524BF87A">
        <w:rPr>
          <w:rFonts w:ascii="Segoe UI" w:hAnsi="Segoe UI" w:cs="Segoe UI"/>
        </w:rPr>
        <w:t xml:space="preserve"> and 3</w:t>
      </w:r>
      <w:r w:rsidRPr="524BF87A">
        <w:rPr>
          <w:rFonts w:ascii="Segoe UI" w:hAnsi="Segoe UI" w:cs="Segoe UI"/>
        </w:rPr>
        <w:t xml:space="preserve"> to the Baseline.</w:t>
      </w:r>
      <w:r w:rsidR="1B256616" w:rsidRPr="524BF87A">
        <w:rPr>
          <w:rFonts w:ascii="Segoe UI" w:hAnsi="Segoe UI" w:cs="Segoe UI"/>
        </w:rPr>
        <w:t xml:space="preserve"> </w:t>
      </w:r>
      <w:r w:rsidR="072EC9FD" w:rsidRPr="524BF87A">
        <w:rPr>
          <w:rFonts w:ascii="Segoe UI" w:hAnsi="Segoe UI" w:cs="Segoe UI"/>
        </w:rPr>
        <w:t>Dollar values reflected in Table</w:t>
      </w:r>
      <w:r w:rsidR="206D1286" w:rsidRPr="524BF87A">
        <w:rPr>
          <w:rFonts w:ascii="Segoe UI" w:hAnsi="Segoe UI" w:cs="Segoe UI"/>
        </w:rPr>
        <w:t>s</w:t>
      </w:r>
      <w:r w:rsidR="072EC9FD" w:rsidRPr="524BF87A">
        <w:rPr>
          <w:rFonts w:ascii="Segoe UI" w:hAnsi="Segoe UI" w:cs="Segoe UI"/>
        </w:rPr>
        <w:t xml:space="preserve"> 3-6, 3-7</w:t>
      </w:r>
      <w:r w:rsidR="5E240173" w:rsidRPr="524BF87A">
        <w:rPr>
          <w:rFonts w:ascii="Segoe UI" w:hAnsi="Segoe UI" w:cs="Segoe UI"/>
        </w:rPr>
        <w:t>,</w:t>
      </w:r>
      <w:r w:rsidR="072EC9FD" w:rsidRPr="524BF87A">
        <w:rPr>
          <w:rFonts w:ascii="Segoe UI" w:hAnsi="Segoe UI" w:cs="Segoe UI"/>
        </w:rPr>
        <w:t xml:space="preserve"> and </w:t>
      </w:r>
      <w:r w:rsidR="31CF60AE" w:rsidRPr="524BF87A">
        <w:rPr>
          <w:rFonts w:ascii="Segoe UI" w:hAnsi="Segoe UI" w:cs="Segoe UI"/>
        </w:rPr>
        <w:t>3-8 are in constant FY 202</w:t>
      </w:r>
      <w:r w:rsidR="0A711032" w:rsidRPr="524BF87A">
        <w:rPr>
          <w:rFonts w:ascii="Segoe UI" w:hAnsi="Segoe UI" w:cs="Segoe UI"/>
        </w:rPr>
        <w:t>4</w:t>
      </w:r>
      <w:r w:rsidR="072EC9FD" w:rsidRPr="524BF87A">
        <w:rPr>
          <w:rFonts w:ascii="Segoe UI" w:hAnsi="Segoe UI" w:cs="Segoe UI"/>
        </w:rPr>
        <w:t xml:space="preserve"> dollars using the CBO estimate of</w:t>
      </w:r>
      <w:r w:rsidR="206D1286" w:rsidRPr="524BF87A">
        <w:rPr>
          <w:rFonts w:ascii="Segoe UI" w:hAnsi="Segoe UI" w:cs="Segoe UI"/>
        </w:rPr>
        <w:t xml:space="preserve"> the</w:t>
      </w:r>
      <w:r w:rsidR="072EC9FD" w:rsidRPr="524BF87A">
        <w:rPr>
          <w:rFonts w:ascii="Segoe UI" w:hAnsi="Segoe UI" w:cs="Segoe UI"/>
        </w:rPr>
        <w:t xml:space="preserve"> CPI-U as the inflation index.</w:t>
      </w:r>
      <w:r w:rsidR="1B256616" w:rsidRPr="524BF87A">
        <w:rPr>
          <w:rFonts w:ascii="Segoe UI" w:hAnsi="Segoe UI" w:cs="Segoe UI"/>
        </w:rPr>
        <w:t xml:space="preserve"> </w:t>
      </w:r>
      <w:r w:rsidRPr="524BF87A">
        <w:rPr>
          <w:rFonts w:ascii="Segoe UI" w:hAnsi="Segoe UI" w:cs="Segoe UI"/>
        </w:rPr>
        <w:t xml:space="preserve">The </w:t>
      </w:r>
      <w:r w:rsidR="2DC8B9C0" w:rsidRPr="524BF87A">
        <w:rPr>
          <w:rFonts w:ascii="Segoe UI" w:hAnsi="Segoe UI" w:cs="Segoe UI"/>
        </w:rPr>
        <w:t>USPTO</w:t>
      </w:r>
      <w:r w:rsidRPr="524BF87A">
        <w:rPr>
          <w:rFonts w:ascii="Segoe UI" w:hAnsi="Segoe UI" w:cs="Segoe UI"/>
        </w:rPr>
        <w:t xml:space="preserve"> calculates transfer</w:t>
      </w:r>
      <w:r w:rsidR="3C407EF8" w:rsidRPr="524BF87A">
        <w:rPr>
          <w:rFonts w:ascii="Segoe UI" w:hAnsi="Segoe UI" w:cs="Segoe UI"/>
        </w:rPr>
        <w:t xml:space="preserve"> impact</w:t>
      </w:r>
      <w:r w:rsidRPr="524BF87A">
        <w:rPr>
          <w:rFonts w:ascii="Segoe UI" w:hAnsi="Segoe UI" w:cs="Segoe UI"/>
        </w:rPr>
        <w:t xml:space="preserve">s as the total amount paid by patent applicants and patent holders to the </w:t>
      </w:r>
      <w:r w:rsidR="2DC8B9C0" w:rsidRPr="524BF87A">
        <w:rPr>
          <w:rFonts w:ascii="Segoe UI" w:hAnsi="Segoe UI" w:cs="Segoe UI"/>
        </w:rPr>
        <w:t>USPTO</w:t>
      </w:r>
      <w:r w:rsidRPr="524BF87A">
        <w:rPr>
          <w:rFonts w:ascii="Segoe UI" w:hAnsi="Segoe UI" w:cs="Segoe UI"/>
        </w:rPr>
        <w:t xml:space="preserve"> over the Baseline estimate.</w:t>
      </w:r>
      <w:bookmarkStart w:id="108" w:name="_Ref324240180"/>
      <w:r w:rsidR="1B256616" w:rsidRPr="524BF87A">
        <w:rPr>
          <w:rFonts w:ascii="Segoe UI" w:hAnsi="Segoe UI" w:cs="Segoe UI"/>
        </w:rPr>
        <w:t xml:space="preserve"> </w:t>
      </w:r>
      <w:r w:rsidRPr="524BF87A">
        <w:rPr>
          <w:rFonts w:ascii="Segoe UI" w:hAnsi="Segoe UI" w:cs="Segoe UI"/>
        </w:rPr>
        <w:t>Across undiscounted</w:t>
      </w:r>
      <w:r w:rsidR="6098E38F" w:rsidRPr="524BF87A">
        <w:rPr>
          <w:rFonts w:ascii="Segoe UI" w:hAnsi="Segoe UI" w:cs="Segoe UI"/>
        </w:rPr>
        <w:t>,</w:t>
      </w:r>
      <w:r w:rsidR="1B256616" w:rsidRPr="524BF87A">
        <w:rPr>
          <w:rFonts w:ascii="Segoe UI" w:hAnsi="Segoe UI" w:cs="Segoe UI"/>
        </w:rPr>
        <w:t xml:space="preserve"> </w:t>
      </w:r>
      <w:r w:rsidR="797CEEE1" w:rsidRPr="524BF87A">
        <w:rPr>
          <w:rFonts w:ascii="Segoe UI" w:hAnsi="Segoe UI" w:cs="Segoe UI"/>
        </w:rPr>
        <w:t>3</w:t>
      </w:r>
      <w:r w:rsidR="07A84A37" w:rsidRPr="524BF87A">
        <w:rPr>
          <w:rFonts w:ascii="Segoe UI" w:hAnsi="Segoe UI" w:cs="Segoe UI"/>
        </w:rPr>
        <w:t>%</w:t>
      </w:r>
      <w:r w:rsidR="6098E38F" w:rsidRPr="524BF87A">
        <w:rPr>
          <w:rFonts w:ascii="Segoe UI" w:hAnsi="Segoe UI" w:cs="Segoe UI"/>
        </w:rPr>
        <w:t>,</w:t>
      </w:r>
      <w:r w:rsidR="797CEEE1" w:rsidRPr="524BF87A">
        <w:rPr>
          <w:rFonts w:ascii="Segoe UI" w:hAnsi="Segoe UI" w:cs="Segoe UI"/>
        </w:rPr>
        <w:t xml:space="preserve"> </w:t>
      </w:r>
      <w:r w:rsidRPr="524BF87A">
        <w:rPr>
          <w:rFonts w:ascii="Segoe UI" w:hAnsi="Segoe UI" w:cs="Segoe UI"/>
        </w:rPr>
        <w:t xml:space="preserve">and </w:t>
      </w:r>
      <w:r w:rsidR="797CEEE1" w:rsidRPr="524BF87A">
        <w:rPr>
          <w:rFonts w:ascii="Segoe UI" w:hAnsi="Segoe UI" w:cs="Segoe UI"/>
        </w:rPr>
        <w:t>7</w:t>
      </w:r>
      <w:r w:rsidR="03701B75" w:rsidRPr="524BF87A">
        <w:rPr>
          <w:rFonts w:ascii="Segoe UI" w:hAnsi="Segoe UI" w:cs="Segoe UI"/>
        </w:rPr>
        <w:t>%</w:t>
      </w:r>
      <w:r w:rsidRPr="524BF87A">
        <w:rPr>
          <w:rFonts w:ascii="Segoe UI" w:hAnsi="Segoe UI" w:cs="Segoe UI"/>
        </w:rPr>
        <w:t xml:space="preserve"> discount rates, </w:t>
      </w:r>
      <w:r w:rsidR="6739D47F" w:rsidRPr="524BF87A">
        <w:rPr>
          <w:rFonts w:ascii="Segoe UI" w:hAnsi="Segoe UI" w:cs="Segoe UI"/>
        </w:rPr>
        <w:t xml:space="preserve">the </w:t>
      </w:r>
      <w:r w:rsidR="5E240173" w:rsidRPr="524BF87A">
        <w:rPr>
          <w:rFonts w:ascii="Segoe UI" w:hAnsi="Segoe UI" w:cs="Segoe UI"/>
        </w:rPr>
        <w:t xml:space="preserve">USPTO estimates the </w:t>
      </w:r>
      <w:r w:rsidR="6739D47F" w:rsidRPr="524BF87A">
        <w:rPr>
          <w:rFonts w:ascii="Segoe UI" w:hAnsi="Segoe UI" w:cs="Segoe UI"/>
        </w:rPr>
        <w:t xml:space="preserve">increase in </w:t>
      </w:r>
      <w:r w:rsidRPr="524BF87A">
        <w:rPr>
          <w:rFonts w:ascii="Segoe UI" w:hAnsi="Segoe UI" w:cs="Segoe UI"/>
        </w:rPr>
        <w:t>transfers</w:t>
      </w:r>
      <w:r w:rsidR="2DC8B9C0" w:rsidRPr="524BF87A">
        <w:rPr>
          <w:rFonts w:ascii="Segoe UI" w:hAnsi="Segoe UI" w:cs="Segoe UI"/>
        </w:rPr>
        <w:t xml:space="preserve"> </w:t>
      </w:r>
      <w:r w:rsidRPr="524BF87A">
        <w:rPr>
          <w:rFonts w:ascii="Segoe UI" w:hAnsi="Segoe UI" w:cs="Segoe UI"/>
        </w:rPr>
        <w:t xml:space="preserve">to be </w:t>
      </w:r>
      <w:r w:rsidR="44C83491" w:rsidRPr="524BF87A">
        <w:rPr>
          <w:rFonts w:ascii="Segoe UI" w:hAnsi="Segoe UI" w:cs="Segoe UI"/>
        </w:rPr>
        <w:t>relatively similar</w:t>
      </w:r>
      <w:r w:rsidR="508A9AA2" w:rsidRPr="524BF87A">
        <w:rPr>
          <w:rFonts w:ascii="Segoe UI" w:hAnsi="Segoe UI" w:cs="Segoe UI"/>
        </w:rPr>
        <w:t xml:space="preserve"> for Alternative</w:t>
      </w:r>
      <w:r w:rsidR="35E41B2B" w:rsidRPr="524BF87A">
        <w:rPr>
          <w:rFonts w:ascii="Segoe UI" w:hAnsi="Segoe UI" w:cs="Segoe UI"/>
        </w:rPr>
        <w:t>s</w:t>
      </w:r>
      <w:r w:rsidRPr="524BF87A">
        <w:rPr>
          <w:rFonts w:ascii="Segoe UI" w:hAnsi="Segoe UI" w:cs="Segoe UI"/>
        </w:rPr>
        <w:t xml:space="preserve"> </w:t>
      </w:r>
      <w:r w:rsidR="35E41B2B" w:rsidRPr="524BF87A">
        <w:rPr>
          <w:rFonts w:ascii="Segoe UI" w:hAnsi="Segoe UI" w:cs="Segoe UI"/>
        </w:rPr>
        <w:t>1, 2, and</w:t>
      </w:r>
      <w:r w:rsidR="508A9AA2" w:rsidRPr="524BF87A">
        <w:rPr>
          <w:rFonts w:ascii="Segoe UI" w:hAnsi="Segoe UI" w:cs="Segoe UI"/>
        </w:rPr>
        <w:t xml:space="preserve"> </w:t>
      </w:r>
      <w:r w:rsidRPr="524BF87A">
        <w:rPr>
          <w:rFonts w:ascii="Segoe UI" w:hAnsi="Segoe UI" w:cs="Segoe UI"/>
        </w:rPr>
        <w:t>3 when compared to the Baseline.</w:t>
      </w:r>
    </w:p>
    <w:p w14:paraId="7B7A7B51" w14:textId="56DD5F31" w:rsidR="0027478B" w:rsidRPr="00CF6436" w:rsidRDefault="1CD2E0DF" w:rsidP="17CECF10">
      <w:pPr>
        <w:keepNext/>
        <w:spacing w:after="200" w:line="360" w:lineRule="auto"/>
        <w:jc w:val="center"/>
        <w:rPr>
          <w:rFonts w:ascii="Segoe UI" w:hAnsi="Segoe UI" w:cs="Segoe UI"/>
          <w:b/>
          <w:bCs/>
          <w:szCs w:val="24"/>
        </w:rPr>
      </w:pPr>
      <w:r w:rsidRPr="17CECF10">
        <w:rPr>
          <w:rFonts w:ascii="Segoe UI" w:hAnsi="Segoe UI" w:cs="Segoe UI"/>
          <w:b/>
          <w:bCs/>
          <w:szCs w:val="24"/>
        </w:rPr>
        <w:lastRenderedPageBreak/>
        <w:t xml:space="preserve">Table </w:t>
      </w:r>
      <w:r w:rsidR="218CC48A" w:rsidRPr="17CECF10">
        <w:rPr>
          <w:rFonts w:ascii="Segoe UI" w:hAnsi="Segoe UI" w:cs="Segoe UI"/>
          <w:b/>
          <w:bCs/>
          <w:szCs w:val="24"/>
        </w:rPr>
        <w:t>3</w:t>
      </w:r>
      <w:r w:rsidR="2767EAF3" w:rsidRPr="17CECF10">
        <w:rPr>
          <w:rFonts w:ascii="Segoe UI" w:hAnsi="Segoe UI" w:cs="Segoe UI"/>
          <w:b/>
          <w:bCs/>
          <w:szCs w:val="24"/>
        </w:rPr>
        <w:t>-</w:t>
      </w:r>
      <w:bookmarkEnd w:id="108"/>
      <w:r w:rsidR="064FBA71" w:rsidRPr="17CECF10">
        <w:rPr>
          <w:rFonts w:ascii="Segoe UI" w:hAnsi="Segoe UI" w:cs="Segoe UI"/>
          <w:b/>
          <w:bCs/>
          <w:szCs w:val="24"/>
        </w:rPr>
        <w:t>6</w:t>
      </w:r>
    </w:p>
    <w:tbl>
      <w:tblPr>
        <w:tblW w:w="9821" w:type="dxa"/>
        <w:jc w:val="center"/>
        <w:tblLayout w:type="fixed"/>
        <w:tblLook w:val="04A0" w:firstRow="1" w:lastRow="0" w:firstColumn="1" w:lastColumn="0" w:noHBand="0" w:noVBand="1"/>
      </w:tblPr>
      <w:tblGrid>
        <w:gridCol w:w="3358"/>
        <w:gridCol w:w="1061"/>
        <w:gridCol w:w="1061"/>
        <w:gridCol w:w="1061"/>
        <w:gridCol w:w="1061"/>
        <w:gridCol w:w="1061"/>
        <w:gridCol w:w="1158"/>
      </w:tblGrid>
      <w:tr w:rsidR="00364029" w:rsidRPr="00CF6436" w14:paraId="519DB13D" w14:textId="08CB97F0" w:rsidTr="17CECF10">
        <w:trPr>
          <w:trHeight w:val="737"/>
          <w:tblHeader/>
          <w:jc w:val="center"/>
        </w:trPr>
        <w:tc>
          <w:tcPr>
            <w:tcW w:w="982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5908046" w14:textId="4CEF7057" w:rsidR="00364029" w:rsidRPr="00F65FC8" w:rsidRDefault="38218BF7" w:rsidP="17CECF10">
            <w:pPr>
              <w:keepNext/>
              <w:spacing w:line="276" w:lineRule="auto"/>
              <w:jc w:val="center"/>
              <w:rPr>
                <w:rFonts w:ascii="Segoe UI" w:hAnsi="Segoe UI" w:cs="Segoe UI"/>
                <w:b/>
                <w:bCs/>
                <w:color w:val="000000"/>
                <w:sz w:val="22"/>
              </w:rPr>
            </w:pPr>
            <w:r w:rsidRPr="17CECF10">
              <w:rPr>
                <w:rFonts w:ascii="Segoe UI" w:hAnsi="Segoe UI" w:cs="Segoe UI"/>
                <w:b/>
                <w:bCs/>
                <w:color w:val="000000"/>
                <w:sz w:val="22"/>
              </w:rPr>
              <w:t>Patent Fee Transfers (Aggregate Fee Revenue)</w:t>
            </w:r>
            <w:r w:rsidR="00364029" w:rsidRPr="17CECF10">
              <w:rPr>
                <w:rStyle w:val="FootnoteReference"/>
                <w:rFonts w:ascii="Segoe UI" w:hAnsi="Segoe UI" w:cs="Segoe UI"/>
                <w:b/>
                <w:bCs/>
                <w:color w:val="000000"/>
                <w:sz w:val="22"/>
              </w:rPr>
              <w:footnoteReference w:id="3"/>
            </w:r>
            <w:r w:rsidRPr="17CECF10">
              <w:rPr>
                <w:rFonts w:ascii="Segoe UI" w:hAnsi="Segoe UI" w:cs="Segoe UI"/>
                <w:b/>
                <w:bCs/>
                <w:color w:val="000000"/>
                <w:sz w:val="22"/>
              </w:rPr>
              <w:t xml:space="preserve"> by Alternative</w:t>
            </w:r>
            <w:r w:rsidR="66C417CA" w:rsidRPr="17CECF10">
              <w:rPr>
                <w:rFonts w:ascii="Segoe UI" w:hAnsi="Segoe UI" w:cs="Segoe UI"/>
                <w:b/>
                <w:bCs/>
                <w:color w:val="000000"/>
                <w:sz w:val="22"/>
              </w:rPr>
              <w:t>—</w:t>
            </w:r>
            <w:r w:rsidRPr="17CECF10">
              <w:rPr>
                <w:rFonts w:ascii="Segoe UI" w:hAnsi="Segoe UI" w:cs="Segoe UI"/>
                <w:b/>
                <w:bCs/>
                <w:i/>
                <w:iCs/>
                <w:color w:val="000000"/>
                <w:sz w:val="22"/>
              </w:rPr>
              <w:t>Undiscounted</w:t>
            </w:r>
            <w:r w:rsidR="00364029" w:rsidRPr="00F65FC8">
              <w:rPr>
                <w:rFonts w:ascii="Segoe UI" w:hAnsi="Segoe UI" w:cs="Segoe UI"/>
                <w:b/>
                <w:color w:val="000000"/>
                <w:sz w:val="22"/>
              </w:rPr>
              <w:br/>
            </w:r>
            <w:r w:rsidRPr="17CECF10">
              <w:rPr>
                <w:rFonts w:ascii="Segoe UI" w:hAnsi="Segoe UI" w:cs="Segoe UI"/>
                <w:b/>
                <w:bCs/>
                <w:color w:val="000000"/>
                <w:sz w:val="22"/>
              </w:rPr>
              <w:t>(</w:t>
            </w:r>
            <w:r w:rsidR="1D47D887" w:rsidRPr="17CECF10">
              <w:rPr>
                <w:rFonts w:ascii="Segoe UI" w:hAnsi="Segoe UI" w:cs="Segoe UI"/>
                <w:b/>
                <w:bCs/>
                <w:color w:val="000000"/>
                <w:sz w:val="22"/>
              </w:rPr>
              <w:t>c</w:t>
            </w:r>
            <w:r w:rsidRPr="17CECF10">
              <w:rPr>
                <w:rFonts w:ascii="Segoe UI" w:hAnsi="Segoe UI" w:cs="Segoe UI"/>
                <w:b/>
                <w:bCs/>
                <w:color w:val="000000"/>
                <w:sz w:val="22"/>
              </w:rPr>
              <w:t>onstant FY 202</w:t>
            </w:r>
            <w:r w:rsidR="2CA5E172" w:rsidRPr="17CECF10">
              <w:rPr>
                <w:rFonts w:ascii="Segoe UI" w:hAnsi="Segoe UI" w:cs="Segoe UI"/>
                <w:b/>
                <w:bCs/>
                <w:color w:val="000000"/>
                <w:sz w:val="22"/>
              </w:rPr>
              <w:t>4</w:t>
            </w:r>
            <w:r w:rsidRPr="17CECF10">
              <w:rPr>
                <w:rFonts w:ascii="Segoe UI" w:hAnsi="Segoe UI" w:cs="Segoe UI"/>
                <w:b/>
                <w:bCs/>
                <w:color w:val="000000"/>
                <w:sz w:val="22"/>
              </w:rPr>
              <w:t xml:space="preserve"> dollars in millions)</w:t>
            </w:r>
          </w:p>
        </w:tc>
      </w:tr>
      <w:tr w:rsidR="00364029" w:rsidRPr="00CF6436" w14:paraId="0B4193CD" w14:textId="1395A5BF" w:rsidTr="17CECF10">
        <w:trPr>
          <w:trHeight w:val="309"/>
          <w:tblHeader/>
          <w:jc w:val="center"/>
        </w:trPr>
        <w:tc>
          <w:tcPr>
            <w:tcW w:w="3358" w:type="dxa"/>
            <w:tcBorders>
              <w:top w:val="nil"/>
              <w:left w:val="single" w:sz="4" w:space="0" w:color="auto"/>
              <w:bottom w:val="single" w:sz="4" w:space="0" w:color="auto"/>
              <w:right w:val="single" w:sz="4" w:space="0" w:color="auto"/>
            </w:tcBorders>
            <w:shd w:val="clear" w:color="auto" w:fill="auto"/>
            <w:noWrap/>
            <w:hideMark/>
          </w:tcPr>
          <w:p w14:paraId="29A55E1C" w14:textId="77777777" w:rsidR="00364029" w:rsidRPr="00F65FC8" w:rsidRDefault="00364029" w:rsidP="00C01468">
            <w:pPr>
              <w:keepNext/>
              <w:spacing w:line="276" w:lineRule="auto"/>
              <w:rPr>
                <w:rFonts w:ascii="Segoe UI" w:hAnsi="Segoe UI" w:cs="Segoe UI"/>
                <w:color w:val="000000"/>
                <w:sz w:val="22"/>
              </w:rPr>
            </w:pPr>
            <w:r w:rsidRPr="00F65FC8">
              <w:rPr>
                <w:rFonts w:ascii="Segoe UI" w:hAnsi="Segoe UI" w:cs="Segoe UI"/>
                <w:color w:val="000000"/>
                <w:sz w:val="22"/>
              </w:rPr>
              <w:t> </w:t>
            </w:r>
          </w:p>
        </w:tc>
        <w:tc>
          <w:tcPr>
            <w:tcW w:w="1061" w:type="dxa"/>
            <w:tcBorders>
              <w:top w:val="nil"/>
              <w:left w:val="nil"/>
              <w:bottom w:val="single" w:sz="4" w:space="0" w:color="auto"/>
              <w:right w:val="single" w:sz="4" w:space="0" w:color="auto"/>
            </w:tcBorders>
            <w:shd w:val="clear" w:color="auto" w:fill="auto"/>
            <w:noWrap/>
            <w:vAlign w:val="center"/>
            <w:hideMark/>
          </w:tcPr>
          <w:p w14:paraId="48180FB2" w14:textId="643A11E6" w:rsidR="00364029" w:rsidRPr="00F65FC8" w:rsidRDefault="00364029" w:rsidP="00C01468">
            <w:pPr>
              <w:keepNext/>
              <w:spacing w:line="276" w:lineRule="auto"/>
              <w:jc w:val="center"/>
              <w:rPr>
                <w:rFonts w:ascii="Segoe UI" w:hAnsi="Segoe UI" w:cs="Segoe UI"/>
                <w:b/>
                <w:color w:val="000000"/>
                <w:sz w:val="22"/>
              </w:rPr>
            </w:pPr>
            <w:r w:rsidRPr="00F65FC8">
              <w:rPr>
                <w:rFonts w:ascii="Segoe UI" w:hAnsi="Segoe UI" w:cs="Segoe UI"/>
                <w:b/>
                <w:color w:val="000000"/>
                <w:sz w:val="22"/>
              </w:rPr>
              <w:t>FY 202</w:t>
            </w:r>
            <w:r w:rsidR="00151421" w:rsidRPr="00F65FC8">
              <w:rPr>
                <w:rFonts w:ascii="Segoe UI" w:hAnsi="Segoe UI" w:cs="Segoe UI"/>
                <w:b/>
                <w:color w:val="000000"/>
                <w:sz w:val="22"/>
              </w:rPr>
              <w:t>5</w:t>
            </w:r>
          </w:p>
        </w:tc>
        <w:tc>
          <w:tcPr>
            <w:tcW w:w="1061" w:type="dxa"/>
            <w:tcBorders>
              <w:top w:val="nil"/>
              <w:left w:val="nil"/>
              <w:bottom w:val="single" w:sz="4" w:space="0" w:color="auto"/>
              <w:right w:val="single" w:sz="4" w:space="0" w:color="auto"/>
            </w:tcBorders>
            <w:shd w:val="clear" w:color="auto" w:fill="auto"/>
            <w:noWrap/>
            <w:vAlign w:val="center"/>
            <w:hideMark/>
          </w:tcPr>
          <w:p w14:paraId="5E1EE9FE" w14:textId="640F368F" w:rsidR="00364029" w:rsidRPr="00F65FC8" w:rsidRDefault="00364029" w:rsidP="00C01468">
            <w:pPr>
              <w:keepNext/>
              <w:spacing w:line="276" w:lineRule="auto"/>
              <w:jc w:val="center"/>
              <w:rPr>
                <w:rFonts w:ascii="Segoe UI" w:hAnsi="Segoe UI" w:cs="Segoe UI"/>
                <w:b/>
                <w:color w:val="000000"/>
                <w:sz w:val="22"/>
              </w:rPr>
            </w:pPr>
            <w:r w:rsidRPr="00F65FC8">
              <w:rPr>
                <w:rFonts w:ascii="Segoe UI" w:hAnsi="Segoe UI" w:cs="Segoe UI"/>
                <w:b/>
                <w:color w:val="000000"/>
                <w:sz w:val="22"/>
              </w:rPr>
              <w:t>FY 202</w:t>
            </w:r>
            <w:r w:rsidR="00151421" w:rsidRPr="00F65FC8">
              <w:rPr>
                <w:rFonts w:ascii="Segoe UI" w:hAnsi="Segoe UI" w:cs="Segoe UI"/>
                <w:b/>
                <w:color w:val="000000"/>
                <w:sz w:val="22"/>
              </w:rPr>
              <w:t>6</w:t>
            </w:r>
          </w:p>
        </w:tc>
        <w:tc>
          <w:tcPr>
            <w:tcW w:w="1061" w:type="dxa"/>
            <w:tcBorders>
              <w:top w:val="nil"/>
              <w:left w:val="nil"/>
              <w:bottom w:val="single" w:sz="4" w:space="0" w:color="auto"/>
              <w:right w:val="single" w:sz="4" w:space="0" w:color="auto"/>
            </w:tcBorders>
            <w:shd w:val="clear" w:color="auto" w:fill="auto"/>
            <w:noWrap/>
            <w:vAlign w:val="center"/>
            <w:hideMark/>
          </w:tcPr>
          <w:p w14:paraId="6303964E" w14:textId="2787280A" w:rsidR="00364029" w:rsidRPr="00F65FC8" w:rsidRDefault="00364029" w:rsidP="00C01468">
            <w:pPr>
              <w:keepNext/>
              <w:spacing w:line="276" w:lineRule="auto"/>
              <w:jc w:val="center"/>
              <w:rPr>
                <w:rFonts w:ascii="Segoe UI" w:hAnsi="Segoe UI" w:cs="Segoe UI"/>
                <w:b/>
                <w:color w:val="000000"/>
                <w:sz w:val="22"/>
              </w:rPr>
            </w:pPr>
            <w:r w:rsidRPr="00F65FC8">
              <w:rPr>
                <w:rFonts w:ascii="Segoe UI" w:hAnsi="Segoe UI" w:cs="Segoe UI"/>
                <w:b/>
                <w:color w:val="000000"/>
                <w:sz w:val="22"/>
              </w:rPr>
              <w:t>FY 202</w:t>
            </w:r>
            <w:r w:rsidR="00151421" w:rsidRPr="00F65FC8">
              <w:rPr>
                <w:rFonts w:ascii="Segoe UI" w:hAnsi="Segoe UI" w:cs="Segoe UI"/>
                <w:b/>
                <w:color w:val="000000"/>
                <w:sz w:val="22"/>
              </w:rPr>
              <w:t>7</w:t>
            </w:r>
          </w:p>
        </w:tc>
        <w:tc>
          <w:tcPr>
            <w:tcW w:w="1061" w:type="dxa"/>
            <w:tcBorders>
              <w:top w:val="nil"/>
              <w:left w:val="nil"/>
              <w:bottom w:val="single" w:sz="4" w:space="0" w:color="auto"/>
              <w:right w:val="single" w:sz="4" w:space="0" w:color="auto"/>
            </w:tcBorders>
            <w:shd w:val="clear" w:color="auto" w:fill="auto"/>
            <w:noWrap/>
            <w:vAlign w:val="center"/>
            <w:hideMark/>
          </w:tcPr>
          <w:p w14:paraId="1BAA10CB" w14:textId="39209CEA" w:rsidR="00364029" w:rsidRPr="00F65FC8" w:rsidRDefault="00364029" w:rsidP="00C01468">
            <w:pPr>
              <w:keepNext/>
              <w:spacing w:line="276" w:lineRule="auto"/>
              <w:jc w:val="center"/>
              <w:rPr>
                <w:rFonts w:ascii="Segoe UI" w:hAnsi="Segoe UI" w:cs="Segoe UI"/>
                <w:b/>
                <w:color w:val="000000"/>
                <w:sz w:val="22"/>
              </w:rPr>
            </w:pPr>
            <w:r w:rsidRPr="00F65FC8">
              <w:rPr>
                <w:rFonts w:ascii="Segoe UI" w:hAnsi="Segoe UI" w:cs="Segoe UI"/>
                <w:b/>
                <w:color w:val="000000"/>
                <w:sz w:val="22"/>
              </w:rPr>
              <w:t>FY 202</w:t>
            </w:r>
            <w:r w:rsidR="00151421" w:rsidRPr="00F65FC8">
              <w:rPr>
                <w:rFonts w:ascii="Segoe UI" w:hAnsi="Segoe UI" w:cs="Segoe UI"/>
                <w:b/>
                <w:color w:val="000000"/>
                <w:sz w:val="22"/>
              </w:rPr>
              <w:t>8</w:t>
            </w:r>
          </w:p>
        </w:tc>
        <w:tc>
          <w:tcPr>
            <w:tcW w:w="1061" w:type="dxa"/>
            <w:tcBorders>
              <w:top w:val="nil"/>
              <w:left w:val="nil"/>
              <w:bottom w:val="single" w:sz="4" w:space="0" w:color="auto"/>
              <w:right w:val="single" w:sz="4" w:space="0" w:color="auto"/>
            </w:tcBorders>
            <w:shd w:val="clear" w:color="auto" w:fill="auto"/>
            <w:noWrap/>
            <w:vAlign w:val="center"/>
            <w:hideMark/>
          </w:tcPr>
          <w:p w14:paraId="66530925" w14:textId="6B3467B3" w:rsidR="00364029" w:rsidRPr="00F65FC8" w:rsidRDefault="00364029" w:rsidP="00C01468">
            <w:pPr>
              <w:keepNext/>
              <w:spacing w:line="276" w:lineRule="auto"/>
              <w:jc w:val="center"/>
              <w:rPr>
                <w:rFonts w:ascii="Segoe UI" w:hAnsi="Segoe UI" w:cs="Segoe UI"/>
                <w:b/>
                <w:color w:val="000000"/>
                <w:sz w:val="22"/>
              </w:rPr>
            </w:pPr>
            <w:r w:rsidRPr="00F65FC8">
              <w:rPr>
                <w:rFonts w:ascii="Segoe UI" w:hAnsi="Segoe UI" w:cs="Segoe UI"/>
                <w:b/>
                <w:color w:val="000000"/>
                <w:sz w:val="22"/>
              </w:rPr>
              <w:t>FY 202</w:t>
            </w:r>
            <w:r w:rsidR="00151421" w:rsidRPr="00F65FC8">
              <w:rPr>
                <w:rFonts w:ascii="Segoe UI" w:hAnsi="Segoe UI" w:cs="Segoe UI"/>
                <w:b/>
                <w:color w:val="000000"/>
                <w:sz w:val="22"/>
              </w:rPr>
              <w:t>9</w:t>
            </w:r>
          </w:p>
        </w:tc>
        <w:tc>
          <w:tcPr>
            <w:tcW w:w="1158" w:type="dxa"/>
            <w:tcBorders>
              <w:top w:val="nil"/>
              <w:left w:val="nil"/>
              <w:bottom w:val="single" w:sz="4" w:space="0" w:color="auto"/>
              <w:right w:val="single" w:sz="4" w:space="0" w:color="auto"/>
            </w:tcBorders>
          </w:tcPr>
          <w:p w14:paraId="6F043938" w14:textId="3D039D0C" w:rsidR="00364029" w:rsidRPr="00F65FC8" w:rsidRDefault="00364029" w:rsidP="00C01468">
            <w:pPr>
              <w:keepNext/>
              <w:spacing w:line="276" w:lineRule="auto"/>
              <w:jc w:val="center"/>
              <w:rPr>
                <w:rFonts w:ascii="Segoe UI" w:hAnsi="Segoe UI" w:cs="Segoe UI"/>
                <w:b/>
                <w:color w:val="000000"/>
                <w:sz w:val="22"/>
              </w:rPr>
            </w:pPr>
            <w:r w:rsidRPr="00F65FC8">
              <w:rPr>
                <w:rFonts w:ascii="Segoe UI" w:hAnsi="Segoe UI" w:cs="Segoe UI"/>
                <w:b/>
                <w:color w:val="000000"/>
                <w:sz w:val="22"/>
              </w:rPr>
              <w:t>Total</w:t>
            </w:r>
          </w:p>
        </w:tc>
      </w:tr>
      <w:tr w:rsidR="00A47EBE" w:rsidRPr="00CF6436" w14:paraId="1A64D2FE" w14:textId="10141953" w:rsidTr="17CECF10">
        <w:trPr>
          <w:trHeight w:val="309"/>
          <w:jc w:val="center"/>
        </w:trPr>
        <w:tc>
          <w:tcPr>
            <w:tcW w:w="3358" w:type="dxa"/>
            <w:tcBorders>
              <w:top w:val="nil"/>
              <w:left w:val="single" w:sz="4" w:space="0" w:color="auto"/>
              <w:bottom w:val="single" w:sz="4" w:space="0" w:color="auto"/>
              <w:right w:val="single" w:sz="4" w:space="0" w:color="auto"/>
            </w:tcBorders>
            <w:shd w:val="clear" w:color="auto" w:fill="D9D9D6"/>
            <w:vAlign w:val="center"/>
            <w:hideMark/>
          </w:tcPr>
          <w:p w14:paraId="6DCFD5DE" w14:textId="7E307570" w:rsidR="00A47EBE" w:rsidRPr="00B05B6C" w:rsidRDefault="00A47EBE" w:rsidP="00A47EBE">
            <w:pPr>
              <w:keepNext/>
              <w:spacing w:line="276" w:lineRule="auto"/>
              <w:rPr>
                <w:rFonts w:ascii="Segoe UI" w:hAnsi="Segoe UI" w:cs="Segoe UI"/>
                <w:b/>
                <w:bCs/>
                <w:color w:val="000000"/>
                <w:sz w:val="22"/>
              </w:rPr>
            </w:pPr>
            <w:r w:rsidRPr="293D3C50">
              <w:rPr>
                <w:rFonts w:ascii="Segoe UI" w:hAnsi="Segoe UI" w:cs="Segoe UI"/>
                <w:b/>
                <w:bCs/>
                <w:color w:val="000000" w:themeColor="text1"/>
                <w:sz w:val="22"/>
              </w:rPr>
              <w:t>Baseline (Alternative 4)—fee revenue</w:t>
            </w:r>
          </w:p>
        </w:tc>
        <w:tc>
          <w:tcPr>
            <w:tcW w:w="1061" w:type="dxa"/>
            <w:tcBorders>
              <w:top w:val="single" w:sz="4" w:space="0" w:color="auto"/>
              <w:left w:val="single" w:sz="4" w:space="0" w:color="auto"/>
              <w:bottom w:val="single" w:sz="4" w:space="0" w:color="auto"/>
              <w:right w:val="single" w:sz="4" w:space="0" w:color="auto"/>
            </w:tcBorders>
            <w:shd w:val="clear" w:color="auto" w:fill="D9D9D6"/>
            <w:noWrap/>
            <w:vAlign w:val="center"/>
          </w:tcPr>
          <w:p w14:paraId="594CA0E7" w14:textId="7E6A2BFD" w:rsidR="00A47EBE" w:rsidRPr="00B05B6C" w:rsidRDefault="00A47EBE" w:rsidP="00A47EBE">
            <w:pPr>
              <w:keepNext/>
              <w:spacing w:line="276" w:lineRule="auto"/>
              <w:jc w:val="right"/>
              <w:rPr>
                <w:rFonts w:ascii="Segoe UI" w:eastAsia="Times New Roman" w:hAnsi="Segoe UI" w:cs="Segoe UI"/>
                <w:color w:val="000000"/>
                <w:sz w:val="22"/>
                <w:highlight w:val="yellow"/>
              </w:rPr>
            </w:pPr>
            <w:r w:rsidRPr="00211D5B">
              <w:rPr>
                <w:rFonts w:ascii="Segoe UI" w:hAnsi="Segoe UI" w:cs="Segoe UI"/>
                <w:sz w:val="22"/>
              </w:rPr>
              <w:t>$3,590</w:t>
            </w:r>
          </w:p>
        </w:tc>
        <w:tc>
          <w:tcPr>
            <w:tcW w:w="1061" w:type="dxa"/>
            <w:tcBorders>
              <w:top w:val="single" w:sz="4" w:space="0" w:color="auto"/>
              <w:left w:val="nil"/>
              <w:bottom w:val="single" w:sz="4" w:space="0" w:color="auto"/>
              <w:right w:val="single" w:sz="4" w:space="0" w:color="auto"/>
            </w:tcBorders>
            <w:shd w:val="clear" w:color="auto" w:fill="D9D9D6"/>
            <w:noWrap/>
            <w:vAlign w:val="center"/>
          </w:tcPr>
          <w:p w14:paraId="6BC5B67A" w14:textId="4A268E0F" w:rsidR="00A47EBE" w:rsidRPr="00B05B6C" w:rsidRDefault="00A47EBE" w:rsidP="00A47EBE">
            <w:pPr>
              <w:keepNext/>
              <w:spacing w:line="276" w:lineRule="auto"/>
              <w:jc w:val="right"/>
              <w:rPr>
                <w:rFonts w:ascii="Segoe UI" w:eastAsia="Times New Roman" w:hAnsi="Segoe UI" w:cs="Segoe UI"/>
                <w:color w:val="000000"/>
                <w:sz w:val="22"/>
                <w:highlight w:val="yellow"/>
              </w:rPr>
            </w:pPr>
            <w:r w:rsidRPr="00211D5B">
              <w:rPr>
                <w:rFonts w:ascii="Segoe UI" w:hAnsi="Segoe UI" w:cs="Segoe UI"/>
                <w:sz w:val="22"/>
              </w:rPr>
              <w:t>$3,564</w:t>
            </w:r>
          </w:p>
        </w:tc>
        <w:tc>
          <w:tcPr>
            <w:tcW w:w="1061" w:type="dxa"/>
            <w:tcBorders>
              <w:top w:val="single" w:sz="4" w:space="0" w:color="auto"/>
              <w:left w:val="nil"/>
              <w:bottom w:val="single" w:sz="4" w:space="0" w:color="auto"/>
              <w:right w:val="single" w:sz="4" w:space="0" w:color="auto"/>
            </w:tcBorders>
            <w:shd w:val="clear" w:color="auto" w:fill="D9D9D6"/>
            <w:noWrap/>
            <w:vAlign w:val="center"/>
          </w:tcPr>
          <w:p w14:paraId="1AF64A21" w14:textId="4424A6BF" w:rsidR="00A47EBE" w:rsidRPr="00B05B6C" w:rsidRDefault="00A47EBE" w:rsidP="00A47EBE">
            <w:pPr>
              <w:keepNext/>
              <w:spacing w:line="276" w:lineRule="auto"/>
              <w:jc w:val="right"/>
              <w:rPr>
                <w:rFonts w:ascii="Segoe UI" w:eastAsia="Times New Roman" w:hAnsi="Segoe UI" w:cs="Segoe UI"/>
                <w:color w:val="000000"/>
                <w:sz w:val="22"/>
                <w:highlight w:val="yellow"/>
              </w:rPr>
            </w:pPr>
            <w:r w:rsidRPr="00211D5B">
              <w:rPr>
                <w:rFonts w:ascii="Segoe UI" w:hAnsi="Segoe UI" w:cs="Segoe UI"/>
                <w:sz w:val="22"/>
              </w:rPr>
              <w:t>$3,431</w:t>
            </w:r>
          </w:p>
        </w:tc>
        <w:tc>
          <w:tcPr>
            <w:tcW w:w="1061" w:type="dxa"/>
            <w:tcBorders>
              <w:top w:val="single" w:sz="4" w:space="0" w:color="auto"/>
              <w:left w:val="nil"/>
              <w:bottom w:val="single" w:sz="4" w:space="0" w:color="auto"/>
              <w:right w:val="single" w:sz="4" w:space="0" w:color="auto"/>
            </w:tcBorders>
            <w:shd w:val="clear" w:color="auto" w:fill="D9D9D6"/>
            <w:noWrap/>
            <w:vAlign w:val="center"/>
          </w:tcPr>
          <w:p w14:paraId="7586855D" w14:textId="4D1DCA4C" w:rsidR="00A47EBE" w:rsidRPr="00B05B6C" w:rsidRDefault="00A47EBE" w:rsidP="00A47EBE">
            <w:pPr>
              <w:keepNext/>
              <w:spacing w:line="276" w:lineRule="auto"/>
              <w:jc w:val="right"/>
              <w:rPr>
                <w:rFonts w:ascii="Segoe UI" w:eastAsia="Times New Roman" w:hAnsi="Segoe UI" w:cs="Segoe UI"/>
                <w:color w:val="000000"/>
                <w:sz w:val="22"/>
                <w:highlight w:val="yellow"/>
              </w:rPr>
            </w:pPr>
            <w:r w:rsidRPr="00211D5B">
              <w:rPr>
                <w:rFonts w:ascii="Segoe UI" w:hAnsi="Segoe UI" w:cs="Segoe UI"/>
                <w:sz w:val="22"/>
              </w:rPr>
              <w:t>$3,126</w:t>
            </w:r>
          </w:p>
        </w:tc>
        <w:tc>
          <w:tcPr>
            <w:tcW w:w="1061" w:type="dxa"/>
            <w:tcBorders>
              <w:top w:val="single" w:sz="4" w:space="0" w:color="auto"/>
              <w:left w:val="nil"/>
              <w:bottom w:val="single" w:sz="4" w:space="0" w:color="auto"/>
              <w:right w:val="single" w:sz="4" w:space="0" w:color="auto"/>
            </w:tcBorders>
            <w:shd w:val="clear" w:color="auto" w:fill="D9D9D6"/>
            <w:noWrap/>
            <w:vAlign w:val="center"/>
          </w:tcPr>
          <w:p w14:paraId="44B73586" w14:textId="0AE6A871" w:rsidR="00A47EBE" w:rsidRPr="00B05B6C" w:rsidRDefault="00A47EBE" w:rsidP="00A47EBE">
            <w:pPr>
              <w:keepNext/>
              <w:spacing w:line="276" w:lineRule="auto"/>
              <w:jc w:val="right"/>
              <w:rPr>
                <w:rFonts w:ascii="Segoe UI" w:eastAsia="Times New Roman" w:hAnsi="Segoe UI" w:cs="Segoe UI"/>
                <w:color w:val="000000"/>
                <w:sz w:val="22"/>
                <w:highlight w:val="yellow"/>
              </w:rPr>
            </w:pPr>
            <w:r w:rsidRPr="00211D5B">
              <w:rPr>
                <w:rFonts w:ascii="Segoe UI" w:hAnsi="Segoe UI" w:cs="Segoe UI"/>
                <w:sz w:val="22"/>
              </w:rPr>
              <w:t>$2,814</w:t>
            </w:r>
          </w:p>
        </w:tc>
        <w:tc>
          <w:tcPr>
            <w:tcW w:w="1158" w:type="dxa"/>
            <w:tcBorders>
              <w:top w:val="single" w:sz="4" w:space="0" w:color="auto"/>
              <w:left w:val="nil"/>
              <w:bottom w:val="single" w:sz="4" w:space="0" w:color="auto"/>
              <w:right w:val="single" w:sz="4" w:space="0" w:color="auto"/>
            </w:tcBorders>
            <w:shd w:val="clear" w:color="auto" w:fill="D9D9D6"/>
            <w:vAlign w:val="center"/>
          </w:tcPr>
          <w:p w14:paraId="6E1C41EB" w14:textId="4DD8C0EE" w:rsidR="00A47EBE" w:rsidRPr="00B05B6C" w:rsidRDefault="00A47EBE" w:rsidP="00A47EBE">
            <w:pPr>
              <w:keepNext/>
              <w:spacing w:line="276" w:lineRule="auto"/>
              <w:jc w:val="right"/>
              <w:rPr>
                <w:rFonts w:ascii="Segoe UI" w:hAnsi="Segoe UI" w:cs="Segoe UI"/>
                <w:sz w:val="22"/>
                <w:highlight w:val="yellow"/>
              </w:rPr>
            </w:pPr>
            <w:r w:rsidRPr="00211D5B">
              <w:rPr>
                <w:rFonts w:ascii="Segoe UI" w:hAnsi="Segoe UI" w:cs="Segoe UI"/>
                <w:sz w:val="22"/>
              </w:rPr>
              <w:t>$16,524</w:t>
            </w:r>
          </w:p>
        </w:tc>
      </w:tr>
      <w:tr w:rsidR="0061637C" w:rsidRPr="00CF6436" w14:paraId="49BC809E" w14:textId="4D19BA20" w:rsidTr="0061637C">
        <w:trPr>
          <w:trHeight w:val="928"/>
          <w:jc w:val="center"/>
        </w:trPr>
        <w:tc>
          <w:tcPr>
            <w:tcW w:w="3358" w:type="dxa"/>
            <w:tcBorders>
              <w:top w:val="nil"/>
              <w:left w:val="single" w:sz="4" w:space="0" w:color="auto"/>
              <w:bottom w:val="single" w:sz="4" w:space="0" w:color="auto"/>
              <w:right w:val="single" w:sz="4" w:space="0" w:color="auto"/>
            </w:tcBorders>
            <w:shd w:val="clear" w:color="auto" w:fill="auto"/>
            <w:vAlign w:val="center"/>
            <w:hideMark/>
          </w:tcPr>
          <w:p w14:paraId="28FF0D4D" w14:textId="458F46CC" w:rsidR="0061637C" w:rsidRPr="00B05B6C" w:rsidRDefault="0061637C" w:rsidP="0061637C">
            <w:pPr>
              <w:keepNext/>
              <w:spacing w:line="276" w:lineRule="auto"/>
              <w:rPr>
                <w:rFonts w:ascii="Segoe UI" w:hAnsi="Segoe UI" w:cs="Segoe UI"/>
                <w:b/>
                <w:bCs/>
                <w:color w:val="000000"/>
                <w:sz w:val="22"/>
              </w:rPr>
            </w:pPr>
            <w:r w:rsidRPr="293D3C50">
              <w:rPr>
                <w:rFonts w:ascii="Segoe UI" w:hAnsi="Segoe UI" w:cs="Segoe UI"/>
                <w:b/>
                <w:bCs/>
                <w:color w:val="000000" w:themeColor="text1"/>
                <w:sz w:val="22"/>
              </w:rPr>
              <w:t xml:space="preserve">Alternative 1: </w:t>
            </w:r>
            <w:r>
              <w:rPr>
                <w:rFonts w:ascii="Segoe UI" w:hAnsi="Segoe UI" w:cs="Segoe UI"/>
                <w:b/>
                <w:bCs/>
                <w:color w:val="000000" w:themeColor="text1"/>
                <w:sz w:val="22"/>
              </w:rPr>
              <w:t>Final</w:t>
            </w:r>
            <w:r w:rsidRPr="293D3C50">
              <w:rPr>
                <w:rFonts w:ascii="Segoe UI" w:hAnsi="Segoe UI" w:cs="Segoe UI"/>
                <w:b/>
                <w:bCs/>
                <w:color w:val="000000" w:themeColor="text1"/>
                <w:sz w:val="22"/>
              </w:rPr>
              <w:t xml:space="preserve"> Patent Fee Schedule—fee revenue</w:t>
            </w:r>
          </w:p>
        </w:tc>
        <w:tc>
          <w:tcPr>
            <w:tcW w:w="1061" w:type="dxa"/>
            <w:tcBorders>
              <w:top w:val="nil"/>
              <w:left w:val="single" w:sz="4" w:space="0" w:color="auto"/>
              <w:bottom w:val="single" w:sz="4" w:space="0" w:color="auto"/>
              <w:right w:val="single" w:sz="4" w:space="0" w:color="auto"/>
            </w:tcBorders>
            <w:shd w:val="clear" w:color="auto" w:fill="auto"/>
            <w:noWrap/>
            <w:vAlign w:val="center"/>
          </w:tcPr>
          <w:p w14:paraId="5BAE1132" w14:textId="79DFB2BC" w:rsidR="0061637C" w:rsidRPr="0061637C" w:rsidRDefault="0061637C" w:rsidP="0061637C">
            <w:pPr>
              <w:keepNext/>
              <w:spacing w:line="276" w:lineRule="auto"/>
              <w:jc w:val="right"/>
              <w:rPr>
                <w:rFonts w:ascii="Segoe UI" w:eastAsia="Times New Roman" w:hAnsi="Segoe UI" w:cs="Segoe UI"/>
                <w:color w:val="000000"/>
                <w:sz w:val="22"/>
                <w:highlight w:val="yellow"/>
              </w:rPr>
            </w:pPr>
            <w:r w:rsidRPr="0061637C">
              <w:rPr>
                <w:rFonts w:ascii="Segoe UI" w:hAnsi="Segoe UI" w:cs="Segoe UI"/>
                <w:sz w:val="22"/>
              </w:rPr>
              <w:t>$3,875</w:t>
            </w:r>
          </w:p>
        </w:tc>
        <w:tc>
          <w:tcPr>
            <w:tcW w:w="1061" w:type="dxa"/>
            <w:tcBorders>
              <w:top w:val="nil"/>
              <w:left w:val="nil"/>
              <w:bottom w:val="single" w:sz="4" w:space="0" w:color="auto"/>
              <w:right w:val="single" w:sz="4" w:space="0" w:color="auto"/>
            </w:tcBorders>
            <w:shd w:val="clear" w:color="auto" w:fill="auto"/>
            <w:noWrap/>
            <w:vAlign w:val="center"/>
          </w:tcPr>
          <w:p w14:paraId="3FD69D48" w14:textId="15D8C7D1" w:rsidR="0061637C" w:rsidRPr="0061637C" w:rsidRDefault="0061637C" w:rsidP="0061637C">
            <w:pPr>
              <w:keepNext/>
              <w:spacing w:line="276" w:lineRule="auto"/>
              <w:jc w:val="right"/>
              <w:rPr>
                <w:rFonts w:ascii="Segoe UI" w:eastAsia="Times New Roman" w:hAnsi="Segoe UI" w:cs="Segoe UI"/>
                <w:color w:val="000000"/>
                <w:sz w:val="22"/>
                <w:highlight w:val="yellow"/>
              </w:rPr>
            </w:pPr>
            <w:r w:rsidRPr="0061637C">
              <w:rPr>
                <w:rFonts w:ascii="Segoe UI" w:hAnsi="Segoe UI" w:cs="Segoe UI"/>
                <w:sz w:val="22"/>
              </w:rPr>
              <w:t>$3,972</w:t>
            </w:r>
          </w:p>
        </w:tc>
        <w:tc>
          <w:tcPr>
            <w:tcW w:w="1061" w:type="dxa"/>
            <w:tcBorders>
              <w:top w:val="nil"/>
              <w:left w:val="nil"/>
              <w:bottom w:val="single" w:sz="4" w:space="0" w:color="auto"/>
              <w:right w:val="single" w:sz="4" w:space="0" w:color="auto"/>
            </w:tcBorders>
            <w:shd w:val="clear" w:color="auto" w:fill="auto"/>
            <w:noWrap/>
            <w:vAlign w:val="center"/>
          </w:tcPr>
          <w:p w14:paraId="275C9F23" w14:textId="38765798" w:rsidR="0061637C" w:rsidRPr="0061637C" w:rsidRDefault="0061637C" w:rsidP="0061637C">
            <w:pPr>
              <w:keepNext/>
              <w:spacing w:line="276" w:lineRule="auto"/>
              <w:jc w:val="right"/>
              <w:rPr>
                <w:rFonts w:ascii="Segoe UI" w:eastAsia="Times New Roman" w:hAnsi="Segoe UI" w:cs="Segoe UI"/>
                <w:color w:val="000000"/>
                <w:sz w:val="22"/>
                <w:highlight w:val="yellow"/>
              </w:rPr>
            </w:pPr>
            <w:r w:rsidRPr="0061637C">
              <w:rPr>
                <w:rFonts w:ascii="Segoe UI" w:hAnsi="Segoe UI" w:cs="Segoe UI"/>
                <w:sz w:val="22"/>
              </w:rPr>
              <w:t>$3,819</w:t>
            </w:r>
          </w:p>
        </w:tc>
        <w:tc>
          <w:tcPr>
            <w:tcW w:w="1061" w:type="dxa"/>
            <w:tcBorders>
              <w:top w:val="nil"/>
              <w:left w:val="nil"/>
              <w:bottom w:val="single" w:sz="4" w:space="0" w:color="auto"/>
              <w:right w:val="single" w:sz="4" w:space="0" w:color="auto"/>
            </w:tcBorders>
            <w:shd w:val="clear" w:color="auto" w:fill="auto"/>
            <w:noWrap/>
            <w:vAlign w:val="center"/>
          </w:tcPr>
          <w:p w14:paraId="2751BC3C" w14:textId="2F0B44AD" w:rsidR="0061637C" w:rsidRPr="0061637C" w:rsidRDefault="0061637C" w:rsidP="0061637C">
            <w:pPr>
              <w:keepNext/>
              <w:spacing w:line="276" w:lineRule="auto"/>
              <w:jc w:val="right"/>
              <w:rPr>
                <w:rFonts w:ascii="Segoe UI" w:eastAsia="Times New Roman" w:hAnsi="Segoe UI" w:cs="Segoe UI"/>
                <w:color w:val="000000"/>
                <w:sz w:val="22"/>
                <w:highlight w:val="yellow"/>
              </w:rPr>
            </w:pPr>
            <w:r w:rsidRPr="0061637C">
              <w:rPr>
                <w:rFonts w:ascii="Segoe UI" w:hAnsi="Segoe UI" w:cs="Segoe UI"/>
                <w:sz w:val="22"/>
              </w:rPr>
              <w:t>$3,482</w:t>
            </w:r>
          </w:p>
        </w:tc>
        <w:tc>
          <w:tcPr>
            <w:tcW w:w="1061" w:type="dxa"/>
            <w:tcBorders>
              <w:top w:val="nil"/>
              <w:left w:val="nil"/>
              <w:bottom w:val="single" w:sz="4" w:space="0" w:color="auto"/>
              <w:right w:val="single" w:sz="4" w:space="0" w:color="auto"/>
            </w:tcBorders>
            <w:shd w:val="clear" w:color="auto" w:fill="auto"/>
            <w:noWrap/>
            <w:vAlign w:val="center"/>
          </w:tcPr>
          <w:p w14:paraId="05AF1E52" w14:textId="5E566E3F" w:rsidR="0061637C" w:rsidRPr="0061637C" w:rsidRDefault="0061637C" w:rsidP="0061637C">
            <w:pPr>
              <w:keepNext/>
              <w:spacing w:line="276" w:lineRule="auto"/>
              <w:jc w:val="right"/>
              <w:rPr>
                <w:rFonts w:ascii="Segoe UI" w:eastAsia="Times New Roman" w:hAnsi="Segoe UI" w:cs="Segoe UI"/>
                <w:color w:val="000000"/>
                <w:sz w:val="22"/>
                <w:highlight w:val="yellow"/>
              </w:rPr>
            </w:pPr>
            <w:r w:rsidRPr="0061637C">
              <w:rPr>
                <w:rFonts w:ascii="Segoe UI" w:hAnsi="Segoe UI" w:cs="Segoe UI"/>
                <w:sz w:val="22"/>
              </w:rPr>
              <w:t>$3,137</w:t>
            </w:r>
          </w:p>
        </w:tc>
        <w:tc>
          <w:tcPr>
            <w:tcW w:w="1158" w:type="dxa"/>
            <w:tcBorders>
              <w:top w:val="nil"/>
              <w:left w:val="nil"/>
              <w:bottom w:val="single" w:sz="4" w:space="0" w:color="auto"/>
              <w:right w:val="single" w:sz="4" w:space="0" w:color="auto"/>
            </w:tcBorders>
            <w:shd w:val="clear" w:color="auto" w:fill="auto"/>
            <w:vAlign w:val="center"/>
          </w:tcPr>
          <w:p w14:paraId="6F062AE0" w14:textId="34D05914" w:rsidR="0061637C" w:rsidRPr="0061637C" w:rsidRDefault="0061637C" w:rsidP="0061637C">
            <w:pPr>
              <w:keepNext/>
              <w:spacing w:line="276" w:lineRule="auto"/>
              <w:jc w:val="right"/>
              <w:rPr>
                <w:rFonts w:ascii="Segoe UI" w:hAnsi="Segoe UI" w:cs="Segoe UI"/>
                <w:sz w:val="22"/>
                <w:highlight w:val="yellow"/>
              </w:rPr>
            </w:pPr>
            <w:r w:rsidRPr="0061637C">
              <w:rPr>
                <w:rFonts w:ascii="Segoe UI" w:hAnsi="Segoe UI" w:cs="Segoe UI"/>
                <w:sz w:val="22"/>
              </w:rPr>
              <w:t>$18,284</w:t>
            </w:r>
          </w:p>
        </w:tc>
      </w:tr>
      <w:tr w:rsidR="0061637C" w:rsidRPr="00CF6436" w14:paraId="457AA97F" w14:textId="5AA7B7A1" w:rsidTr="0061637C">
        <w:trPr>
          <w:trHeight w:val="619"/>
          <w:jc w:val="center"/>
        </w:trPr>
        <w:tc>
          <w:tcPr>
            <w:tcW w:w="3358" w:type="dxa"/>
            <w:tcBorders>
              <w:top w:val="nil"/>
              <w:left w:val="single" w:sz="4" w:space="0" w:color="auto"/>
              <w:bottom w:val="single" w:sz="4" w:space="0" w:color="auto"/>
              <w:right w:val="single" w:sz="4" w:space="0" w:color="auto"/>
            </w:tcBorders>
            <w:shd w:val="clear" w:color="auto" w:fill="D9D9D6"/>
            <w:vAlign w:val="center"/>
            <w:hideMark/>
          </w:tcPr>
          <w:p w14:paraId="37A01884" w14:textId="1C9A0C10" w:rsidR="0061637C" w:rsidRPr="00B05B6C" w:rsidRDefault="0061637C" w:rsidP="0061637C">
            <w:pPr>
              <w:keepNext/>
              <w:spacing w:line="276" w:lineRule="auto"/>
              <w:jc w:val="right"/>
              <w:rPr>
                <w:rFonts w:ascii="Segoe UI" w:hAnsi="Segoe UI" w:cs="Segoe UI"/>
                <w:i/>
                <w:iCs/>
                <w:color w:val="000000"/>
                <w:sz w:val="22"/>
              </w:rPr>
            </w:pPr>
            <w:r w:rsidRPr="00F65FC8">
              <w:rPr>
                <w:rFonts w:ascii="Segoe UI" w:hAnsi="Segoe UI" w:cs="Segoe UI"/>
                <w:i/>
                <w:iCs/>
                <w:color w:val="000000" w:themeColor="text1"/>
                <w:sz w:val="22"/>
              </w:rPr>
              <w:t xml:space="preserve">Transfer </w:t>
            </w:r>
            <w:r w:rsidRPr="3E055338">
              <w:rPr>
                <w:rFonts w:ascii="Segoe UI" w:hAnsi="Segoe UI" w:cs="Segoe UI"/>
                <w:i/>
                <w:iCs/>
                <w:color w:val="000000" w:themeColor="text1"/>
                <w:sz w:val="22"/>
              </w:rPr>
              <w:t>a</w:t>
            </w:r>
            <w:r w:rsidRPr="00F65FC8">
              <w:rPr>
                <w:rFonts w:ascii="Segoe UI" w:hAnsi="Segoe UI" w:cs="Segoe UI"/>
                <w:i/>
                <w:iCs/>
                <w:color w:val="000000" w:themeColor="text1"/>
                <w:sz w:val="22"/>
              </w:rPr>
              <w:t>mount from</w:t>
            </w:r>
          </w:p>
          <w:p w14:paraId="5F9F0763" w14:textId="0DEC26FB" w:rsidR="0061637C" w:rsidRPr="00F65FC8" w:rsidRDefault="0061637C" w:rsidP="0061637C">
            <w:pPr>
              <w:keepNext/>
              <w:spacing w:line="276" w:lineRule="auto"/>
              <w:jc w:val="right"/>
              <w:rPr>
                <w:rFonts w:ascii="Segoe UI" w:hAnsi="Segoe UI" w:cs="Segoe UI"/>
                <w:i/>
                <w:color w:val="000000"/>
                <w:sz w:val="22"/>
              </w:rPr>
            </w:pPr>
            <w:r w:rsidRPr="00F65FC8">
              <w:rPr>
                <w:rFonts w:ascii="Segoe UI" w:hAnsi="Segoe UI" w:cs="Segoe UI"/>
                <w:i/>
                <w:iCs/>
                <w:color w:val="000000"/>
                <w:sz w:val="22"/>
              </w:rPr>
              <w:t>Baseline for Alternative 1</w:t>
            </w:r>
          </w:p>
        </w:tc>
        <w:tc>
          <w:tcPr>
            <w:tcW w:w="1061" w:type="dxa"/>
            <w:tcBorders>
              <w:top w:val="nil"/>
              <w:left w:val="single" w:sz="4" w:space="0" w:color="auto"/>
              <w:bottom w:val="single" w:sz="4" w:space="0" w:color="auto"/>
              <w:right w:val="single" w:sz="4" w:space="0" w:color="auto"/>
            </w:tcBorders>
            <w:shd w:val="clear" w:color="auto" w:fill="D9D9D6"/>
            <w:noWrap/>
            <w:vAlign w:val="center"/>
          </w:tcPr>
          <w:p w14:paraId="72EB4092" w14:textId="37F62736" w:rsidR="0061637C" w:rsidRPr="0061637C" w:rsidRDefault="0061637C" w:rsidP="0061637C">
            <w:pPr>
              <w:keepNext/>
              <w:spacing w:line="276" w:lineRule="auto"/>
              <w:jc w:val="right"/>
              <w:rPr>
                <w:rFonts w:ascii="Segoe UI" w:eastAsia="Times New Roman" w:hAnsi="Segoe UI" w:cs="Segoe UI"/>
                <w:i/>
                <w:iCs/>
                <w:color w:val="000000"/>
                <w:sz w:val="22"/>
                <w:highlight w:val="yellow"/>
              </w:rPr>
            </w:pPr>
            <w:r w:rsidRPr="0061637C">
              <w:rPr>
                <w:rFonts w:ascii="Segoe UI" w:hAnsi="Segoe UI" w:cs="Segoe UI"/>
                <w:sz w:val="22"/>
              </w:rPr>
              <w:t>$285</w:t>
            </w:r>
          </w:p>
        </w:tc>
        <w:tc>
          <w:tcPr>
            <w:tcW w:w="1061" w:type="dxa"/>
            <w:tcBorders>
              <w:top w:val="nil"/>
              <w:left w:val="nil"/>
              <w:bottom w:val="single" w:sz="4" w:space="0" w:color="auto"/>
              <w:right w:val="single" w:sz="4" w:space="0" w:color="auto"/>
            </w:tcBorders>
            <w:shd w:val="clear" w:color="auto" w:fill="D9D9D6"/>
            <w:noWrap/>
            <w:vAlign w:val="center"/>
          </w:tcPr>
          <w:p w14:paraId="4619188D" w14:textId="794B1F60" w:rsidR="0061637C" w:rsidRPr="0061637C" w:rsidRDefault="0061637C" w:rsidP="0061637C">
            <w:pPr>
              <w:keepNext/>
              <w:spacing w:line="276" w:lineRule="auto"/>
              <w:jc w:val="right"/>
              <w:rPr>
                <w:rFonts w:ascii="Segoe UI" w:eastAsia="Times New Roman" w:hAnsi="Segoe UI" w:cs="Segoe UI"/>
                <w:i/>
                <w:iCs/>
                <w:color w:val="000000"/>
                <w:sz w:val="22"/>
                <w:highlight w:val="yellow"/>
              </w:rPr>
            </w:pPr>
            <w:r w:rsidRPr="0061637C">
              <w:rPr>
                <w:rFonts w:ascii="Segoe UI" w:hAnsi="Segoe UI" w:cs="Segoe UI"/>
                <w:sz w:val="22"/>
              </w:rPr>
              <w:t>$408</w:t>
            </w:r>
          </w:p>
        </w:tc>
        <w:tc>
          <w:tcPr>
            <w:tcW w:w="1061" w:type="dxa"/>
            <w:tcBorders>
              <w:top w:val="nil"/>
              <w:left w:val="nil"/>
              <w:bottom w:val="single" w:sz="4" w:space="0" w:color="auto"/>
              <w:right w:val="single" w:sz="4" w:space="0" w:color="auto"/>
            </w:tcBorders>
            <w:shd w:val="clear" w:color="auto" w:fill="D9D9D6"/>
            <w:noWrap/>
            <w:vAlign w:val="center"/>
          </w:tcPr>
          <w:p w14:paraId="4BCFA846" w14:textId="51FFA122" w:rsidR="0061637C" w:rsidRPr="0061637C" w:rsidRDefault="0061637C" w:rsidP="0061637C">
            <w:pPr>
              <w:keepNext/>
              <w:spacing w:line="276" w:lineRule="auto"/>
              <w:jc w:val="right"/>
              <w:rPr>
                <w:rFonts w:ascii="Segoe UI" w:eastAsia="Times New Roman" w:hAnsi="Segoe UI" w:cs="Segoe UI"/>
                <w:i/>
                <w:iCs/>
                <w:color w:val="000000"/>
                <w:sz w:val="22"/>
                <w:highlight w:val="yellow"/>
              </w:rPr>
            </w:pPr>
            <w:r w:rsidRPr="0061637C">
              <w:rPr>
                <w:rFonts w:ascii="Segoe UI" w:hAnsi="Segoe UI" w:cs="Segoe UI"/>
                <w:sz w:val="22"/>
              </w:rPr>
              <w:t>$388</w:t>
            </w:r>
          </w:p>
        </w:tc>
        <w:tc>
          <w:tcPr>
            <w:tcW w:w="1061" w:type="dxa"/>
            <w:tcBorders>
              <w:top w:val="nil"/>
              <w:left w:val="nil"/>
              <w:bottom w:val="single" w:sz="4" w:space="0" w:color="auto"/>
              <w:right w:val="single" w:sz="4" w:space="0" w:color="auto"/>
            </w:tcBorders>
            <w:shd w:val="clear" w:color="auto" w:fill="D9D9D6"/>
            <w:noWrap/>
            <w:vAlign w:val="center"/>
          </w:tcPr>
          <w:p w14:paraId="7877511B" w14:textId="56D5678C" w:rsidR="0061637C" w:rsidRPr="0061637C" w:rsidRDefault="0061637C" w:rsidP="0061637C">
            <w:pPr>
              <w:keepNext/>
              <w:spacing w:line="276" w:lineRule="auto"/>
              <w:jc w:val="right"/>
              <w:rPr>
                <w:rFonts w:ascii="Segoe UI" w:eastAsia="Times New Roman" w:hAnsi="Segoe UI" w:cs="Segoe UI"/>
                <w:i/>
                <w:iCs/>
                <w:color w:val="000000"/>
                <w:sz w:val="22"/>
                <w:highlight w:val="yellow"/>
              </w:rPr>
            </w:pPr>
            <w:r w:rsidRPr="0061637C">
              <w:rPr>
                <w:rFonts w:ascii="Segoe UI" w:hAnsi="Segoe UI" w:cs="Segoe UI"/>
                <w:sz w:val="22"/>
              </w:rPr>
              <w:t>$356</w:t>
            </w:r>
          </w:p>
        </w:tc>
        <w:tc>
          <w:tcPr>
            <w:tcW w:w="1061" w:type="dxa"/>
            <w:tcBorders>
              <w:top w:val="nil"/>
              <w:left w:val="nil"/>
              <w:bottom w:val="single" w:sz="4" w:space="0" w:color="auto"/>
              <w:right w:val="single" w:sz="4" w:space="0" w:color="auto"/>
            </w:tcBorders>
            <w:shd w:val="clear" w:color="auto" w:fill="D9D9D6"/>
            <w:noWrap/>
            <w:vAlign w:val="center"/>
          </w:tcPr>
          <w:p w14:paraId="146F642F" w14:textId="53F249AA" w:rsidR="0061637C" w:rsidRPr="0061637C" w:rsidRDefault="0061637C" w:rsidP="0061637C">
            <w:pPr>
              <w:keepNext/>
              <w:spacing w:line="276" w:lineRule="auto"/>
              <w:jc w:val="right"/>
              <w:rPr>
                <w:rFonts w:ascii="Segoe UI" w:eastAsia="Times New Roman" w:hAnsi="Segoe UI" w:cs="Segoe UI"/>
                <w:i/>
                <w:iCs/>
                <w:color w:val="000000"/>
                <w:sz w:val="22"/>
                <w:highlight w:val="yellow"/>
              </w:rPr>
            </w:pPr>
            <w:r w:rsidRPr="0061637C">
              <w:rPr>
                <w:rFonts w:ascii="Segoe UI" w:hAnsi="Segoe UI" w:cs="Segoe UI"/>
                <w:sz w:val="22"/>
              </w:rPr>
              <w:t>$322</w:t>
            </w:r>
          </w:p>
        </w:tc>
        <w:tc>
          <w:tcPr>
            <w:tcW w:w="1158" w:type="dxa"/>
            <w:tcBorders>
              <w:top w:val="nil"/>
              <w:left w:val="nil"/>
              <w:bottom w:val="single" w:sz="4" w:space="0" w:color="auto"/>
              <w:right w:val="single" w:sz="4" w:space="0" w:color="auto"/>
            </w:tcBorders>
            <w:shd w:val="clear" w:color="auto" w:fill="D9D9D6"/>
            <w:vAlign w:val="center"/>
          </w:tcPr>
          <w:p w14:paraId="6F3C76D3" w14:textId="1100D681" w:rsidR="0061637C" w:rsidRPr="0061637C" w:rsidRDefault="0061637C" w:rsidP="0061637C">
            <w:pPr>
              <w:keepNext/>
              <w:spacing w:line="276" w:lineRule="auto"/>
              <w:jc w:val="right"/>
              <w:rPr>
                <w:rFonts w:ascii="Segoe UI" w:hAnsi="Segoe UI" w:cs="Segoe UI"/>
                <w:sz w:val="22"/>
                <w:highlight w:val="yellow"/>
              </w:rPr>
            </w:pPr>
            <w:r w:rsidRPr="0061637C">
              <w:rPr>
                <w:rFonts w:ascii="Segoe UI" w:hAnsi="Segoe UI" w:cs="Segoe UI"/>
                <w:sz w:val="22"/>
              </w:rPr>
              <w:t>$1,760</w:t>
            </w:r>
          </w:p>
        </w:tc>
      </w:tr>
      <w:tr w:rsidR="0061637C" w:rsidRPr="00CF6436" w14:paraId="1F1AEAD6" w14:textId="7DA76699" w:rsidTr="0061637C">
        <w:trPr>
          <w:trHeight w:val="619"/>
          <w:jc w:val="center"/>
        </w:trPr>
        <w:tc>
          <w:tcPr>
            <w:tcW w:w="3358" w:type="dxa"/>
            <w:tcBorders>
              <w:top w:val="nil"/>
              <w:left w:val="single" w:sz="4" w:space="0" w:color="auto"/>
              <w:bottom w:val="single" w:sz="4" w:space="0" w:color="auto"/>
              <w:right w:val="single" w:sz="4" w:space="0" w:color="auto"/>
            </w:tcBorders>
            <w:shd w:val="clear" w:color="auto" w:fill="auto"/>
            <w:vAlign w:val="center"/>
            <w:hideMark/>
          </w:tcPr>
          <w:p w14:paraId="0DC5422F" w14:textId="5103FE04" w:rsidR="0061637C" w:rsidRPr="00B05B6C" w:rsidRDefault="0061637C" w:rsidP="0061637C">
            <w:pPr>
              <w:keepNext/>
              <w:spacing w:line="276" w:lineRule="auto"/>
              <w:rPr>
                <w:rFonts w:ascii="Segoe UI" w:hAnsi="Segoe UI" w:cs="Segoe UI"/>
                <w:b/>
                <w:bCs/>
                <w:color w:val="000000"/>
                <w:sz w:val="22"/>
              </w:rPr>
            </w:pPr>
            <w:r w:rsidRPr="293D3C50">
              <w:rPr>
                <w:rFonts w:ascii="Segoe UI" w:hAnsi="Segoe UI" w:cs="Segoe UI"/>
                <w:b/>
                <w:bCs/>
                <w:color w:val="000000" w:themeColor="text1"/>
                <w:sz w:val="22"/>
              </w:rPr>
              <w:t>Alternative 2: Unit Cost Recovery—fee revenue</w:t>
            </w:r>
          </w:p>
        </w:tc>
        <w:tc>
          <w:tcPr>
            <w:tcW w:w="1061" w:type="dxa"/>
            <w:tcBorders>
              <w:top w:val="nil"/>
              <w:left w:val="single" w:sz="4" w:space="0" w:color="auto"/>
              <w:bottom w:val="single" w:sz="4" w:space="0" w:color="auto"/>
              <w:right w:val="single" w:sz="4" w:space="0" w:color="auto"/>
            </w:tcBorders>
            <w:shd w:val="clear" w:color="auto" w:fill="auto"/>
            <w:noWrap/>
            <w:vAlign w:val="center"/>
          </w:tcPr>
          <w:p w14:paraId="6388BEC4" w14:textId="6831BADF" w:rsidR="0061637C" w:rsidRPr="0061637C" w:rsidRDefault="0061637C" w:rsidP="0061637C">
            <w:pPr>
              <w:keepNext/>
              <w:spacing w:line="276" w:lineRule="auto"/>
              <w:jc w:val="right"/>
              <w:rPr>
                <w:rFonts w:ascii="Segoe UI" w:eastAsia="Times New Roman" w:hAnsi="Segoe UI" w:cs="Segoe UI"/>
                <w:color w:val="000000"/>
                <w:sz w:val="22"/>
                <w:highlight w:val="yellow"/>
              </w:rPr>
            </w:pPr>
            <w:r w:rsidRPr="0061637C">
              <w:rPr>
                <w:rFonts w:ascii="Segoe UI" w:hAnsi="Segoe UI" w:cs="Segoe UI"/>
                <w:sz w:val="22"/>
              </w:rPr>
              <w:t>$3,937</w:t>
            </w:r>
          </w:p>
        </w:tc>
        <w:tc>
          <w:tcPr>
            <w:tcW w:w="1061" w:type="dxa"/>
            <w:tcBorders>
              <w:top w:val="nil"/>
              <w:left w:val="nil"/>
              <w:bottom w:val="single" w:sz="4" w:space="0" w:color="auto"/>
              <w:right w:val="single" w:sz="4" w:space="0" w:color="auto"/>
            </w:tcBorders>
            <w:shd w:val="clear" w:color="auto" w:fill="auto"/>
            <w:noWrap/>
            <w:vAlign w:val="center"/>
          </w:tcPr>
          <w:p w14:paraId="100B602A" w14:textId="56DAFD10" w:rsidR="0061637C" w:rsidRPr="0061637C" w:rsidRDefault="0061637C" w:rsidP="0061637C">
            <w:pPr>
              <w:keepNext/>
              <w:spacing w:line="276" w:lineRule="auto"/>
              <w:jc w:val="right"/>
              <w:rPr>
                <w:rFonts w:ascii="Segoe UI" w:eastAsia="Times New Roman" w:hAnsi="Segoe UI" w:cs="Segoe UI"/>
                <w:color w:val="000000"/>
                <w:sz w:val="22"/>
                <w:highlight w:val="yellow"/>
              </w:rPr>
            </w:pPr>
            <w:r w:rsidRPr="0061637C">
              <w:rPr>
                <w:rFonts w:ascii="Segoe UI" w:hAnsi="Segoe UI" w:cs="Segoe UI"/>
                <w:sz w:val="22"/>
              </w:rPr>
              <w:t>$3,973</w:t>
            </w:r>
          </w:p>
        </w:tc>
        <w:tc>
          <w:tcPr>
            <w:tcW w:w="1061" w:type="dxa"/>
            <w:tcBorders>
              <w:top w:val="nil"/>
              <w:left w:val="nil"/>
              <w:bottom w:val="single" w:sz="4" w:space="0" w:color="auto"/>
              <w:right w:val="single" w:sz="4" w:space="0" w:color="auto"/>
            </w:tcBorders>
            <w:shd w:val="clear" w:color="auto" w:fill="auto"/>
            <w:noWrap/>
            <w:vAlign w:val="center"/>
          </w:tcPr>
          <w:p w14:paraId="1F74E182" w14:textId="2A2B38EA" w:rsidR="0061637C" w:rsidRPr="0061637C" w:rsidRDefault="0061637C" w:rsidP="0061637C">
            <w:pPr>
              <w:keepNext/>
              <w:spacing w:line="276" w:lineRule="auto"/>
              <w:jc w:val="right"/>
              <w:rPr>
                <w:rFonts w:ascii="Segoe UI" w:eastAsia="Times New Roman" w:hAnsi="Segoe UI" w:cs="Segoe UI"/>
                <w:color w:val="000000"/>
                <w:sz w:val="22"/>
                <w:highlight w:val="yellow"/>
              </w:rPr>
            </w:pPr>
            <w:r w:rsidRPr="0061637C">
              <w:rPr>
                <w:rFonts w:ascii="Segoe UI" w:hAnsi="Segoe UI" w:cs="Segoe UI"/>
                <w:sz w:val="22"/>
              </w:rPr>
              <w:t>$3,810</w:t>
            </w:r>
          </w:p>
        </w:tc>
        <w:tc>
          <w:tcPr>
            <w:tcW w:w="1061" w:type="dxa"/>
            <w:tcBorders>
              <w:top w:val="nil"/>
              <w:left w:val="nil"/>
              <w:bottom w:val="single" w:sz="4" w:space="0" w:color="auto"/>
              <w:right w:val="single" w:sz="4" w:space="0" w:color="auto"/>
            </w:tcBorders>
            <w:shd w:val="clear" w:color="auto" w:fill="auto"/>
            <w:noWrap/>
            <w:vAlign w:val="center"/>
          </w:tcPr>
          <w:p w14:paraId="61FBFF2F" w14:textId="57332446" w:rsidR="0061637C" w:rsidRPr="0061637C" w:rsidRDefault="0061637C" w:rsidP="0061637C">
            <w:pPr>
              <w:keepNext/>
              <w:spacing w:line="276" w:lineRule="auto"/>
              <w:jc w:val="right"/>
              <w:rPr>
                <w:rFonts w:ascii="Segoe UI" w:eastAsia="Times New Roman" w:hAnsi="Segoe UI" w:cs="Segoe UI"/>
                <w:color w:val="000000"/>
                <w:sz w:val="22"/>
                <w:highlight w:val="yellow"/>
              </w:rPr>
            </w:pPr>
            <w:r w:rsidRPr="0061637C">
              <w:rPr>
                <w:rFonts w:ascii="Segoe UI" w:hAnsi="Segoe UI" w:cs="Segoe UI"/>
                <w:sz w:val="22"/>
              </w:rPr>
              <w:t>$3,480</w:t>
            </w:r>
          </w:p>
        </w:tc>
        <w:tc>
          <w:tcPr>
            <w:tcW w:w="1061" w:type="dxa"/>
            <w:tcBorders>
              <w:top w:val="nil"/>
              <w:left w:val="nil"/>
              <w:bottom w:val="single" w:sz="4" w:space="0" w:color="auto"/>
              <w:right w:val="single" w:sz="4" w:space="0" w:color="auto"/>
            </w:tcBorders>
            <w:shd w:val="clear" w:color="auto" w:fill="auto"/>
            <w:noWrap/>
            <w:vAlign w:val="center"/>
          </w:tcPr>
          <w:p w14:paraId="1B798871" w14:textId="60038544" w:rsidR="0061637C" w:rsidRPr="0061637C" w:rsidRDefault="0061637C" w:rsidP="0061637C">
            <w:pPr>
              <w:keepNext/>
              <w:spacing w:line="276" w:lineRule="auto"/>
              <w:jc w:val="right"/>
              <w:rPr>
                <w:rFonts w:ascii="Segoe UI" w:eastAsia="Times New Roman" w:hAnsi="Segoe UI" w:cs="Segoe UI"/>
                <w:color w:val="000000"/>
                <w:sz w:val="22"/>
                <w:highlight w:val="yellow"/>
              </w:rPr>
            </w:pPr>
            <w:r w:rsidRPr="0061637C">
              <w:rPr>
                <w:rFonts w:ascii="Segoe UI" w:hAnsi="Segoe UI" w:cs="Segoe UI"/>
                <w:sz w:val="22"/>
              </w:rPr>
              <w:t>$3,138</w:t>
            </w:r>
          </w:p>
        </w:tc>
        <w:tc>
          <w:tcPr>
            <w:tcW w:w="1158" w:type="dxa"/>
            <w:tcBorders>
              <w:top w:val="nil"/>
              <w:left w:val="nil"/>
              <w:bottom w:val="single" w:sz="4" w:space="0" w:color="auto"/>
              <w:right w:val="single" w:sz="4" w:space="0" w:color="auto"/>
            </w:tcBorders>
            <w:shd w:val="clear" w:color="auto" w:fill="auto"/>
            <w:vAlign w:val="center"/>
          </w:tcPr>
          <w:p w14:paraId="1A17F5CB" w14:textId="021C7ADE" w:rsidR="0061637C" w:rsidRPr="0061637C" w:rsidRDefault="0061637C" w:rsidP="0061637C">
            <w:pPr>
              <w:keepNext/>
              <w:spacing w:line="276" w:lineRule="auto"/>
              <w:jc w:val="right"/>
              <w:rPr>
                <w:rFonts w:ascii="Segoe UI" w:hAnsi="Segoe UI" w:cs="Segoe UI"/>
                <w:sz w:val="22"/>
                <w:highlight w:val="yellow"/>
              </w:rPr>
            </w:pPr>
            <w:r w:rsidRPr="0061637C">
              <w:rPr>
                <w:rFonts w:ascii="Segoe UI" w:hAnsi="Segoe UI" w:cs="Segoe UI"/>
                <w:sz w:val="22"/>
              </w:rPr>
              <w:t>$18,337</w:t>
            </w:r>
          </w:p>
        </w:tc>
      </w:tr>
      <w:tr w:rsidR="0061637C" w:rsidRPr="00CF6436" w14:paraId="08D696DC" w14:textId="243D2A1D" w:rsidTr="0061637C">
        <w:trPr>
          <w:trHeight w:val="619"/>
          <w:jc w:val="center"/>
        </w:trPr>
        <w:tc>
          <w:tcPr>
            <w:tcW w:w="3358" w:type="dxa"/>
            <w:tcBorders>
              <w:top w:val="nil"/>
              <w:left w:val="single" w:sz="4" w:space="0" w:color="auto"/>
              <w:bottom w:val="single" w:sz="4" w:space="0" w:color="auto"/>
              <w:right w:val="single" w:sz="4" w:space="0" w:color="auto"/>
            </w:tcBorders>
            <w:shd w:val="clear" w:color="auto" w:fill="D9D9D6"/>
            <w:vAlign w:val="center"/>
            <w:hideMark/>
          </w:tcPr>
          <w:p w14:paraId="66AFE496" w14:textId="54A5C0B0" w:rsidR="0061637C" w:rsidRPr="00B05B6C" w:rsidRDefault="0061637C" w:rsidP="0061637C">
            <w:pPr>
              <w:keepNext/>
              <w:spacing w:line="276" w:lineRule="auto"/>
              <w:jc w:val="right"/>
              <w:rPr>
                <w:rFonts w:ascii="Segoe UI" w:hAnsi="Segoe UI" w:cs="Segoe UI"/>
                <w:b/>
                <w:bCs/>
                <w:i/>
                <w:iCs/>
                <w:color w:val="000000"/>
                <w:sz w:val="22"/>
              </w:rPr>
            </w:pPr>
            <w:r w:rsidRPr="00F65FC8">
              <w:rPr>
                <w:rFonts w:ascii="Segoe UI" w:hAnsi="Segoe UI" w:cs="Segoe UI"/>
                <w:i/>
                <w:iCs/>
                <w:color w:val="000000" w:themeColor="text1"/>
                <w:sz w:val="22"/>
              </w:rPr>
              <w:t xml:space="preserve">Transfer </w:t>
            </w:r>
            <w:r w:rsidRPr="3E055338">
              <w:rPr>
                <w:rFonts w:ascii="Segoe UI" w:hAnsi="Segoe UI" w:cs="Segoe UI"/>
                <w:i/>
                <w:iCs/>
                <w:color w:val="000000" w:themeColor="text1"/>
                <w:sz w:val="22"/>
              </w:rPr>
              <w:t>a</w:t>
            </w:r>
            <w:r w:rsidRPr="00F65FC8">
              <w:rPr>
                <w:rFonts w:ascii="Segoe UI" w:hAnsi="Segoe UI" w:cs="Segoe UI"/>
                <w:i/>
                <w:iCs/>
                <w:color w:val="000000" w:themeColor="text1"/>
                <w:sz w:val="22"/>
              </w:rPr>
              <w:t>mount from Baseline for Alternative 2</w:t>
            </w:r>
          </w:p>
        </w:tc>
        <w:tc>
          <w:tcPr>
            <w:tcW w:w="1061" w:type="dxa"/>
            <w:tcBorders>
              <w:top w:val="nil"/>
              <w:left w:val="single" w:sz="4" w:space="0" w:color="auto"/>
              <w:bottom w:val="single" w:sz="4" w:space="0" w:color="auto"/>
              <w:right w:val="single" w:sz="4" w:space="0" w:color="auto"/>
            </w:tcBorders>
            <w:shd w:val="clear" w:color="auto" w:fill="D9D9D6"/>
            <w:noWrap/>
            <w:vAlign w:val="center"/>
          </w:tcPr>
          <w:p w14:paraId="04E14E53" w14:textId="19A23F1D" w:rsidR="0061637C" w:rsidRPr="0061637C" w:rsidRDefault="0061637C" w:rsidP="0061637C">
            <w:pPr>
              <w:keepNext/>
              <w:spacing w:line="276" w:lineRule="auto"/>
              <w:jc w:val="right"/>
              <w:rPr>
                <w:rFonts w:ascii="Segoe UI" w:eastAsia="Times New Roman" w:hAnsi="Segoe UI" w:cs="Segoe UI"/>
                <w:i/>
                <w:iCs/>
                <w:sz w:val="22"/>
                <w:highlight w:val="yellow"/>
              </w:rPr>
            </w:pPr>
            <w:r w:rsidRPr="0061637C">
              <w:rPr>
                <w:rFonts w:ascii="Segoe UI" w:hAnsi="Segoe UI" w:cs="Segoe UI"/>
                <w:sz w:val="22"/>
              </w:rPr>
              <w:t>$347</w:t>
            </w:r>
          </w:p>
        </w:tc>
        <w:tc>
          <w:tcPr>
            <w:tcW w:w="1061" w:type="dxa"/>
            <w:tcBorders>
              <w:top w:val="nil"/>
              <w:left w:val="nil"/>
              <w:bottom w:val="single" w:sz="4" w:space="0" w:color="auto"/>
              <w:right w:val="single" w:sz="4" w:space="0" w:color="auto"/>
            </w:tcBorders>
            <w:shd w:val="clear" w:color="auto" w:fill="D9D9D6"/>
            <w:noWrap/>
            <w:vAlign w:val="center"/>
          </w:tcPr>
          <w:p w14:paraId="528674FB" w14:textId="005BF250" w:rsidR="0061637C" w:rsidRPr="0061637C" w:rsidRDefault="0061637C" w:rsidP="0061637C">
            <w:pPr>
              <w:keepNext/>
              <w:spacing w:line="276" w:lineRule="auto"/>
              <w:jc w:val="right"/>
              <w:rPr>
                <w:rFonts w:ascii="Segoe UI" w:eastAsia="Times New Roman" w:hAnsi="Segoe UI" w:cs="Segoe UI"/>
                <w:i/>
                <w:iCs/>
                <w:sz w:val="22"/>
                <w:highlight w:val="yellow"/>
              </w:rPr>
            </w:pPr>
            <w:r w:rsidRPr="0061637C">
              <w:rPr>
                <w:rFonts w:ascii="Segoe UI" w:hAnsi="Segoe UI" w:cs="Segoe UI"/>
                <w:sz w:val="22"/>
              </w:rPr>
              <w:t>$409</w:t>
            </w:r>
          </w:p>
        </w:tc>
        <w:tc>
          <w:tcPr>
            <w:tcW w:w="1061" w:type="dxa"/>
            <w:tcBorders>
              <w:top w:val="nil"/>
              <w:left w:val="nil"/>
              <w:bottom w:val="single" w:sz="4" w:space="0" w:color="auto"/>
              <w:right w:val="single" w:sz="4" w:space="0" w:color="auto"/>
            </w:tcBorders>
            <w:shd w:val="clear" w:color="auto" w:fill="D9D9D6"/>
            <w:noWrap/>
            <w:vAlign w:val="center"/>
          </w:tcPr>
          <w:p w14:paraId="0B42AF2F" w14:textId="626BA913" w:rsidR="0061637C" w:rsidRPr="0061637C" w:rsidRDefault="0061637C" w:rsidP="0061637C">
            <w:pPr>
              <w:keepNext/>
              <w:spacing w:line="276" w:lineRule="auto"/>
              <w:jc w:val="right"/>
              <w:rPr>
                <w:rFonts w:ascii="Segoe UI" w:eastAsia="Times New Roman" w:hAnsi="Segoe UI" w:cs="Segoe UI"/>
                <w:i/>
                <w:iCs/>
                <w:sz w:val="22"/>
                <w:highlight w:val="yellow"/>
              </w:rPr>
            </w:pPr>
            <w:r w:rsidRPr="0061637C">
              <w:rPr>
                <w:rFonts w:ascii="Segoe UI" w:hAnsi="Segoe UI" w:cs="Segoe UI"/>
                <w:sz w:val="22"/>
              </w:rPr>
              <w:t>$380</w:t>
            </w:r>
          </w:p>
        </w:tc>
        <w:tc>
          <w:tcPr>
            <w:tcW w:w="1061" w:type="dxa"/>
            <w:tcBorders>
              <w:top w:val="nil"/>
              <w:left w:val="nil"/>
              <w:bottom w:val="single" w:sz="4" w:space="0" w:color="auto"/>
              <w:right w:val="single" w:sz="4" w:space="0" w:color="auto"/>
            </w:tcBorders>
            <w:shd w:val="clear" w:color="auto" w:fill="D9D9D6"/>
            <w:noWrap/>
            <w:vAlign w:val="center"/>
          </w:tcPr>
          <w:p w14:paraId="18474411" w14:textId="574218B7" w:rsidR="0061637C" w:rsidRPr="0061637C" w:rsidRDefault="0061637C" w:rsidP="0061637C">
            <w:pPr>
              <w:keepNext/>
              <w:spacing w:line="276" w:lineRule="auto"/>
              <w:jc w:val="right"/>
              <w:rPr>
                <w:rFonts w:ascii="Segoe UI" w:eastAsia="Times New Roman" w:hAnsi="Segoe UI" w:cs="Segoe UI"/>
                <w:i/>
                <w:iCs/>
                <w:sz w:val="22"/>
                <w:highlight w:val="yellow"/>
              </w:rPr>
            </w:pPr>
            <w:r w:rsidRPr="0061637C">
              <w:rPr>
                <w:rFonts w:ascii="Segoe UI" w:hAnsi="Segoe UI" w:cs="Segoe UI"/>
                <w:sz w:val="22"/>
              </w:rPr>
              <w:t>$354</w:t>
            </w:r>
          </w:p>
        </w:tc>
        <w:tc>
          <w:tcPr>
            <w:tcW w:w="1061" w:type="dxa"/>
            <w:tcBorders>
              <w:top w:val="nil"/>
              <w:left w:val="nil"/>
              <w:bottom w:val="single" w:sz="4" w:space="0" w:color="auto"/>
              <w:right w:val="single" w:sz="4" w:space="0" w:color="auto"/>
            </w:tcBorders>
            <w:shd w:val="clear" w:color="auto" w:fill="D9D9D6"/>
            <w:noWrap/>
            <w:vAlign w:val="center"/>
          </w:tcPr>
          <w:p w14:paraId="010AF72D" w14:textId="1DBB1267" w:rsidR="0061637C" w:rsidRPr="0061637C" w:rsidRDefault="0061637C" w:rsidP="0061637C">
            <w:pPr>
              <w:keepNext/>
              <w:spacing w:line="276" w:lineRule="auto"/>
              <w:jc w:val="right"/>
              <w:rPr>
                <w:rFonts w:ascii="Segoe UI" w:eastAsia="Times New Roman" w:hAnsi="Segoe UI" w:cs="Segoe UI"/>
                <w:i/>
                <w:iCs/>
                <w:sz w:val="22"/>
                <w:highlight w:val="yellow"/>
              </w:rPr>
            </w:pPr>
            <w:r w:rsidRPr="0061637C">
              <w:rPr>
                <w:rFonts w:ascii="Segoe UI" w:hAnsi="Segoe UI" w:cs="Segoe UI"/>
                <w:sz w:val="22"/>
              </w:rPr>
              <w:t>$324</w:t>
            </w:r>
          </w:p>
        </w:tc>
        <w:tc>
          <w:tcPr>
            <w:tcW w:w="1158" w:type="dxa"/>
            <w:tcBorders>
              <w:top w:val="nil"/>
              <w:left w:val="nil"/>
              <w:bottom w:val="single" w:sz="4" w:space="0" w:color="auto"/>
              <w:right w:val="single" w:sz="4" w:space="0" w:color="auto"/>
            </w:tcBorders>
            <w:shd w:val="clear" w:color="auto" w:fill="D9D9D6"/>
            <w:vAlign w:val="center"/>
          </w:tcPr>
          <w:p w14:paraId="59856B4E" w14:textId="2CBDBECE" w:rsidR="0061637C" w:rsidRPr="0061637C" w:rsidRDefault="0061637C" w:rsidP="0061637C">
            <w:pPr>
              <w:keepNext/>
              <w:spacing w:line="276" w:lineRule="auto"/>
              <w:jc w:val="right"/>
              <w:rPr>
                <w:rFonts w:ascii="Segoe UI" w:hAnsi="Segoe UI" w:cs="Segoe UI"/>
                <w:sz w:val="22"/>
                <w:highlight w:val="yellow"/>
              </w:rPr>
            </w:pPr>
            <w:r w:rsidRPr="0061637C">
              <w:rPr>
                <w:rFonts w:ascii="Segoe UI" w:hAnsi="Segoe UI" w:cs="Segoe UI"/>
                <w:sz w:val="22"/>
              </w:rPr>
              <w:t>$1,813</w:t>
            </w:r>
          </w:p>
        </w:tc>
      </w:tr>
      <w:tr w:rsidR="00EE1CC2" w:rsidRPr="00CF6436" w14:paraId="6E3E1E37" w14:textId="6E728831" w:rsidTr="17CECF10">
        <w:trPr>
          <w:trHeight w:val="928"/>
          <w:jc w:val="center"/>
        </w:trPr>
        <w:tc>
          <w:tcPr>
            <w:tcW w:w="3358" w:type="dxa"/>
            <w:tcBorders>
              <w:top w:val="nil"/>
              <w:left w:val="single" w:sz="4" w:space="0" w:color="auto"/>
              <w:bottom w:val="single" w:sz="4" w:space="0" w:color="auto"/>
              <w:right w:val="single" w:sz="4" w:space="0" w:color="auto"/>
            </w:tcBorders>
            <w:shd w:val="clear" w:color="auto" w:fill="auto"/>
            <w:vAlign w:val="center"/>
            <w:hideMark/>
          </w:tcPr>
          <w:p w14:paraId="2B663AE5" w14:textId="22EFAC3E" w:rsidR="00EE1CC2" w:rsidRPr="00B05B6C" w:rsidRDefault="00EE1CC2" w:rsidP="00EE1CC2">
            <w:pPr>
              <w:keepNext/>
              <w:spacing w:line="276" w:lineRule="auto"/>
              <w:rPr>
                <w:rFonts w:ascii="Segoe UI" w:hAnsi="Segoe UI" w:cs="Segoe UI"/>
                <w:b/>
                <w:bCs/>
                <w:color w:val="000000"/>
                <w:sz w:val="22"/>
              </w:rPr>
            </w:pPr>
            <w:r w:rsidRPr="293D3C50">
              <w:rPr>
                <w:rFonts w:ascii="Segoe UI" w:hAnsi="Segoe UI" w:cs="Segoe UI"/>
                <w:b/>
                <w:bCs/>
                <w:color w:val="000000" w:themeColor="text1"/>
                <w:sz w:val="22"/>
              </w:rPr>
              <w:t>Alternative 3: Across-the-Board Adjustment—fee revenue</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E3188" w14:textId="7CB90F8F" w:rsidR="00EE1CC2" w:rsidRPr="00B05B6C" w:rsidRDefault="00EE1CC2" w:rsidP="00EE1CC2">
            <w:pPr>
              <w:keepNext/>
              <w:spacing w:line="276" w:lineRule="auto"/>
              <w:jc w:val="right"/>
              <w:rPr>
                <w:rFonts w:ascii="Segoe UI" w:eastAsia="Times New Roman" w:hAnsi="Segoe UI" w:cs="Segoe UI"/>
                <w:color w:val="000000"/>
                <w:sz w:val="22"/>
                <w:highlight w:val="yellow"/>
              </w:rPr>
            </w:pPr>
            <w:r w:rsidRPr="007D075A">
              <w:rPr>
                <w:rFonts w:ascii="Segoe UI" w:hAnsi="Segoe UI" w:cs="Segoe UI"/>
                <w:sz w:val="22"/>
              </w:rPr>
              <w:t>$3,847</w:t>
            </w:r>
          </w:p>
        </w:tc>
        <w:tc>
          <w:tcPr>
            <w:tcW w:w="1061" w:type="dxa"/>
            <w:tcBorders>
              <w:top w:val="single" w:sz="4" w:space="0" w:color="auto"/>
              <w:left w:val="nil"/>
              <w:bottom w:val="single" w:sz="4" w:space="0" w:color="auto"/>
              <w:right w:val="single" w:sz="4" w:space="0" w:color="auto"/>
            </w:tcBorders>
            <w:shd w:val="clear" w:color="auto" w:fill="auto"/>
            <w:noWrap/>
            <w:vAlign w:val="center"/>
          </w:tcPr>
          <w:p w14:paraId="4BEEF16E" w14:textId="6296D65C" w:rsidR="00EE1CC2" w:rsidRPr="00B05B6C" w:rsidRDefault="00EE1CC2" w:rsidP="00EE1CC2">
            <w:pPr>
              <w:keepNext/>
              <w:spacing w:line="276" w:lineRule="auto"/>
              <w:jc w:val="right"/>
              <w:rPr>
                <w:rFonts w:ascii="Segoe UI" w:eastAsia="Times New Roman" w:hAnsi="Segoe UI" w:cs="Segoe UI"/>
                <w:color w:val="000000"/>
                <w:sz w:val="22"/>
                <w:highlight w:val="yellow"/>
              </w:rPr>
            </w:pPr>
            <w:r w:rsidRPr="007D075A">
              <w:rPr>
                <w:rFonts w:ascii="Segoe UI" w:hAnsi="Segoe UI" w:cs="Segoe UI"/>
                <w:sz w:val="22"/>
              </w:rPr>
              <w:t>$3,961</w:t>
            </w:r>
          </w:p>
        </w:tc>
        <w:tc>
          <w:tcPr>
            <w:tcW w:w="1061" w:type="dxa"/>
            <w:tcBorders>
              <w:top w:val="single" w:sz="4" w:space="0" w:color="auto"/>
              <w:left w:val="nil"/>
              <w:bottom w:val="single" w:sz="4" w:space="0" w:color="auto"/>
              <w:right w:val="single" w:sz="4" w:space="0" w:color="auto"/>
            </w:tcBorders>
            <w:shd w:val="clear" w:color="auto" w:fill="auto"/>
            <w:noWrap/>
            <w:vAlign w:val="center"/>
          </w:tcPr>
          <w:p w14:paraId="28B0E1F1" w14:textId="4FAA7989" w:rsidR="00EE1CC2" w:rsidRPr="00B05B6C" w:rsidRDefault="00EE1CC2" w:rsidP="00EE1CC2">
            <w:pPr>
              <w:keepNext/>
              <w:spacing w:line="276" w:lineRule="auto"/>
              <w:jc w:val="right"/>
              <w:rPr>
                <w:rFonts w:ascii="Segoe UI" w:eastAsia="Times New Roman" w:hAnsi="Segoe UI" w:cs="Segoe UI"/>
                <w:color w:val="000000"/>
                <w:sz w:val="22"/>
                <w:highlight w:val="yellow"/>
              </w:rPr>
            </w:pPr>
            <w:r w:rsidRPr="007D075A">
              <w:rPr>
                <w:rFonts w:ascii="Segoe UI" w:hAnsi="Segoe UI" w:cs="Segoe UI"/>
                <w:sz w:val="22"/>
              </w:rPr>
              <w:t>$3,813</w:t>
            </w:r>
          </w:p>
        </w:tc>
        <w:tc>
          <w:tcPr>
            <w:tcW w:w="1061" w:type="dxa"/>
            <w:tcBorders>
              <w:top w:val="single" w:sz="4" w:space="0" w:color="auto"/>
              <w:left w:val="nil"/>
              <w:bottom w:val="single" w:sz="4" w:space="0" w:color="auto"/>
              <w:right w:val="single" w:sz="4" w:space="0" w:color="auto"/>
            </w:tcBorders>
            <w:shd w:val="clear" w:color="auto" w:fill="auto"/>
            <w:noWrap/>
            <w:vAlign w:val="center"/>
          </w:tcPr>
          <w:p w14:paraId="24D89599" w14:textId="5A056F1C" w:rsidR="00EE1CC2" w:rsidRPr="00B05B6C" w:rsidRDefault="00EE1CC2" w:rsidP="00EE1CC2">
            <w:pPr>
              <w:keepNext/>
              <w:spacing w:line="276" w:lineRule="auto"/>
              <w:jc w:val="right"/>
              <w:rPr>
                <w:rFonts w:ascii="Segoe UI" w:eastAsia="Times New Roman" w:hAnsi="Segoe UI" w:cs="Segoe UI"/>
                <w:color w:val="000000"/>
                <w:sz w:val="22"/>
                <w:highlight w:val="yellow"/>
              </w:rPr>
            </w:pPr>
            <w:r w:rsidRPr="007D075A">
              <w:rPr>
                <w:rFonts w:ascii="Segoe UI" w:hAnsi="Segoe UI" w:cs="Segoe UI"/>
                <w:sz w:val="22"/>
              </w:rPr>
              <w:t>$3,474</w:t>
            </w:r>
          </w:p>
        </w:tc>
        <w:tc>
          <w:tcPr>
            <w:tcW w:w="1061" w:type="dxa"/>
            <w:tcBorders>
              <w:top w:val="single" w:sz="4" w:space="0" w:color="auto"/>
              <w:left w:val="nil"/>
              <w:bottom w:val="single" w:sz="4" w:space="0" w:color="auto"/>
              <w:right w:val="single" w:sz="4" w:space="0" w:color="auto"/>
            </w:tcBorders>
            <w:shd w:val="clear" w:color="auto" w:fill="auto"/>
            <w:noWrap/>
            <w:vAlign w:val="center"/>
          </w:tcPr>
          <w:p w14:paraId="23EFC728" w14:textId="1D84660E" w:rsidR="00EE1CC2" w:rsidRPr="00B05B6C" w:rsidRDefault="00EE1CC2" w:rsidP="00EE1CC2">
            <w:pPr>
              <w:keepNext/>
              <w:spacing w:line="276" w:lineRule="auto"/>
              <w:jc w:val="right"/>
              <w:rPr>
                <w:rFonts w:ascii="Segoe UI" w:eastAsia="Times New Roman" w:hAnsi="Segoe UI" w:cs="Segoe UI"/>
                <w:color w:val="000000"/>
                <w:sz w:val="22"/>
                <w:highlight w:val="yellow"/>
              </w:rPr>
            </w:pPr>
            <w:r w:rsidRPr="007D075A">
              <w:rPr>
                <w:rFonts w:ascii="Segoe UI" w:hAnsi="Segoe UI" w:cs="Segoe UI"/>
                <w:sz w:val="22"/>
              </w:rPr>
              <w:t>$3,128</w:t>
            </w:r>
          </w:p>
        </w:tc>
        <w:tc>
          <w:tcPr>
            <w:tcW w:w="1158" w:type="dxa"/>
            <w:tcBorders>
              <w:top w:val="single" w:sz="4" w:space="0" w:color="auto"/>
              <w:left w:val="nil"/>
              <w:bottom w:val="single" w:sz="4" w:space="0" w:color="auto"/>
              <w:right w:val="single" w:sz="4" w:space="0" w:color="auto"/>
            </w:tcBorders>
            <w:shd w:val="clear" w:color="auto" w:fill="auto"/>
            <w:vAlign w:val="center"/>
          </w:tcPr>
          <w:p w14:paraId="3ADFBF7B" w14:textId="7B4BFB9A" w:rsidR="00EE1CC2" w:rsidRPr="00B05B6C" w:rsidRDefault="00EE1CC2" w:rsidP="00EE1CC2">
            <w:pPr>
              <w:keepNext/>
              <w:spacing w:line="276" w:lineRule="auto"/>
              <w:jc w:val="right"/>
              <w:rPr>
                <w:rFonts w:ascii="Segoe UI" w:hAnsi="Segoe UI" w:cs="Segoe UI"/>
                <w:sz w:val="22"/>
                <w:highlight w:val="yellow"/>
              </w:rPr>
            </w:pPr>
            <w:r w:rsidRPr="007D075A">
              <w:rPr>
                <w:rFonts w:ascii="Segoe UI" w:hAnsi="Segoe UI" w:cs="Segoe UI"/>
                <w:sz w:val="22"/>
              </w:rPr>
              <w:t>$18,223</w:t>
            </w:r>
          </w:p>
        </w:tc>
      </w:tr>
      <w:tr w:rsidR="00EE1CC2" w:rsidRPr="00CF6436" w14:paraId="0AB9C469" w14:textId="34C198F1" w:rsidTr="17CECF10">
        <w:trPr>
          <w:trHeight w:val="619"/>
          <w:jc w:val="center"/>
        </w:trPr>
        <w:tc>
          <w:tcPr>
            <w:tcW w:w="3358" w:type="dxa"/>
            <w:tcBorders>
              <w:top w:val="single" w:sz="4" w:space="0" w:color="auto"/>
              <w:left w:val="single" w:sz="4" w:space="0" w:color="auto"/>
              <w:bottom w:val="single" w:sz="4" w:space="0" w:color="auto"/>
              <w:right w:val="single" w:sz="4" w:space="0" w:color="auto"/>
            </w:tcBorders>
            <w:shd w:val="clear" w:color="auto" w:fill="D9D9D6"/>
            <w:vAlign w:val="center"/>
            <w:hideMark/>
          </w:tcPr>
          <w:p w14:paraId="601A0BAE" w14:textId="6003561E" w:rsidR="00EE1CC2" w:rsidRPr="00B05B6C" w:rsidRDefault="00EE1CC2" w:rsidP="00EE1CC2">
            <w:pPr>
              <w:keepNext/>
              <w:spacing w:line="276" w:lineRule="auto"/>
              <w:jc w:val="right"/>
              <w:rPr>
                <w:rFonts w:ascii="Segoe UI" w:hAnsi="Segoe UI" w:cs="Segoe UI"/>
                <w:b/>
                <w:bCs/>
                <w:i/>
                <w:iCs/>
                <w:color w:val="000000"/>
                <w:sz w:val="22"/>
              </w:rPr>
            </w:pPr>
            <w:r w:rsidRPr="00F65FC8">
              <w:rPr>
                <w:rFonts w:ascii="Segoe UI" w:hAnsi="Segoe UI" w:cs="Segoe UI"/>
                <w:i/>
                <w:iCs/>
                <w:color w:val="000000" w:themeColor="text1"/>
                <w:sz w:val="22"/>
              </w:rPr>
              <w:t xml:space="preserve">Transfer </w:t>
            </w:r>
            <w:r w:rsidRPr="3E055338">
              <w:rPr>
                <w:rFonts w:ascii="Segoe UI" w:hAnsi="Segoe UI" w:cs="Segoe UI"/>
                <w:i/>
                <w:iCs/>
                <w:color w:val="000000" w:themeColor="text1"/>
                <w:sz w:val="22"/>
              </w:rPr>
              <w:t>a</w:t>
            </w:r>
            <w:r w:rsidRPr="00F65FC8">
              <w:rPr>
                <w:rFonts w:ascii="Segoe UI" w:hAnsi="Segoe UI" w:cs="Segoe UI"/>
                <w:i/>
                <w:iCs/>
                <w:color w:val="000000" w:themeColor="text1"/>
                <w:sz w:val="22"/>
              </w:rPr>
              <w:t>mount from Baseline for Alternative 3</w:t>
            </w:r>
          </w:p>
        </w:tc>
        <w:tc>
          <w:tcPr>
            <w:tcW w:w="1061" w:type="dxa"/>
            <w:tcBorders>
              <w:top w:val="nil"/>
              <w:left w:val="single" w:sz="4" w:space="0" w:color="auto"/>
              <w:bottom w:val="single" w:sz="4" w:space="0" w:color="auto"/>
              <w:right w:val="single" w:sz="4" w:space="0" w:color="auto"/>
            </w:tcBorders>
            <w:shd w:val="clear" w:color="auto" w:fill="D9D9D6"/>
            <w:noWrap/>
            <w:vAlign w:val="center"/>
          </w:tcPr>
          <w:p w14:paraId="623EFB09" w14:textId="2D003EF4" w:rsidR="00EE1CC2" w:rsidRPr="00B05B6C" w:rsidRDefault="00EE1CC2" w:rsidP="00EE1CC2">
            <w:pPr>
              <w:keepNext/>
              <w:spacing w:line="276" w:lineRule="auto"/>
              <w:jc w:val="right"/>
              <w:rPr>
                <w:rFonts w:ascii="Segoe UI" w:eastAsia="Times New Roman" w:hAnsi="Segoe UI" w:cs="Segoe UI"/>
                <w:i/>
                <w:iCs/>
                <w:color w:val="000000"/>
                <w:sz w:val="22"/>
                <w:highlight w:val="yellow"/>
              </w:rPr>
            </w:pPr>
            <w:r w:rsidRPr="007D075A">
              <w:rPr>
                <w:rFonts w:ascii="Segoe UI" w:hAnsi="Segoe UI" w:cs="Segoe UI"/>
                <w:sz w:val="22"/>
              </w:rPr>
              <w:t>$257</w:t>
            </w:r>
          </w:p>
        </w:tc>
        <w:tc>
          <w:tcPr>
            <w:tcW w:w="1061" w:type="dxa"/>
            <w:tcBorders>
              <w:top w:val="nil"/>
              <w:left w:val="nil"/>
              <w:bottom w:val="single" w:sz="4" w:space="0" w:color="auto"/>
              <w:right w:val="single" w:sz="4" w:space="0" w:color="auto"/>
            </w:tcBorders>
            <w:shd w:val="clear" w:color="auto" w:fill="D9D9D6"/>
            <w:noWrap/>
            <w:vAlign w:val="center"/>
          </w:tcPr>
          <w:p w14:paraId="25316688" w14:textId="7D7BE1CA" w:rsidR="00EE1CC2" w:rsidRPr="00B05B6C" w:rsidRDefault="00EE1CC2" w:rsidP="00EE1CC2">
            <w:pPr>
              <w:keepNext/>
              <w:spacing w:line="276" w:lineRule="auto"/>
              <w:jc w:val="right"/>
              <w:rPr>
                <w:rFonts w:ascii="Segoe UI" w:eastAsia="Times New Roman" w:hAnsi="Segoe UI" w:cs="Segoe UI"/>
                <w:i/>
                <w:iCs/>
                <w:color w:val="000000"/>
                <w:sz w:val="22"/>
                <w:highlight w:val="yellow"/>
              </w:rPr>
            </w:pPr>
            <w:r w:rsidRPr="007D075A">
              <w:rPr>
                <w:rFonts w:ascii="Segoe UI" w:hAnsi="Segoe UI" w:cs="Segoe UI"/>
                <w:sz w:val="22"/>
              </w:rPr>
              <w:t>$397</w:t>
            </w:r>
          </w:p>
        </w:tc>
        <w:tc>
          <w:tcPr>
            <w:tcW w:w="1061" w:type="dxa"/>
            <w:tcBorders>
              <w:top w:val="nil"/>
              <w:left w:val="nil"/>
              <w:bottom w:val="single" w:sz="4" w:space="0" w:color="auto"/>
              <w:right w:val="single" w:sz="4" w:space="0" w:color="auto"/>
            </w:tcBorders>
            <w:shd w:val="clear" w:color="auto" w:fill="D9D9D6"/>
            <w:noWrap/>
            <w:vAlign w:val="center"/>
          </w:tcPr>
          <w:p w14:paraId="73373636" w14:textId="149209B5" w:rsidR="00EE1CC2" w:rsidRPr="00B05B6C" w:rsidRDefault="00EE1CC2" w:rsidP="00EE1CC2">
            <w:pPr>
              <w:keepNext/>
              <w:spacing w:line="276" w:lineRule="auto"/>
              <w:jc w:val="right"/>
              <w:rPr>
                <w:rFonts w:ascii="Segoe UI" w:eastAsia="Times New Roman" w:hAnsi="Segoe UI" w:cs="Segoe UI"/>
                <w:i/>
                <w:iCs/>
                <w:color w:val="000000"/>
                <w:sz w:val="22"/>
                <w:highlight w:val="yellow"/>
              </w:rPr>
            </w:pPr>
            <w:r w:rsidRPr="007D075A">
              <w:rPr>
                <w:rFonts w:ascii="Segoe UI" w:hAnsi="Segoe UI" w:cs="Segoe UI"/>
                <w:sz w:val="22"/>
              </w:rPr>
              <w:t>$382</w:t>
            </w:r>
          </w:p>
        </w:tc>
        <w:tc>
          <w:tcPr>
            <w:tcW w:w="1061" w:type="dxa"/>
            <w:tcBorders>
              <w:top w:val="nil"/>
              <w:left w:val="nil"/>
              <w:bottom w:val="single" w:sz="4" w:space="0" w:color="auto"/>
              <w:right w:val="single" w:sz="4" w:space="0" w:color="auto"/>
            </w:tcBorders>
            <w:shd w:val="clear" w:color="auto" w:fill="D9D9D6"/>
            <w:noWrap/>
            <w:vAlign w:val="center"/>
          </w:tcPr>
          <w:p w14:paraId="2827A869" w14:textId="418B1A07" w:rsidR="00EE1CC2" w:rsidRPr="00B05B6C" w:rsidRDefault="00EE1CC2" w:rsidP="00EE1CC2">
            <w:pPr>
              <w:keepNext/>
              <w:spacing w:line="276" w:lineRule="auto"/>
              <w:jc w:val="right"/>
              <w:rPr>
                <w:rFonts w:ascii="Segoe UI" w:eastAsia="Times New Roman" w:hAnsi="Segoe UI" w:cs="Segoe UI"/>
                <w:i/>
                <w:iCs/>
                <w:color w:val="000000"/>
                <w:sz w:val="22"/>
                <w:highlight w:val="yellow"/>
              </w:rPr>
            </w:pPr>
            <w:r w:rsidRPr="007D075A">
              <w:rPr>
                <w:rFonts w:ascii="Segoe UI" w:hAnsi="Segoe UI" w:cs="Segoe UI"/>
                <w:sz w:val="22"/>
              </w:rPr>
              <w:t>$348</w:t>
            </w:r>
          </w:p>
        </w:tc>
        <w:tc>
          <w:tcPr>
            <w:tcW w:w="1061" w:type="dxa"/>
            <w:tcBorders>
              <w:top w:val="nil"/>
              <w:left w:val="nil"/>
              <w:bottom w:val="single" w:sz="4" w:space="0" w:color="auto"/>
              <w:right w:val="single" w:sz="4" w:space="0" w:color="auto"/>
            </w:tcBorders>
            <w:shd w:val="clear" w:color="auto" w:fill="D9D9D6"/>
            <w:noWrap/>
            <w:vAlign w:val="center"/>
          </w:tcPr>
          <w:p w14:paraId="1474821D" w14:textId="10725E01" w:rsidR="00EE1CC2" w:rsidRPr="00B05B6C" w:rsidRDefault="00EE1CC2" w:rsidP="00EE1CC2">
            <w:pPr>
              <w:keepNext/>
              <w:spacing w:line="276" w:lineRule="auto"/>
              <w:jc w:val="right"/>
              <w:rPr>
                <w:rFonts w:ascii="Segoe UI" w:eastAsia="Times New Roman" w:hAnsi="Segoe UI" w:cs="Segoe UI"/>
                <w:i/>
                <w:iCs/>
                <w:color w:val="000000"/>
                <w:sz w:val="22"/>
                <w:highlight w:val="yellow"/>
              </w:rPr>
            </w:pPr>
            <w:r w:rsidRPr="007D075A">
              <w:rPr>
                <w:rFonts w:ascii="Segoe UI" w:hAnsi="Segoe UI" w:cs="Segoe UI"/>
                <w:sz w:val="22"/>
              </w:rPr>
              <w:t>$314</w:t>
            </w:r>
          </w:p>
        </w:tc>
        <w:tc>
          <w:tcPr>
            <w:tcW w:w="1158" w:type="dxa"/>
            <w:tcBorders>
              <w:top w:val="nil"/>
              <w:left w:val="nil"/>
              <w:bottom w:val="single" w:sz="4" w:space="0" w:color="auto"/>
              <w:right w:val="single" w:sz="4" w:space="0" w:color="auto"/>
            </w:tcBorders>
            <w:shd w:val="clear" w:color="auto" w:fill="D9D9D6"/>
            <w:vAlign w:val="center"/>
          </w:tcPr>
          <w:p w14:paraId="0215256E" w14:textId="0E8D0F94" w:rsidR="00EE1CC2" w:rsidRPr="00B05B6C" w:rsidRDefault="00EE1CC2" w:rsidP="00EE1CC2">
            <w:pPr>
              <w:keepNext/>
              <w:spacing w:line="276" w:lineRule="auto"/>
              <w:jc w:val="right"/>
              <w:rPr>
                <w:rFonts w:ascii="Segoe UI" w:hAnsi="Segoe UI" w:cs="Segoe UI"/>
                <w:sz w:val="22"/>
                <w:highlight w:val="yellow"/>
              </w:rPr>
            </w:pPr>
            <w:r w:rsidRPr="007D075A">
              <w:rPr>
                <w:rFonts w:ascii="Segoe UI" w:hAnsi="Segoe UI" w:cs="Segoe UI"/>
                <w:sz w:val="22"/>
              </w:rPr>
              <w:t>$1,699</w:t>
            </w:r>
          </w:p>
        </w:tc>
      </w:tr>
    </w:tbl>
    <w:p w14:paraId="13B0A619" w14:textId="77777777" w:rsidR="0053022C" w:rsidRPr="009008DD" w:rsidRDefault="0053022C" w:rsidP="17CECF10">
      <w:pPr>
        <w:spacing w:after="240" w:line="360" w:lineRule="auto"/>
        <w:jc w:val="center"/>
        <w:rPr>
          <w:rFonts w:ascii="Segoe UI" w:hAnsi="Segoe UI" w:cs="Segoe UI"/>
          <w:szCs w:val="24"/>
        </w:rPr>
      </w:pPr>
      <w:bookmarkStart w:id="109" w:name="_Ref326176247"/>
    </w:p>
    <w:p w14:paraId="7AE0B82A" w14:textId="547B256D" w:rsidR="00004698" w:rsidRPr="00A23345" w:rsidRDefault="00004698" w:rsidP="17CECF10">
      <w:pPr>
        <w:spacing w:after="200" w:line="360" w:lineRule="auto"/>
        <w:rPr>
          <w:rFonts w:ascii="Segoe UI" w:hAnsi="Segoe UI" w:cs="Segoe UI"/>
          <w:b/>
          <w:bCs/>
          <w:szCs w:val="24"/>
        </w:rPr>
      </w:pPr>
    </w:p>
    <w:p w14:paraId="7557FC8B" w14:textId="0599BD43" w:rsidR="00D80416" w:rsidRPr="00C01468" w:rsidRDefault="6295816B" w:rsidP="17CECF10">
      <w:pPr>
        <w:keepNext/>
        <w:spacing w:after="200" w:line="360" w:lineRule="auto"/>
        <w:jc w:val="center"/>
        <w:rPr>
          <w:rFonts w:ascii="Segoe UI" w:hAnsi="Segoe UI" w:cs="Segoe UI"/>
          <w:b/>
          <w:bCs/>
          <w:szCs w:val="24"/>
        </w:rPr>
      </w:pPr>
      <w:r w:rsidRPr="17CECF10">
        <w:rPr>
          <w:rFonts w:ascii="Segoe UI" w:hAnsi="Segoe UI" w:cs="Segoe UI"/>
          <w:b/>
          <w:bCs/>
          <w:szCs w:val="24"/>
        </w:rPr>
        <w:lastRenderedPageBreak/>
        <w:t xml:space="preserve">Table </w:t>
      </w:r>
      <w:r w:rsidR="297EF7E0" w:rsidRPr="17CECF10">
        <w:rPr>
          <w:rFonts w:ascii="Segoe UI" w:hAnsi="Segoe UI" w:cs="Segoe UI"/>
          <w:b/>
          <w:bCs/>
          <w:szCs w:val="24"/>
        </w:rPr>
        <w:t>3</w:t>
      </w:r>
      <w:r w:rsidR="2767EAF3" w:rsidRPr="17CECF10">
        <w:rPr>
          <w:rFonts w:ascii="Segoe UI" w:hAnsi="Segoe UI" w:cs="Segoe UI"/>
          <w:b/>
          <w:bCs/>
          <w:szCs w:val="24"/>
        </w:rPr>
        <w:t>-</w:t>
      </w:r>
      <w:bookmarkEnd w:id="109"/>
      <w:r w:rsidR="6A7351BC" w:rsidRPr="17CECF10">
        <w:rPr>
          <w:rFonts w:ascii="Segoe UI" w:hAnsi="Segoe UI" w:cs="Segoe UI"/>
          <w:b/>
          <w:bCs/>
          <w:szCs w:val="24"/>
        </w:rPr>
        <w:t>7</w:t>
      </w:r>
      <w:bookmarkStart w:id="110" w:name="_Ref326176252"/>
    </w:p>
    <w:tbl>
      <w:tblPr>
        <w:tblW w:w="9821" w:type="dxa"/>
        <w:jc w:val="center"/>
        <w:tblLook w:val="04A0" w:firstRow="1" w:lastRow="0" w:firstColumn="1" w:lastColumn="0" w:noHBand="0" w:noVBand="1"/>
      </w:tblPr>
      <w:tblGrid>
        <w:gridCol w:w="2655"/>
        <w:gridCol w:w="1010"/>
        <w:gridCol w:w="918"/>
        <w:gridCol w:w="918"/>
        <w:gridCol w:w="918"/>
        <w:gridCol w:w="918"/>
        <w:gridCol w:w="1016"/>
        <w:gridCol w:w="1468"/>
      </w:tblGrid>
      <w:tr w:rsidR="00D80416" w:rsidRPr="00CF6436" w14:paraId="16D9A70D" w14:textId="77777777" w:rsidTr="17CECF10">
        <w:trPr>
          <w:trHeight w:val="312"/>
          <w:tblHeader/>
          <w:jc w:val="center"/>
        </w:trPr>
        <w:tc>
          <w:tcPr>
            <w:tcW w:w="982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B805F6D" w14:textId="7A220F6F" w:rsidR="00D80416" w:rsidRPr="00F65FC8" w:rsidRDefault="7D24BDBA" w:rsidP="17CECF10">
            <w:pPr>
              <w:spacing w:line="276" w:lineRule="auto"/>
              <w:jc w:val="center"/>
              <w:rPr>
                <w:rFonts w:ascii="Segoe UI" w:eastAsia="Times New Roman" w:hAnsi="Segoe UI" w:cs="Segoe UI"/>
                <w:b/>
                <w:bCs/>
                <w:color w:val="000000"/>
                <w:szCs w:val="24"/>
              </w:rPr>
            </w:pPr>
            <w:r w:rsidRPr="17CECF10">
              <w:rPr>
                <w:rFonts w:ascii="Segoe UI" w:hAnsi="Segoe UI" w:cs="Segoe UI"/>
                <w:b/>
                <w:bCs/>
                <w:color w:val="000000" w:themeColor="text1"/>
                <w:sz w:val="22"/>
              </w:rPr>
              <w:t>Patent Fee Transfers (Aggregate Fee Revenue) by Alternative</w:t>
            </w:r>
            <w:r w:rsidR="1BB812CC" w:rsidRPr="17CECF10">
              <w:rPr>
                <w:rFonts w:ascii="Segoe UI" w:hAnsi="Segoe UI" w:cs="Segoe UI"/>
                <w:b/>
                <w:bCs/>
                <w:color w:val="000000" w:themeColor="text1"/>
                <w:sz w:val="22"/>
              </w:rPr>
              <w:t>—</w:t>
            </w:r>
            <w:r w:rsidRPr="17CECF10">
              <w:rPr>
                <w:rFonts w:ascii="Segoe UI" w:hAnsi="Segoe UI" w:cs="Segoe UI"/>
                <w:b/>
                <w:bCs/>
                <w:color w:val="000000" w:themeColor="text1"/>
                <w:sz w:val="22"/>
              </w:rPr>
              <w:t>3%</w:t>
            </w:r>
            <w:r w:rsidRPr="17CECF10">
              <w:rPr>
                <w:rFonts w:ascii="Segoe UI" w:hAnsi="Segoe UI" w:cs="Segoe UI"/>
                <w:b/>
                <w:bCs/>
                <w:i/>
                <w:iCs/>
                <w:color w:val="000000" w:themeColor="text1"/>
                <w:sz w:val="22"/>
              </w:rPr>
              <w:t xml:space="preserve"> Discount</w:t>
            </w:r>
            <w:r w:rsidR="650F43E3">
              <w:br/>
            </w:r>
            <w:r w:rsidR="1B373501" w:rsidRPr="17CECF10">
              <w:rPr>
                <w:rFonts w:ascii="Segoe UI" w:hAnsi="Segoe UI" w:cs="Segoe UI"/>
                <w:b/>
                <w:bCs/>
                <w:color w:val="000000" w:themeColor="text1"/>
                <w:sz w:val="22"/>
              </w:rPr>
              <w:t>(</w:t>
            </w:r>
            <w:r w:rsidR="1D47D887" w:rsidRPr="17CECF10">
              <w:rPr>
                <w:rFonts w:ascii="Segoe UI" w:hAnsi="Segoe UI" w:cs="Segoe UI"/>
                <w:b/>
                <w:bCs/>
                <w:color w:val="000000" w:themeColor="text1"/>
                <w:sz w:val="22"/>
              </w:rPr>
              <w:t>c</w:t>
            </w:r>
            <w:r w:rsidR="1B373501" w:rsidRPr="17CECF10">
              <w:rPr>
                <w:rFonts w:ascii="Segoe UI" w:hAnsi="Segoe UI" w:cs="Segoe UI"/>
                <w:b/>
                <w:bCs/>
                <w:color w:val="000000" w:themeColor="text1"/>
                <w:sz w:val="22"/>
              </w:rPr>
              <w:t>onstant FY 20</w:t>
            </w:r>
            <w:r w:rsidR="0C0CCED6" w:rsidRPr="17CECF10">
              <w:rPr>
                <w:rFonts w:ascii="Segoe UI" w:hAnsi="Segoe UI" w:cs="Segoe UI"/>
                <w:b/>
                <w:bCs/>
                <w:color w:val="000000" w:themeColor="text1"/>
                <w:sz w:val="22"/>
              </w:rPr>
              <w:t>2</w:t>
            </w:r>
            <w:r w:rsidR="2CA5E172" w:rsidRPr="17CECF10">
              <w:rPr>
                <w:rFonts w:ascii="Segoe UI" w:hAnsi="Segoe UI" w:cs="Segoe UI"/>
                <w:b/>
                <w:bCs/>
                <w:color w:val="000000" w:themeColor="text1"/>
                <w:sz w:val="22"/>
              </w:rPr>
              <w:t>4</w:t>
            </w:r>
            <w:r w:rsidR="1B373501" w:rsidRPr="17CECF10">
              <w:rPr>
                <w:rFonts w:ascii="Segoe UI" w:hAnsi="Segoe UI" w:cs="Segoe UI"/>
                <w:b/>
                <w:bCs/>
                <w:color w:val="000000" w:themeColor="text1"/>
                <w:sz w:val="22"/>
              </w:rPr>
              <w:t xml:space="preserve"> dollars in millions)</w:t>
            </w:r>
          </w:p>
        </w:tc>
      </w:tr>
      <w:tr w:rsidR="00D80416" w:rsidRPr="00CF6436" w14:paraId="43442D95" w14:textId="77777777" w:rsidTr="17CECF10">
        <w:trPr>
          <w:trHeight w:val="936"/>
          <w:tblHeader/>
          <w:jc w:val="center"/>
        </w:trPr>
        <w:tc>
          <w:tcPr>
            <w:tcW w:w="2655" w:type="dxa"/>
            <w:tcBorders>
              <w:top w:val="nil"/>
              <w:left w:val="single" w:sz="4" w:space="0" w:color="auto"/>
              <w:bottom w:val="single" w:sz="4" w:space="0" w:color="auto"/>
              <w:right w:val="single" w:sz="4" w:space="0" w:color="auto"/>
            </w:tcBorders>
            <w:shd w:val="clear" w:color="auto" w:fill="auto"/>
            <w:noWrap/>
            <w:vAlign w:val="center"/>
          </w:tcPr>
          <w:p w14:paraId="36EA5805" w14:textId="77777777" w:rsidR="00D80416" w:rsidRPr="00A23345" w:rsidRDefault="00D80416" w:rsidP="17CECF10">
            <w:pPr>
              <w:spacing w:line="276" w:lineRule="auto"/>
              <w:rPr>
                <w:rFonts w:ascii="Segoe UI" w:eastAsia="Times New Roman" w:hAnsi="Segoe UI" w:cs="Segoe UI"/>
                <w:color w:val="000000" w:themeColor="text1"/>
                <w:sz w:val="22"/>
              </w:rPr>
            </w:pPr>
          </w:p>
        </w:tc>
        <w:tc>
          <w:tcPr>
            <w:tcW w:w="1010" w:type="dxa"/>
            <w:tcBorders>
              <w:top w:val="nil"/>
              <w:left w:val="nil"/>
              <w:bottom w:val="single" w:sz="4" w:space="0" w:color="auto"/>
              <w:right w:val="single" w:sz="4" w:space="0" w:color="auto"/>
            </w:tcBorders>
            <w:shd w:val="clear" w:color="auto" w:fill="auto"/>
            <w:noWrap/>
            <w:vAlign w:val="center"/>
          </w:tcPr>
          <w:p w14:paraId="573F776E" w14:textId="140A5DEA" w:rsidR="00D80416" w:rsidRPr="00F65FC8" w:rsidRDefault="4A0D4E6B" w:rsidP="17CECF10">
            <w:pPr>
              <w:spacing w:line="276" w:lineRule="auto"/>
              <w:jc w:val="center"/>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FY 20</w:t>
            </w:r>
            <w:r w:rsidR="1022C51B" w:rsidRPr="17CECF10">
              <w:rPr>
                <w:rFonts w:ascii="Segoe UI" w:eastAsia="Times New Roman" w:hAnsi="Segoe UI" w:cs="Segoe UI"/>
                <w:b/>
                <w:bCs/>
                <w:color w:val="000000" w:themeColor="text1"/>
                <w:sz w:val="22"/>
              </w:rPr>
              <w:t>2</w:t>
            </w:r>
            <w:r w:rsidR="44192A3B" w:rsidRPr="17CECF10">
              <w:rPr>
                <w:rFonts w:ascii="Segoe UI" w:eastAsia="Times New Roman" w:hAnsi="Segoe UI" w:cs="Segoe UI"/>
                <w:b/>
                <w:bCs/>
                <w:color w:val="000000" w:themeColor="text1"/>
                <w:sz w:val="22"/>
              </w:rPr>
              <w:t>5</w:t>
            </w:r>
          </w:p>
        </w:tc>
        <w:tc>
          <w:tcPr>
            <w:tcW w:w="918" w:type="dxa"/>
            <w:tcBorders>
              <w:top w:val="nil"/>
              <w:left w:val="nil"/>
              <w:bottom w:val="single" w:sz="4" w:space="0" w:color="auto"/>
              <w:right w:val="single" w:sz="4" w:space="0" w:color="auto"/>
            </w:tcBorders>
            <w:shd w:val="clear" w:color="auto" w:fill="auto"/>
            <w:noWrap/>
            <w:vAlign w:val="center"/>
          </w:tcPr>
          <w:p w14:paraId="38D598F8" w14:textId="5A1E0B8B" w:rsidR="00D80416" w:rsidRPr="00F65FC8" w:rsidRDefault="4A0D4E6B" w:rsidP="17CECF10">
            <w:pPr>
              <w:spacing w:line="276" w:lineRule="auto"/>
              <w:jc w:val="center"/>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FY 20</w:t>
            </w:r>
            <w:r w:rsidR="1022C51B" w:rsidRPr="17CECF10">
              <w:rPr>
                <w:rFonts w:ascii="Segoe UI" w:eastAsia="Times New Roman" w:hAnsi="Segoe UI" w:cs="Segoe UI"/>
                <w:b/>
                <w:bCs/>
                <w:color w:val="000000" w:themeColor="text1"/>
                <w:sz w:val="22"/>
              </w:rPr>
              <w:t>2</w:t>
            </w:r>
            <w:r w:rsidR="44192A3B" w:rsidRPr="17CECF10">
              <w:rPr>
                <w:rFonts w:ascii="Segoe UI" w:eastAsia="Times New Roman" w:hAnsi="Segoe UI" w:cs="Segoe UI"/>
                <w:b/>
                <w:bCs/>
                <w:color w:val="000000" w:themeColor="text1"/>
                <w:sz w:val="22"/>
              </w:rPr>
              <w:t>6</w:t>
            </w:r>
          </w:p>
        </w:tc>
        <w:tc>
          <w:tcPr>
            <w:tcW w:w="918" w:type="dxa"/>
            <w:tcBorders>
              <w:top w:val="nil"/>
              <w:left w:val="nil"/>
              <w:bottom w:val="single" w:sz="4" w:space="0" w:color="auto"/>
              <w:right w:val="single" w:sz="4" w:space="0" w:color="auto"/>
            </w:tcBorders>
            <w:shd w:val="clear" w:color="auto" w:fill="auto"/>
            <w:noWrap/>
            <w:vAlign w:val="center"/>
          </w:tcPr>
          <w:p w14:paraId="755A2C0C" w14:textId="1C387E66" w:rsidR="00D80416" w:rsidRPr="00F65FC8" w:rsidRDefault="4A0D4E6B" w:rsidP="17CECF10">
            <w:pPr>
              <w:spacing w:line="276" w:lineRule="auto"/>
              <w:jc w:val="center"/>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FY 20</w:t>
            </w:r>
            <w:r w:rsidR="1022C51B" w:rsidRPr="17CECF10">
              <w:rPr>
                <w:rFonts w:ascii="Segoe UI" w:eastAsia="Times New Roman" w:hAnsi="Segoe UI" w:cs="Segoe UI"/>
                <w:b/>
                <w:bCs/>
                <w:color w:val="000000" w:themeColor="text1"/>
                <w:sz w:val="22"/>
              </w:rPr>
              <w:t>2</w:t>
            </w:r>
            <w:r w:rsidR="44192A3B" w:rsidRPr="17CECF10">
              <w:rPr>
                <w:rFonts w:ascii="Segoe UI" w:eastAsia="Times New Roman" w:hAnsi="Segoe UI" w:cs="Segoe UI"/>
                <w:b/>
                <w:bCs/>
                <w:color w:val="000000" w:themeColor="text1"/>
                <w:sz w:val="22"/>
              </w:rPr>
              <w:t>7</w:t>
            </w:r>
          </w:p>
        </w:tc>
        <w:tc>
          <w:tcPr>
            <w:tcW w:w="918" w:type="dxa"/>
            <w:tcBorders>
              <w:top w:val="nil"/>
              <w:left w:val="nil"/>
              <w:bottom w:val="single" w:sz="4" w:space="0" w:color="auto"/>
              <w:right w:val="single" w:sz="4" w:space="0" w:color="auto"/>
            </w:tcBorders>
            <w:shd w:val="clear" w:color="auto" w:fill="auto"/>
            <w:noWrap/>
            <w:vAlign w:val="center"/>
          </w:tcPr>
          <w:p w14:paraId="1F58ACEA" w14:textId="7BA4669C" w:rsidR="00D80416" w:rsidRPr="00F65FC8" w:rsidRDefault="4A0D4E6B" w:rsidP="17CECF10">
            <w:pPr>
              <w:spacing w:line="276" w:lineRule="auto"/>
              <w:jc w:val="center"/>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FY 202</w:t>
            </w:r>
            <w:r w:rsidR="44192A3B" w:rsidRPr="17CECF10">
              <w:rPr>
                <w:rFonts w:ascii="Segoe UI" w:eastAsia="Times New Roman" w:hAnsi="Segoe UI" w:cs="Segoe UI"/>
                <w:b/>
                <w:bCs/>
                <w:color w:val="000000" w:themeColor="text1"/>
                <w:sz w:val="22"/>
              </w:rPr>
              <w:t>8</w:t>
            </w:r>
          </w:p>
        </w:tc>
        <w:tc>
          <w:tcPr>
            <w:tcW w:w="918" w:type="dxa"/>
            <w:tcBorders>
              <w:top w:val="nil"/>
              <w:left w:val="nil"/>
              <w:bottom w:val="single" w:sz="4" w:space="0" w:color="auto"/>
              <w:right w:val="single" w:sz="4" w:space="0" w:color="auto"/>
            </w:tcBorders>
            <w:shd w:val="clear" w:color="auto" w:fill="auto"/>
            <w:noWrap/>
            <w:vAlign w:val="center"/>
          </w:tcPr>
          <w:p w14:paraId="27EE5DDB" w14:textId="68D3F278" w:rsidR="00D80416" w:rsidRPr="00F65FC8" w:rsidRDefault="4A0D4E6B" w:rsidP="17CECF10">
            <w:pPr>
              <w:spacing w:line="276" w:lineRule="auto"/>
              <w:jc w:val="center"/>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FY 202</w:t>
            </w:r>
            <w:r w:rsidR="44192A3B" w:rsidRPr="17CECF10">
              <w:rPr>
                <w:rFonts w:ascii="Segoe UI" w:eastAsia="Times New Roman" w:hAnsi="Segoe UI" w:cs="Segoe UI"/>
                <w:b/>
                <w:bCs/>
                <w:color w:val="000000" w:themeColor="text1"/>
                <w:sz w:val="22"/>
              </w:rPr>
              <w:t>9</w:t>
            </w:r>
          </w:p>
        </w:tc>
        <w:tc>
          <w:tcPr>
            <w:tcW w:w="1016" w:type="dxa"/>
            <w:tcBorders>
              <w:top w:val="nil"/>
              <w:left w:val="nil"/>
              <w:bottom w:val="single" w:sz="4" w:space="0" w:color="auto"/>
              <w:right w:val="single" w:sz="4" w:space="0" w:color="auto"/>
            </w:tcBorders>
            <w:shd w:val="clear" w:color="auto" w:fill="auto"/>
            <w:vAlign w:val="center"/>
          </w:tcPr>
          <w:p w14:paraId="7E937405" w14:textId="3D5E6F33" w:rsidR="00D80416" w:rsidRPr="00B05B6C" w:rsidRDefault="0BF12825" w:rsidP="17CECF10">
            <w:pPr>
              <w:spacing w:line="276" w:lineRule="auto"/>
              <w:jc w:val="center"/>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Total (</w:t>
            </w:r>
            <w:r w:rsidR="076F501C" w:rsidRPr="17CECF10">
              <w:rPr>
                <w:rFonts w:ascii="Segoe UI" w:eastAsia="Times New Roman" w:hAnsi="Segoe UI" w:cs="Segoe UI"/>
                <w:b/>
                <w:bCs/>
                <w:color w:val="000000" w:themeColor="text1"/>
                <w:sz w:val="22"/>
              </w:rPr>
              <w:t>n</w:t>
            </w:r>
            <w:r w:rsidRPr="17CECF10">
              <w:rPr>
                <w:rFonts w:ascii="Segoe UI" w:eastAsia="Times New Roman" w:hAnsi="Segoe UI" w:cs="Segoe UI"/>
                <w:b/>
                <w:bCs/>
                <w:color w:val="000000" w:themeColor="text1"/>
                <w:sz w:val="22"/>
              </w:rPr>
              <w:t xml:space="preserve">et </w:t>
            </w:r>
            <w:r w:rsidR="3325B285" w:rsidRPr="17CECF10">
              <w:rPr>
                <w:rFonts w:ascii="Segoe UI" w:eastAsia="Times New Roman" w:hAnsi="Segoe UI" w:cs="Segoe UI"/>
                <w:b/>
                <w:bCs/>
                <w:color w:val="000000" w:themeColor="text1"/>
                <w:sz w:val="22"/>
              </w:rPr>
              <w:t>p</w:t>
            </w:r>
            <w:r w:rsidRPr="17CECF10">
              <w:rPr>
                <w:rFonts w:ascii="Segoe UI" w:eastAsia="Times New Roman" w:hAnsi="Segoe UI" w:cs="Segoe UI"/>
                <w:b/>
                <w:bCs/>
                <w:color w:val="000000" w:themeColor="text1"/>
                <w:sz w:val="22"/>
              </w:rPr>
              <w:t xml:space="preserve">resent </w:t>
            </w:r>
            <w:r w:rsidR="6B816047" w:rsidRPr="17CECF10">
              <w:rPr>
                <w:rFonts w:ascii="Segoe UI" w:eastAsia="Times New Roman" w:hAnsi="Segoe UI" w:cs="Segoe UI"/>
                <w:b/>
                <w:bCs/>
                <w:color w:val="000000" w:themeColor="text1"/>
                <w:sz w:val="22"/>
              </w:rPr>
              <w:t>v</w:t>
            </w:r>
            <w:r w:rsidRPr="17CECF10">
              <w:rPr>
                <w:rFonts w:ascii="Segoe UI" w:eastAsia="Times New Roman" w:hAnsi="Segoe UI" w:cs="Segoe UI"/>
                <w:b/>
                <w:bCs/>
                <w:color w:val="000000" w:themeColor="text1"/>
                <w:sz w:val="22"/>
              </w:rPr>
              <w:t>alue)</w:t>
            </w:r>
          </w:p>
        </w:tc>
        <w:tc>
          <w:tcPr>
            <w:tcW w:w="1468" w:type="dxa"/>
            <w:tcBorders>
              <w:top w:val="nil"/>
              <w:left w:val="single" w:sz="4" w:space="0" w:color="auto"/>
              <w:bottom w:val="single" w:sz="4" w:space="0" w:color="auto"/>
              <w:right w:val="single" w:sz="4" w:space="0" w:color="auto"/>
            </w:tcBorders>
            <w:shd w:val="clear" w:color="auto" w:fill="auto"/>
            <w:vAlign w:val="center"/>
          </w:tcPr>
          <w:p w14:paraId="79D6DF5F" w14:textId="10785953" w:rsidR="00D80416" w:rsidRPr="00B05B6C" w:rsidRDefault="0BF12825" w:rsidP="17CECF10">
            <w:pPr>
              <w:spacing w:line="276" w:lineRule="auto"/>
              <w:jc w:val="center"/>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Annualized</w:t>
            </w:r>
            <w:r w:rsidR="00B3A38A" w:rsidRPr="17CECF10">
              <w:rPr>
                <w:rFonts w:ascii="Segoe UI" w:eastAsia="Times New Roman" w:hAnsi="Segoe UI" w:cs="Segoe UI"/>
                <w:b/>
                <w:bCs/>
                <w:color w:val="000000" w:themeColor="text1"/>
                <w:sz w:val="22"/>
              </w:rPr>
              <w:t xml:space="preserve"> </w:t>
            </w:r>
            <w:r w:rsidRPr="17CECF10">
              <w:rPr>
                <w:rFonts w:ascii="Segoe UI" w:eastAsia="Times New Roman" w:hAnsi="Segoe UI" w:cs="Segoe UI"/>
                <w:b/>
                <w:bCs/>
                <w:color w:val="000000" w:themeColor="text1"/>
                <w:sz w:val="22"/>
              </w:rPr>
              <w:t>(</w:t>
            </w:r>
            <w:r w:rsidR="30292A45" w:rsidRPr="17CECF10">
              <w:rPr>
                <w:rFonts w:ascii="Segoe UI" w:eastAsia="Times New Roman" w:hAnsi="Segoe UI" w:cs="Segoe UI"/>
                <w:b/>
                <w:bCs/>
                <w:color w:val="000000" w:themeColor="text1"/>
                <w:sz w:val="22"/>
              </w:rPr>
              <w:t>n</w:t>
            </w:r>
            <w:r w:rsidRPr="17CECF10">
              <w:rPr>
                <w:rFonts w:ascii="Segoe UI" w:eastAsia="Times New Roman" w:hAnsi="Segoe UI" w:cs="Segoe UI"/>
                <w:b/>
                <w:bCs/>
                <w:color w:val="000000" w:themeColor="text1"/>
                <w:sz w:val="22"/>
              </w:rPr>
              <w:t xml:space="preserve">et </w:t>
            </w:r>
            <w:r w:rsidR="6CFAFA39" w:rsidRPr="17CECF10">
              <w:rPr>
                <w:rFonts w:ascii="Segoe UI" w:eastAsia="Times New Roman" w:hAnsi="Segoe UI" w:cs="Segoe UI"/>
                <w:b/>
                <w:bCs/>
                <w:color w:val="000000" w:themeColor="text1"/>
                <w:sz w:val="22"/>
              </w:rPr>
              <w:t>p</w:t>
            </w:r>
            <w:r w:rsidRPr="17CECF10">
              <w:rPr>
                <w:rFonts w:ascii="Segoe UI" w:eastAsia="Times New Roman" w:hAnsi="Segoe UI" w:cs="Segoe UI"/>
                <w:b/>
                <w:bCs/>
                <w:color w:val="000000" w:themeColor="text1"/>
                <w:sz w:val="22"/>
              </w:rPr>
              <w:t xml:space="preserve">resent </w:t>
            </w:r>
            <w:r w:rsidR="4AAAE056" w:rsidRPr="17CECF10">
              <w:rPr>
                <w:rFonts w:ascii="Segoe UI" w:eastAsia="Times New Roman" w:hAnsi="Segoe UI" w:cs="Segoe UI"/>
                <w:b/>
                <w:bCs/>
                <w:color w:val="000000" w:themeColor="text1"/>
                <w:sz w:val="22"/>
              </w:rPr>
              <w:t>v</w:t>
            </w:r>
            <w:r w:rsidRPr="17CECF10">
              <w:rPr>
                <w:rFonts w:ascii="Segoe UI" w:eastAsia="Times New Roman" w:hAnsi="Segoe UI" w:cs="Segoe UI"/>
                <w:b/>
                <w:bCs/>
                <w:color w:val="000000" w:themeColor="text1"/>
                <w:sz w:val="22"/>
              </w:rPr>
              <w:t>alue)</w:t>
            </w:r>
          </w:p>
        </w:tc>
      </w:tr>
      <w:tr w:rsidR="00EE1CC2" w:rsidRPr="00CF6436" w14:paraId="03F8B3C9" w14:textId="77777777" w:rsidTr="17CECF10">
        <w:trPr>
          <w:trHeight w:val="312"/>
          <w:jc w:val="center"/>
        </w:trPr>
        <w:tc>
          <w:tcPr>
            <w:tcW w:w="2655" w:type="dxa"/>
            <w:tcBorders>
              <w:top w:val="nil"/>
              <w:left w:val="single" w:sz="4" w:space="0" w:color="auto"/>
              <w:bottom w:val="single" w:sz="4" w:space="0" w:color="auto"/>
              <w:right w:val="single" w:sz="4" w:space="0" w:color="auto"/>
            </w:tcBorders>
            <w:shd w:val="clear" w:color="auto" w:fill="D9D9D6"/>
            <w:vAlign w:val="center"/>
          </w:tcPr>
          <w:p w14:paraId="29958087" w14:textId="7F456066" w:rsidR="00EE1CC2" w:rsidRPr="00B05B6C" w:rsidRDefault="4D7A6BAD" w:rsidP="17CECF10">
            <w:pPr>
              <w:spacing w:line="276" w:lineRule="auto"/>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 xml:space="preserve">Baseline </w:t>
            </w:r>
            <w:r w:rsidRPr="17CECF10">
              <w:rPr>
                <w:rFonts w:ascii="Segoe UI" w:hAnsi="Segoe UI" w:cs="Segoe UI"/>
                <w:b/>
                <w:bCs/>
                <w:color w:val="000000" w:themeColor="text1"/>
                <w:sz w:val="22"/>
              </w:rPr>
              <w:t>(Alternative 4)</w:t>
            </w:r>
            <w:r w:rsidRPr="17CECF10">
              <w:rPr>
                <w:rFonts w:ascii="Segoe UI" w:eastAsia="Times New Roman" w:hAnsi="Segoe UI" w:cs="Segoe UI"/>
                <w:b/>
                <w:bCs/>
                <w:color w:val="000000" w:themeColor="text1"/>
                <w:sz w:val="22"/>
              </w:rPr>
              <w:t>—fee revenue</w:t>
            </w:r>
          </w:p>
        </w:tc>
        <w:tc>
          <w:tcPr>
            <w:tcW w:w="1010" w:type="dxa"/>
            <w:tcBorders>
              <w:top w:val="single" w:sz="4" w:space="0" w:color="auto"/>
              <w:left w:val="single" w:sz="4" w:space="0" w:color="auto"/>
              <w:bottom w:val="single" w:sz="4" w:space="0" w:color="auto"/>
              <w:right w:val="single" w:sz="4" w:space="0" w:color="auto"/>
            </w:tcBorders>
            <w:shd w:val="clear" w:color="auto" w:fill="D9D9D6"/>
            <w:noWrap/>
            <w:vAlign w:val="center"/>
          </w:tcPr>
          <w:p w14:paraId="677074E3" w14:textId="549B519E" w:rsidR="00EE1CC2" w:rsidRPr="00B05B6C" w:rsidRDefault="4D7A6BAD" w:rsidP="17CECF10">
            <w:pPr>
              <w:spacing w:line="276" w:lineRule="auto"/>
              <w:jc w:val="right"/>
              <w:rPr>
                <w:rFonts w:ascii="Segoe UI" w:eastAsia="Times New Roman" w:hAnsi="Segoe UI" w:cs="Segoe UI"/>
                <w:szCs w:val="24"/>
                <w:highlight w:val="yellow"/>
              </w:rPr>
            </w:pPr>
            <w:r w:rsidRPr="17CECF10">
              <w:rPr>
                <w:rFonts w:ascii="Segoe UI" w:hAnsi="Segoe UI" w:cs="Segoe UI"/>
                <w:sz w:val="22"/>
              </w:rPr>
              <w:t>$3,485</w:t>
            </w:r>
          </w:p>
        </w:tc>
        <w:tc>
          <w:tcPr>
            <w:tcW w:w="918" w:type="dxa"/>
            <w:tcBorders>
              <w:top w:val="single" w:sz="4" w:space="0" w:color="auto"/>
              <w:left w:val="nil"/>
              <w:bottom w:val="single" w:sz="4" w:space="0" w:color="auto"/>
              <w:right w:val="single" w:sz="4" w:space="0" w:color="auto"/>
            </w:tcBorders>
            <w:shd w:val="clear" w:color="auto" w:fill="D9D9D6"/>
            <w:noWrap/>
            <w:vAlign w:val="center"/>
          </w:tcPr>
          <w:p w14:paraId="60410AFE" w14:textId="659704B8" w:rsidR="00EE1CC2" w:rsidRPr="00B05B6C" w:rsidRDefault="4D7A6BAD" w:rsidP="17CECF10">
            <w:pPr>
              <w:spacing w:line="276" w:lineRule="auto"/>
              <w:jc w:val="right"/>
              <w:rPr>
                <w:rFonts w:ascii="Segoe UI" w:eastAsia="Times New Roman" w:hAnsi="Segoe UI" w:cs="Segoe UI"/>
                <w:szCs w:val="24"/>
                <w:highlight w:val="yellow"/>
              </w:rPr>
            </w:pPr>
            <w:r w:rsidRPr="17CECF10">
              <w:rPr>
                <w:rFonts w:ascii="Segoe UI" w:hAnsi="Segoe UI" w:cs="Segoe UI"/>
                <w:sz w:val="22"/>
              </w:rPr>
              <w:t>$3,359</w:t>
            </w:r>
          </w:p>
        </w:tc>
        <w:tc>
          <w:tcPr>
            <w:tcW w:w="918" w:type="dxa"/>
            <w:tcBorders>
              <w:top w:val="single" w:sz="4" w:space="0" w:color="auto"/>
              <w:left w:val="nil"/>
              <w:bottom w:val="single" w:sz="4" w:space="0" w:color="auto"/>
              <w:right w:val="single" w:sz="4" w:space="0" w:color="auto"/>
            </w:tcBorders>
            <w:shd w:val="clear" w:color="auto" w:fill="D9D9D6"/>
            <w:noWrap/>
            <w:vAlign w:val="center"/>
          </w:tcPr>
          <w:p w14:paraId="3A4FAD02" w14:textId="6D9CFD61" w:rsidR="00EE1CC2" w:rsidRPr="00B05B6C" w:rsidRDefault="4D7A6BAD" w:rsidP="17CECF10">
            <w:pPr>
              <w:spacing w:line="276" w:lineRule="auto"/>
              <w:jc w:val="right"/>
              <w:rPr>
                <w:rFonts w:ascii="Segoe UI" w:eastAsia="Times New Roman" w:hAnsi="Segoe UI" w:cs="Segoe UI"/>
                <w:szCs w:val="24"/>
                <w:highlight w:val="yellow"/>
              </w:rPr>
            </w:pPr>
            <w:r w:rsidRPr="17CECF10">
              <w:rPr>
                <w:rFonts w:ascii="Segoe UI" w:hAnsi="Segoe UI" w:cs="Segoe UI"/>
                <w:sz w:val="22"/>
              </w:rPr>
              <w:t>$3,140</w:t>
            </w:r>
          </w:p>
        </w:tc>
        <w:tc>
          <w:tcPr>
            <w:tcW w:w="918" w:type="dxa"/>
            <w:tcBorders>
              <w:top w:val="single" w:sz="4" w:space="0" w:color="auto"/>
              <w:left w:val="nil"/>
              <w:bottom w:val="single" w:sz="4" w:space="0" w:color="auto"/>
              <w:right w:val="single" w:sz="4" w:space="0" w:color="auto"/>
            </w:tcBorders>
            <w:shd w:val="clear" w:color="auto" w:fill="D9D9D6"/>
            <w:noWrap/>
            <w:vAlign w:val="center"/>
          </w:tcPr>
          <w:p w14:paraId="1DACED6F" w14:textId="3AB159B7" w:rsidR="00EE1CC2" w:rsidRPr="00B05B6C" w:rsidRDefault="4D7A6BAD" w:rsidP="17CECF10">
            <w:pPr>
              <w:spacing w:line="276" w:lineRule="auto"/>
              <w:jc w:val="right"/>
              <w:rPr>
                <w:rFonts w:ascii="Segoe UI" w:eastAsia="Times New Roman" w:hAnsi="Segoe UI" w:cs="Segoe UI"/>
                <w:szCs w:val="24"/>
                <w:highlight w:val="yellow"/>
              </w:rPr>
            </w:pPr>
            <w:r w:rsidRPr="17CECF10">
              <w:rPr>
                <w:rFonts w:ascii="Segoe UI" w:hAnsi="Segoe UI" w:cs="Segoe UI"/>
                <w:sz w:val="22"/>
              </w:rPr>
              <w:t>$2,777</w:t>
            </w:r>
          </w:p>
        </w:tc>
        <w:tc>
          <w:tcPr>
            <w:tcW w:w="918" w:type="dxa"/>
            <w:tcBorders>
              <w:top w:val="single" w:sz="4" w:space="0" w:color="auto"/>
              <w:left w:val="nil"/>
              <w:bottom w:val="single" w:sz="4" w:space="0" w:color="auto"/>
              <w:right w:val="single" w:sz="4" w:space="0" w:color="auto"/>
            </w:tcBorders>
            <w:shd w:val="clear" w:color="auto" w:fill="D9D9D6"/>
            <w:noWrap/>
            <w:vAlign w:val="center"/>
          </w:tcPr>
          <w:p w14:paraId="0E1D8EA6" w14:textId="40CB957A" w:rsidR="00EE1CC2" w:rsidRPr="00B05B6C" w:rsidRDefault="4D7A6BAD" w:rsidP="17CECF10">
            <w:pPr>
              <w:spacing w:line="276" w:lineRule="auto"/>
              <w:jc w:val="right"/>
              <w:rPr>
                <w:rFonts w:ascii="Segoe UI" w:eastAsia="Times New Roman" w:hAnsi="Segoe UI" w:cs="Segoe UI"/>
                <w:szCs w:val="24"/>
                <w:highlight w:val="yellow"/>
              </w:rPr>
            </w:pPr>
            <w:r w:rsidRPr="17CECF10">
              <w:rPr>
                <w:rFonts w:ascii="Segoe UI" w:hAnsi="Segoe UI" w:cs="Segoe UI"/>
                <w:sz w:val="22"/>
              </w:rPr>
              <w:t>$2,428</w:t>
            </w:r>
          </w:p>
        </w:tc>
        <w:tc>
          <w:tcPr>
            <w:tcW w:w="1016" w:type="dxa"/>
            <w:tcBorders>
              <w:top w:val="single" w:sz="4" w:space="0" w:color="auto"/>
              <w:left w:val="nil"/>
              <w:bottom w:val="single" w:sz="4" w:space="0" w:color="auto"/>
              <w:right w:val="single" w:sz="4" w:space="0" w:color="auto"/>
            </w:tcBorders>
            <w:shd w:val="clear" w:color="auto" w:fill="D9D9D6"/>
            <w:noWrap/>
            <w:vAlign w:val="center"/>
          </w:tcPr>
          <w:p w14:paraId="1EF6292F" w14:textId="5D32348C" w:rsidR="00EE1CC2" w:rsidRPr="00B05B6C" w:rsidRDefault="4D7A6BAD" w:rsidP="17CECF10">
            <w:pPr>
              <w:spacing w:line="276" w:lineRule="auto"/>
              <w:jc w:val="right"/>
              <w:rPr>
                <w:rFonts w:ascii="Segoe UI" w:eastAsia="Times New Roman" w:hAnsi="Segoe UI" w:cs="Segoe UI"/>
                <w:szCs w:val="24"/>
                <w:highlight w:val="yellow"/>
              </w:rPr>
            </w:pPr>
            <w:r w:rsidRPr="17CECF10">
              <w:rPr>
                <w:rFonts w:ascii="Segoe UI" w:hAnsi="Segoe UI" w:cs="Segoe UI"/>
                <w:sz w:val="22"/>
              </w:rPr>
              <w:t>$15,189</w:t>
            </w:r>
          </w:p>
        </w:tc>
        <w:tc>
          <w:tcPr>
            <w:tcW w:w="1468" w:type="dxa"/>
            <w:tcBorders>
              <w:top w:val="single" w:sz="4" w:space="0" w:color="auto"/>
              <w:left w:val="single" w:sz="4" w:space="0" w:color="auto"/>
              <w:bottom w:val="single" w:sz="4" w:space="0" w:color="auto"/>
              <w:right w:val="single" w:sz="4" w:space="0" w:color="auto"/>
            </w:tcBorders>
            <w:shd w:val="clear" w:color="auto" w:fill="D9D9D6"/>
            <w:noWrap/>
            <w:vAlign w:val="center"/>
          </w:tcPr>
          <w:p w14:paraId="6496B05C" w14:textId="6A16C6C8" w:rsidR="00EE1CC2" w:rsidRPr="00B05B6C" w:rsidRDefault="4D7A6BAD" w:rsidP="17CECF10">
            <w:pPr>
              <w:spacing w:line="276" w:lineRule="auto"/>
              <w:jc w:val="right"/>
              <w:rPr>
                <w:rFonts w:ascii="Segoe UI" w:eastAsia="Times New Roman" w:hAnsi="Segoe UI" w:cs="Segoe UI"/>
                <w:szCs w:val="24"/>
                <w:highlight w:val="yellow"/>
              </w:rPr>
            </w:pPr>
            <w:r w:rsidRPr="17CECF10">
              <w:rPr>
                <w:rFonts w:ascii="Segoe UI" w:hAnsi="Segoe UI" w:cs="Segoe UI"/>
                <w:sz w:val="22"/>
              </w:rPr>
              <w:t>$3,317</w:t>
            </w:r>
          </w:p>
        </w:tc>
      </w:tr>
      <w:tr w:rsidR="0061637C" w:rsidRPr="00CF6436" w14:paraId="3010BB14" w14:textId="77777777" w:rsidTr="0061637C">
        <w:trPr>
          <w:trHeight w:val="936"/>
          <w:jc w:val="center"/>
        </w:trPr>
        <w:tc>
          <w:tcPr>
            <w:tcW w:w="2655" w:type="dxa"/>
            <w:tcBorders>
              <w:top w:val="nil"/>
              <w:left w:val="single" w:sz="4" w:space="0" w:color="auto"/>
              <w:bottom w:val="single" w:sz="4" w:space="0" w:color="auto"/>
              <w:right w:val="single" w:sz="4" w:space="0" w:color="auto"/>
            </w:tcBorders>
            <w:shd w:val="clear" w:color="auto" w:fill="auto"/>
            <w:vAlign w:val="center"/>
          </w:tcPr>
          <w:p w14:paraId="7715CAE2" w14:textId="518F3FA5" w:rsidR="0061637C" w:rsidRPr="00B05B6C" w:rsidRDefault="0061637C" w:rsidP="0061637C">
            <w:pPr>
              <w:spacing w:line="276" w:lineRule="auto"/>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Alternative 1: Final Patent Fee Schedule—fee revenue</w:t>
            </w:r>
          </w:p>
        </w:tc>
        <w:tc>
          <w:tcPr>
            <w:tcW w:w="1010" w:type="dxa"/>
            <w:tcBorders>
              <w:top w:val="nil"/>
              <w:left w:val="single" w:sz="4" w:space="0" w:color="auto"/>
              <w:bottom w:val="single" w:sz="4" w:space="0" w:color="auto"/>
              <w:right w:val="single" w:sz="4" w:space="0" w:color="auto"/>
            </w:tcBorders>
            <w:shd w:val="clear" w:color="auto" w:fill="auto"/>
            <w:noWrap/>
            <w:vAlign w:val="center"/>
          </w:tcPr>
          <w:p w14:paraId="1A152808" w14:textId="422739EF" w:rsidR="0061637C" w:rsidRPr="0061637C" w:rsidRDefault="0061637C" w:rsidP="0061637C">
            <w:pPr>
              <w:spacing w:line="276" w:lineRule="auto"/>
              <w:jc w:val="right"/>
              <w:rPr>
                <w:rFonts w:ascii="Segoe UI" w:eastAsia="Times New Roman" w:hAnsi="Segoe UI" w:cs="Segoe UI"/>
                <w:sz w:val="22"/>
                <w:highlight w:val="yellow"/>
              </w:rPr>
            </w:pPr>
            <w:r w:rsidRPr="0061637C">
              <w:rPr>
                <w:rFonts w:ascii="Segoe UI" w:hAnsi="Segoe UI" w:cs="Segoe UI"/>
                <w:sz w:val="22"/>
              </w:rPr>
              <w:t>$3,762</w:t>
            </w:r>
          </w:p>
        </w:tc>
        <w:tc>
          <w:tcPr>
            <w:tcW w:w="918" w:type="dxa"/>
            <w:tcBorders>
              <w:top w:val="nil"/>
              <w:left w:val="nil"/>
              <w:bottom w:val="single" w:sz="4" w:space="0" w:color="auto"/>
              <w:right w:val="single" w:sz="4" w:space="0" w:color="auto"/>
            </w:tcBorders>
            <w:shd w:val="clear" w:color="auto" w:fill="auto"/>
            <w:noWrap/>
            <w:vAlign w:val="center"/>
          </w:tcPr>
          <w:p w14:paraId="38AD6BFC" w14:textId="75E65791" w:rsidR="0061637C" w:rsidRPr="0061637C" w:rsidRDefault="0061637C" w:rsidP="0061637C">
            <w:pPr>
              <w:spacing w:line="276" w:lineRule="auto"/>
              <w:jc w:val="right"/>
              <w:rPr>
                <w:rFonts w:ascii="Segoe UI" w:eastAsia="Times New Roman" w:hAnsi="Segoe UI" w:cs="Segoe UI"/>
                <w:sz w:val="22"/>
                <w:highlight w:val="yellow"/>
              </w:rPr>
            </w:pPr>
            <w:r w:rsidRPr="0061637C">
              <w:rPr>
                <w:rFonts w:ascii="Segoe UI" w:hAnsi="Segoe UI" w:cs="Segoe UI"/>
                <w:sz w:val="22"/>
              </w:rPr>
              <w:t>$3,744</w:t>
            </w:r>
          </w:p>
        </w:tc>
        <w:tc>
          <w:tcPr>
            <w:tcW w:w="918" w:type="dxa"/>
            <w:tcBorders>
              <w:top w:val="nil"/>
              <w:left w:val="nil"/>
              <w:bottom w:val="single" w:sz="4" w:space="0" w:color="auto"/>
              <w:right w:val="single" w:sz="4" w:space="0" w:color="auto"/>
            </w:tcBorders>
            <w:shd w:val="clear" w:color="auto" w:fill="auto"/>
            <w:noWrap/>
            <w:vAlign w:val="center"/>
          </w:tcPr>
          <w:p w14:paraId="70147B69" w14:textId="20BA5C66" w:rsidR="0061637C" w:rsidRPr="0061637C" w:rsidRDefault="0061637C" w:rsidP="0061637C">
            <w:pPr>
              <w:spacing w:line="276" w:lineRule="auto"/>
              <w:jc w:val="right"/>
              <w:rPr>
                <w:rFonts w:ascii="Segoe UI" w:eastAsia="Times New Roman" w:hAnsi="Segoe UI" w:cs="Segoe UI"/>
                <w:sz w:val="22"/>
                <w:highlight w:val="yellow"/>
              </w:rPr>
            </w:pPr>
            <w:r w:rsidRPr="0061637C">
              <w:rPr>
                <w:rFonts w:ascii="Segoe UI" w:hAnsi="Segoe UI" w:cs="Segoe UI"/>
                <w:sz w:val="22"/>
              </w:rPr>
              <w:t>$3,495</w:t>
            </w:r>
          </w:p>
        </w:tc>
        <w:tc>
          <w:tcPr>
            <w:tcW w:w="918" w:type="dxa"/>
            <w:tcBorders>
              <w:top w:val="nil"/>
              <w:left w:val="nil"/>
              <w:bottom w:val="single" w:sz="4" w:space="0" w:color="auto"/>
              <w:right w:val="single" w:sz="4" w:space="0" w:color="auto"/>
            </w:tcBorders>
            <w:shd w:val="clear" w:color="auto" w:fill="auto"/>
            <w:noWrap/>
            <w:vAlign w:val="center"/>
          </w:tcPr>
          <w:p w14:paraId="5CCF5551" w14:textId="28777F4F" w:rsidR="0061637C" w:rsidRPr="0061637C" w:rsidRDefault="0061637C" w:rsidP="0061637C">
            <w:pPr>
              <w:spacing w:line="276" w:lineRule="auto"/>
              <w:jc w:val="right"/>
              <w:rPr>
                <w:rFonts w:ascii="Segoe UI" w:eastAsia="Times New Roman" w:hAnsi="Segoe UI" w:cs="Segoe UI"/>
                <w:sz w:val="22"/>
                <w:highlight w:val="yellow"/>
              </w:rPr>
            </w:pPr>
            <w:r w:rsidRPr="0061637C">
              <w:rPr>
                <w:rFonts w:ascii="Segoe UI" w:hAnsi="Segoe UI" w:cs="Segoe UI"/>
                <w:sz w:val="22"/>
              </w:rPr>
              <w:t>$3,094</w:t>
            </w:r>
          </w:p>
        </w:tc>
        <w:tc>
          <w:tcPr>
            <w:tcW w:w="918" w:type="dxa"/>
            <w:tcBorders>
              <w:top w:val="nil"/>
              <w:left w:val="nil"/>
              <w:bottom w:val="single" w:sz="4" w:space="0" w:color="auto"/>
              <w:right w:val="single" w:sz="4" w:space="0" w:color="auto"/>
            </w:tcBorders>
            <w:shd w:val="clear" w:color="auto" w:fill="auto"/>
            <w:noWrap/>
            <w:vAlign w:val="center"/>
          </w:tcPr>
          <w:p w14:paraId="1908ED1A" w14:textId="0B5BD3C4" w:rsidR="0061637C" w:rsidRPr="0061637C" w:rsidRDefault="0061637C" w:rsidP="0061637C">
            <w:pPr>
              <w:spacing w:line="276" w:lineRule="auto"/>
              <w:jc w:val="right"/>
              <w:rPr>
                <w:rFonts w:ascii="Segoe UI" w:eastAsia="Times New Roman" w:hAnsi="Segoe UI" w:cs="Segoe UI"/>
                <w:sz w:val="22"/>
                <w:highlight w:val="yellow"/>
              </w:rPr>
            </w:pPr>
            <w:r w:rsidRPr="0061637C">
              <w:rPr>
                <w:rFonts w:ascii="Segoe UI" w:hAnsi="Segoe UI" w:cs="Segoe UI"/>
                <w:sz w:val="22"/>
              </w:rPr>
              <w:t>$2,706</w:t>
            </w:r>
          </w:p>
        </w:tc>
        <w:tc>
          <w:tcPr>
            <w:tcW w:w="1016" w:type="dxa"/>
            <w:tcBorders>
              <w:top w:val="nil"/>
              <w:left w:val="nil"/>
              <w:bottom w:val="single" w:sz="4" w:space="0" w:color="auto"/>
              <w:right w:val="single" w:sz="4" w:space="0" w:color="auto"/>
            </w:tcBorders>
            <w:shd w:val="clear" w:color="auto" w:fill="auto"/>
            <w:noWrap/>
            <w:vAlign w:val="center"/>
          </w:tcPr>
          <w:p w14:paraId="067CCEC6" w14:textId="5CD7C66A" w:rsidR="0061637C" w:rsidRPr="0061637C" w:rsidRDefault="0061637C" w:rsidP="0061637C">
            <w:pPr>
              <w:spacing w:line="276" w:lineRule="auto"/>
              <w:jc w:val="right"/>
              <w:rPr>
                <w:rFonts w:ascii="Segoe UI" w:eastAsia="Times New Roman" w:hAnsi="Segoe UI" w:cs="Segoe UI"/>
                <w:sz w:val="22"/>
                <w:highlight w:val="yellow"/>
              </w:rPr>
            </w:pPr>
            <w:r w:rsidRPr="0061637C">
              <w:rPr>
                <w:rFonts w:ascii="Segoe UI" w:hAnsi="Segoe UI" w:cs="Segoe UI"/>
                <w:sz w:val="22"/>
              </w:rPr>
              <w:t>$16,801</w:t>
            </w:r>
          </w:p>
        </w:tc>
        <w:tc>
          <w:tcPr>
            <w:tcW w:w="1468" w:type="dxa"/>
            <w:tcBorders>
              <w:top w:val="nil"/>
              <w:left w:val="single" w:sz="4" w:space="0" w:color="auto"/>
              <w:bottom w:val="single" w:sz="4" w:space="0" w:color="auto"/>
              <w:right w:val="single" w:sz="4" w:space="0" w:color="auto"/>
            </w:tcBorders>
            <w:shd w:val="clear" w:color="auto" w:fill="auto"/>
            <w:noWrap/>
            <w:vAlign w:val="center"/>
          </w:tcPr>
          <w:p w14:paraId="7D152A9D" w14:textId="5CE3C3E5" w:rsidR="0061637C" w:rsidRPr="0061637C" w:rsidRDefault="0061637C" w:rsidP="0061637C">
            <w:pPr>
              <w:spacing w:line="276" w:lineRule="auto"/>
              <w:jc w:val="right"/>
              <w:rPr>
                <w:rFonts w:ascii="Segoe UI" w:eastAsia="Times New Roman" w:hAnsi="Segoe UI" w:cs="Segoe UI"/>
                <w:sz w:val="22"/>
                <w:highlight w:val="yellow"/>
              </w:rPr>
            </w:pPr>
            <w:r w:rsidRPr="0061637C">
              <w:rPr>
                <w:rFonts w:ascii="Segoe UI" w:hAnsi="Segoe UI" w:cs="Segoe UI"/>
                <w:sz w:val="22"/>
              </w:rPr>
              <w:t>$3,669</w:t>
            </w:r>
          </w:p>
        </w:tc>
      </w:tr>
      <w:tr w:rsidR="0061637C" w:rsidRPr="00CF6436" w14:paraId="7D9FA533" w14:textId="77777777" w:rsidTr="0061637C">
        <w:trPr>
          <w:trHeight w:val="624"/>
          <w:jc w:val="center"/>
        </w:trPr>
        <w:tc>
          <w:tcPr>
            <w:tcW w:w="2655" w:type="dxa"/>
            <w:tcBorders>
              <w:top w:val="nil"/>
              <w:left w:val="single" w:sz="4" w:space="0" w:color="auto"/>
              <w:bottom w:val="single" w:sz="4" w:space="0" w:color="auto"/>
              <w:right w:val="single" w:sz="4" w:space="0" w:color="auto"/>
            </w:tcBorders>
            <w:shd w:val="clear" w:color="auto" w:fill="D9D9D6"/>
            <w:vAlign w:val="center"/>
          </w:tcPr>
          <w:p w14:paraId="0CE5B36E" w14:textId="5218E507" w:rsidR="0061637C" w:rsidRPr="00B05B6C" w:rsidRDefault="0061637C" w:rsidP="0061637C">
            <w:pPr>
              <w:spacing w:line="276" w:lineRule="auto"/>
              <w:jc w:val="right"/>
              <w:rPr>
                <w:rFonts w:ascii="Segoe UI" w:eastAsia="Times New Roman" w:hAnsi="Segoe UI" w:cs="Segoe UI"/>
                <w:i/>
                <w:iCs/>
                <w:color w:val="000000"/>
                <w:szCs w:val="24"/>
              </w:rPr>
            </w:pPr>
            <w:r w:rsidRPr="17CECF10">
              <w:rPr>
                <w:rFonts w:ascii="Segoe UI" w:eastAsia="Times New Roman" w:hAnsi="Segoe UI" w:cs="Segoe UI"/>
                <w:i/>
                <w:iCs/>
                <w:color w:val="000000" w:themeColor="text1"/>
                <w:sz w:val="22"/>
              </w:rPr>
              <w:t>Transfer amount from Baseline for Alternative 1</w:t>
            </w:r>
          </w:p>
        </w:tc>
        <w:tc>
          <w:tcPr>
            <w:tcW w:w="1010" w:type="dxa"/>
            <w:tcBorders>
              <w:top w:val="nil"/>
              <w:left w:val="single" w:sz="4" w:space="0" w:color="auto"/>
              <w:bottom w:val="single" w:sz="4" w:space="0" w:color="auto"/>
              <w:right w:val="single" w:sz="4" w:space="0" w:color="auto"/>
            </w:tcBorders>
            <w:shd w:val="clear" w:color="auto" w:fill="D9D9D6"/>
            <w:noWrap/>
            <w:vAlign w:val="center"/>
          </w:tcPr>
          <w:p w14:paraId="6321292C" w14:textId="28DF1DE8" w:rsidR="0061637C" w:rsidRPr="0061637C" w:rsidRDefault="0061637C" w:rsidP="0061637C">
            <w:pPr>
              <w:spacing w:line="276" w:lineRule="auto"/>
              <w:jc w:val="right"/>
              <w:rPr>
                <w:rFonts w:ascii="Segoe UI" w:eastAsia="Times New Roman" w:hAnsi="Segoe UI" w:cs="Segoe UI"/>
                <w:i/>
                <w:iCs/>
                <w:sz w:val="22"/>
                <w:highlight w:val="yellow"/>
              </w:rPr>
            </w:pPr>
            <w:r w:rsidRPr="0061637C">
              <w:rPr>
                <w:rFonts w:ascii="Segoe UI" w:hAnsi="Segoe UI" w:cs="Segoe UI"/>
                <w:sz w:val="22"/>
              </w:rPr>
              <w:t>$277</w:t>
            </w:r>
          </w:p>
        </w:tc>
        <w:tc>
          <w:tcPr>
            <w:tcW w:w="918" w:type="dxa"/>
            <w:tcBorders>
              <w:top w:val="nil"/>
              <w:left w:val="nil"/>
              <w:bottom w:val="single" w:sz="4" w:space="0" w:color="auto"/>
              <w:right w:val="single" w:sz="4" w:space="0" w:color="auto"/>
            </w:tcBorders>
            <w:shd w:val="clear" w:color="auto" w:fill="D9D9D6"/>
            <w:noWrap/>
            <w:vAlign w:val="center"/>
          </w:tcPr>
          <w:p w14:paraId="0A356F41" w14:textId="128B0E79" w:rsidR="0061637C" w:rsidRPr="0061637C" w:rsidRDefault="0061637C" w:rsidP="0061637C">
            <w:pPr>
              <w:spacing w:line="276" w:lineRule="auto"/>
              <w:jc w:val="right"/>
              <w:rPr>
                <w:rFonts w:ascii="Segoe UI" w:eastAsia="Times New Roman" w:hAnsi="Segoe UI" w:cs="Segoe UI"/>
                <w:i/>
                <w:iCs/>
                <w:sz w:val="22"/>
                <w:highlight w:val="yellow"/>
              </w:rPr>
            </w:pPr>
            <w:r w:rsidRPr="0061637C">
              <w:rPr>
                <w:rFonts w:ascii="Segoe UI" w:hAnsi="Segoe UI" w:cs="Segoe UI"/>
                <w:sz w:val="22"/>
              </w:rPr>
              <w:t>$385</w:t>
            </w:r>
          </w:p>
        </w:tc>
        <w:tc>
          <w:tcPr>
            <w:tcW w:w="918" w:type="dxa"/>
            <w:tcBorders>
              <w:top w:val="nil"/>
              <w:left w:val="nil"/>
              <w:bottom w:val="single" w:sz="4" w:space="0" w:color="auto"/>
              <w:right w:val="single" w:sz="4" w:space="0" w:color="auto"/>
            </w:tcBorders>
            <w:shd w:val="clear" w:color="auto" w:fill="D9D9D6"/>
            <w:noWrap/>
            <w:vAlign w:val="center"/>
          </w:tcPr>
          <w:p w14:paraId="3EF9C42A" w14:textId="7BB6EC7A" w:rsidR="0061637C" w:rsidRPr="0061637C" w:rsidRDefault="0061637C" w:rsidP="0061637C">
            <w:pPr>
              <w:spacing w:line="276" w:lineRule="auto"/>
              <w:jc w:val="right"/>
              <w:rPr>
                <w:rFonts w:ascii="Segoe UI" w:eastAsia="Times New Roman" w:hAnsi="Segoe UI" w:cs="Segoe UI"/>
                <w:i/>
                <w:iCs/>
                <w:sz w:val="22"/>
                <w:highlight w:val="yellow"/>
              </w:rPr>
            </w:pPr>
            <w:r w:rsidRPr="0061637C">
              <w:rPr>
                <w:rFonts w:ascii="Segoe UI" w:hAnsi="Segoe UI" w:cs="Segoe UI"/>
                <w:sz w:val="22"/>
              </w:rPr>
              <w:t>$355</w:t>
            </w:r>
          </w:p>
        </w:tc>
        <w:tc>
          <w:tcPr>
            <w:tcW w:w="918" w:type="dxa"/>
            <w:tcBorders>
              <w:top w:val="nil"/>
              <w:left w:val="nil"/>
              <w:bottom w:val="single" w:sz="4" w:space="0" w:color="auto"/>
              <w:right w:val="single" w:sz="4" w:space="0" w:color="auto"/>
            </w:tcBorders>
            <w:shd w:val="clear" w:color="auto" w:fill="D9D9D6"/>
            <w:noWrap/>
            <w:vAlign w:val="center"/>
          </w:tcPr>
          <w:p w14:paraId="0EE757E7" w14:textId="339B1130" w:rsidR="0061637C" w:rsidRPr="0061637C" w:rsidRDefault="0061637C" w:rsidP="0061637C">
            <w:pPr>
              <w:spacing w:line="276" w:lineRule="auto"/>
              <w:jc w:val="right"/>
              <w:rPr>
                <w:rFonts w:ascii="Segoe UI" w:eastAsia="Times New Roman" w:hAnsi="Segoe UI" w:cs="Segoe UI"/>
                <w:i/>
                <w:iCs/>
                <w:sz w:val="22"/>
                <w:highlight w:val="yellow"/>
              </w:rPr>
            </w:pPr>
            <w:r w:rsidRPr="0061637C">
              <w:rPr>
                <w:rFonts w:ascii="Segoe UI" w:hAnsi="Segoe UI" w:cs="Segoe UI"/>
                <w:sz w:val="22"/>
              </w:rPr>
              <w:t>$317</w:t>
            </w:r>
          </w:p>
        </w:tc>
        <w:tc>
          <w:tcPr>
            <w:tcW w:w="918" w:type="dxa"/>
            <w:tcBorders>
              <w:top w:val="nil"/>
              <w:left w:val="nil"/>
              <w:bottom w:val="single" w:sz="4" w:space="0" w:color="auto"/>
              <w:right w:val="single" w:sz="4" w:space="0" w:color="auto"/>
            </w:tcBorders>
            <w:shd w:val="clear" w:color="auto" w:fill="D9D9D6"/>
            <w:noWrap/>
            <w:vAlign w:val="center"/>
          </w:tcPr>
          <w:p w14:paraId="5C23E7D2" w14:textId="5EEF247E" w:rsidR="0061637C" w:rsidRPr="0061637C" w:rsidRDefault="0061637C" w:rsidP="0061637C">
            <w:pPr>
              <w:spacing w:line="276" w:lineRule="auto"/>
              <w:jc w:val="right"/>
              <w:rPr>
                <w:rFonts w:ascii="Segoe UI" w:eastAsia="Times New Roman" w:hAnsi="Segoe UI" w:cs="Segoe UI"/>
                <w:i/>
                <w:iCs/>
                <w:sz w:val="22"/>
                <w:highlight w:val="yellow"/>
              </w:rPr>
            </w:pPr>
            <w:r w:rsidRPr="0061637C">
              <w:rPr>
                <w:rFonts w:ascii="Segoe UI" w:hAnsi="Segoe UI" w:cs="Segoe UI"/>
                <w:sz w:val="22"/>
              </w:rPr>
              <w:t>$278</w:t>
            </w:r>
          </w:p>
        </w:tc>
        <w:tc>
          <w:tcPr>
            <w:tcW w:w="1016" w:type="dxa"/>
            <w:tcBorders>
              <w:top w:val="nil"/>
              <w:left w:val="nil"/>
              <w:bottom w:val="single" w:sz="4" w:space="0" w:color="auto"/>
              <w:right w:val="single" w:sz="4" w:space="0" w:color="auto"/>
            </w:tcBorders>
            <w:shd w:val="clear" w:color="auto" w:fill="D9D9D6"/>
            <w:noWrap/>
            <w:vAlign w:val="center"/>
          </w:tcPr>
          <w:p w14:paraId="68815840" w14:textId="1757EF9C" w:rsidR="0061637C" w:rsidRPr="0061637C" w:rsidRDefault="0061637C" w:rsidP="0061637C">
            <w:pPr>
              <w:spacing w:line="276" w:lineRule="auto"/>
              <w:jc w:val="right"/>
              <w:rPr>
                <w:rFonts w:ascii="Segoe UI" w:eastAsia="Times New Roman" w:hAnsi="Segoe UI" w:cs="Segoe UI"/>
                <w:i/>
                <w:iCs/>
                <w:sz w:val="22"/>
                <w:highlight w:val="yellow"/>
              </w:rPr>
            </w:pPr>
            <w:r w:rsidRPr="0061637C">
              <w:rPr>
                <w:rFonts w:ascii="Segoe UI" w:hAnsi="Segoe UI" w:cs="Segoe UI"/>
                <w:sz w:val="22"/>
              </w:rPr>
              <w:t>$1,612</w:t>
            </w:r>
          </w:p>
        </w:tc>
        <w:tc>
          <w:tcPr>
            <w:tcW w:w="1468" w:type="dxa"/>
            <w:tcBorders>
              <w:top w:val="nil"/>
              <w:left w:val="single" w:sz="4" w:space="0" w:color="auto"/>
              <w:bottom w:val="single" w:sz="4" w:space="0" w:color="auto"/>
              <w:right w:val="single" w:sz="4" w:space="0" w:color="auto"/>
            </w:tcBorders>
            <w:shd w:val="clear" w:color="auto" w:fill="D9D9D6"/>
            <w:noWrap/>
            <w:vAlign w:val="center"/>
          </w:tcPr>
          <w:p w14:paraId="45237DD8" w14:textId="238FF47D" w:rsidR="0061637C" w:rsidRPr="0061637C" w:rsidRDefault="0061637C" w:rsidP="0061637C">
            <w:pPr>
              <w:spacing w:line="276" w:lineRule="auto"/>
              <w:jc w:val="right"/>
              <w:rPr>
                <w:rFonts w:ascii="Segoe UI" w:eastAsia="Times New Roman" w:hAnsi="Segoe UI" w:cs="Segoe UI"/>
                <w:i/>
                <w:iCs/>
                <w:sz w:val="22"/>
                <w:highlight w:val="yellow"/>
              </w:rPr>
            </w:pPr>
            <w:r w:rsidRPr="0061637C">
              <w:rPr>
                <w:rFonts w:ascii="Segoe UI" w:hAnsi="Segoe UI" w:cs="Segoe UI"/>
                <w:sz w:val="22"/>
              </w:rPr>
              <w:t>$352</w:t>
            </w:r>
          </w:p>
        </w:tc>
      </w:tr>
      <w:tr w:rsidR="0061637C" w:rsidRPr="00CF6436" w14:paraId="275882D8" w14:textId="77777777" w:rsidTr="0061637C">
        <w:trPr>
          <w:trHeight w:val="624"/>
          <w:jc w:val="center"/>
        </w:trPr>
        <w:tc>
          <w:tcPr>
            <w:tcW w:w="2655" w:type="dxa"/>
            <w:tcBorders>
              <w:top w:val="nil"/>
              <w:left w:val="single" w:sz="4" w:space="0" w:color="auto"/>
              <w:bottom w:val="single" w:sz="4" w:space="0" w:color="auto"/>
              <w:right w:val="single" w:sz="4" w:space="0" w:color="auto"/>
            </w:tcBorders>
            <w:shd w:val="clear" w:color="auto" w:fill="auto"/>
            <w:vAlign w:val="center"/>
          </w:tcPr>
          <w:p w14:paraId="70919EA5" w14:textId="3E349DAA" w:rsidR="0061637C" w:rsidRPr="00F65FC8" w:rsidRDefault="0061637C" w:rsidP="0061637C">
            <w:pPr>
              <w:spacing w:line="276" w:lineRule="auto"/>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Alternative 2: Unit Cost Recovery—fee revenue</w:t>
            </w:r>
          </w:p>
        </w:tc>
        <w:tc>
          <w:tcPr>
            <w:tcW w:w="1010" w:type="dxa"/>
            <w:tcBorders>
              <w:top w:val="nil"/>
              <w:left w:val="single" w:sz="4" w:space="0" w:color="auto"/>
              <w:bottom w:val="single" w:sz="4" w:space="0" w:color="auto"/>
              <w:right w:val="single" w:sz="4" w:space="0" w:color="auto"/>
            </w:tcBorders>
            <w:shd w:val="clear" w:color="auto" w:fill="auto"/>
            <w:noWrap/>
            <w:vAlign w:val="center"/>
          </w:tcPr>
          <w:p w14:paraId="1D80095E" w14:textId="64A31774" w:rsidR="0061637C" w:rsidRPr="0061637C" w:rsidRDefault="0061637C" w:rsidP="0061637C">
            <w:pPr>
              <w:spacing w:line="276" w:lineRule="auto"/>
              <w:jc w:val="right"/>
              <w:rPr>
                <w:rFonts w:ascii="Segoe UI" w:eastAsia="Times New Roman" w:hAnsi="Segoe UI" w:cs="Segoe UI"/>
                <w:sz w:val="22"/>
                <w:highlight w:val="yellow"/>
              </w:rPr>
            </w:pPr>
            <w:r w:rsidRPr="0061637C">
              <w:rPr>
                <w:rFonts w:ascii="Segoe UI" w:hAnsi="Segoe UI" w:cs="Segoe UI"/>
                <w:sz w:val="22"/>
              </w:rPr>
              <w:t>$3,822</w:t>
            </w:r>
          </w:p>
        </w:tc>
        <w:tc>
          <w:tcPr>
            <w:tcW w:w="918" w:type="dxa"/>
            <w:tcBorders>
              <w:top w:val="nil"/>
              <w:left w:val="nil"/>
              <w:bottom w:val="single" w:sz="4" w:space="0" w:color="auto"/>
              <w:right w:val="single" w:sz="4" w:space="0" w:color="auto"/>
            </w:tcBorders>
            <w:shd w:val="clear" w:color="auto" w:fill="auto"/>
            <w:noWrap/>
            <w:vAlign w:val="center"/>
          </w:tcPr>
          <w:p w14:paraId="53F42481" w14:textId="5FC7B83F" w:rsidR="0061637C" w:rsidRPr="0061637C" w:rsidRDefault="0061637C" w:rsidP="0061637C">
            <w:pPr>
              <w:spacing w:line="276" w:lineRule="auto"/>
              <w:jc w:val="right"/>
              <w:rPr>
                <w:rFonts w:ascii="Segoe UI" w:eastAsia="Times New Roman" w:hAnsi="Segoe UI" w:cs="Segoe UI"/>
                <w:sz w:val="22"/>
                <w:highlight w:val="yellow"/>
              </w:rPr>
            </w:pPr>
            <w:r w:rsidRPr="0061637C">
              <w:rPr>
                <w:rFonts w:ascii="Segoe UI" w:hAnsi="Segoe UI" w:cs="Segoe UI"/>
                <w:sz w:val="22"/>
              </w:rPr>
              <w:t>$3,745</w:t>
            </w:r>
          </w:p>
        </w:tc>
        <w:tc>
          <w:tcPr>
            <w:tcW w:w="918" w:type="dxa"/>
            <w:tcBorders>
              <w:top w:val="nil"/>
              <w:left w:val="nil"/>
              <w:bottom w:val="single" w:sz="4" w:space="0" w:color="auto"/>
              <w:right w:val="single" w:sz="4" w:space="0" w:color="auto"/>
            </w:tcBorders>
            <w:shd w:val="clear" w:color="auto" w:fill="auto"/>
            <w:noWrap/>
            <w:vAlign w:val="center"/>
          </w:tcPr>
          <w:p w14:paraId="58293C08" w14:textId="0BF43370" w:rsidR="0061637C" w:rsidRPr="0061637C" w:rsidRDefault="0061637C" w:rsidP="0061637C">
            <w:pPr>
              <w:spacing w:line="276" w:lineRule="auto"/>
              <w:jc w:val="right"/>
              <w:rPr>
                <w:rFonts w:ascii="Segoe UI" w:eastAsia="Times New Roman" w:hAnsi="Segoe UI" w:cs="Segoe UI"/>
                <w:sz w:val="22"/>
                <w:highlight w:val="yellow"/>
              </w:rPr>
            </w:pPr>
            <w:r w:rsidRPr="0061637C">
              <w:rPr>
                <w:rFonts w:ascii="Segoe UI" w:hAnsi="Segoe UI" w:cs="Segoe UI"/>
                <w:sz w:val="22"/>
              </w:rPr>
              <w:t>$3,487</w:t>
            </w:r>
          </w:p>
        </w:tc>
        <w:tc>
          <w:tcPr>
            <w:tcW w:w="918" w:type="dxa"/>
            <w:tcBorders>
              <w:top w:val="nil"/>
              <w:left w:val="nil"/>
              <w:bottom w:val="single" w:sz="4" w:space="0" w:color="auto"/>
              <w:right w:val="single" w:sz="4" w:space="0" w:color="auto"/>
            </w:tcBorders>
            <w:shd w:val="clear" w:color="auto" w:fill="auto"/>
            <w:noWrap/>
            <w:vAlign w:val="center"/>
          </w:tcPr>
          <w:p w14:paraId="40F0F093" w14:textId="32660E67" w:rsidR="0061637C" w:rsidRPr="0061637C" w:rsidRDefault="0061637C" w:rsidP="0061637C">
            <w:pPr>
              <w:spacing w:line="276" w:lineRule="auto"/>
              <w:jc w:val="right"/>
              <w:rPr>
                <w:rFonts w:ascii="Segoe UI" w:eastAsia="Times New Roman" w:hAnsi="Segoe UI" w:cs="Segoe UI"/>
                <w:sz w:val="22"/>
                <w:highlight w:val="yellow"/>
              </w:rPr>
            </w:pPr>
            <w:r w:rsidRPr="0061637C">
              <w:rPr>
                <w:rFonts w:ascii="Segoe UI" w:hAnsi="Segoe UI" w:cs="Segoe UI"/>
                <w:sz w:val="22"/>
              </w:rPr>
              <w:t>$3,092</w:t>
            </w:r>
          </w:p>
        </w:tc>
        <w:tc>
          <w:tcPr>
            <w:tcW w:w="918" w:type="dxa"/>
            <w:tcBorders>
              <w:top w:val="nil"/>
              <w:left w:val="nil"/>
              <w:bottom w:val="single" w:sz="4" w:space="0" w:color="auto"/>
              <w:right w:val="single" w:sz="4" w:space="0" w:color="auto"/>
            </w:tcBorders>
            <w:shd w:val="clear" w:color="auto" w:fill="auto"/>
            <w:noWrap/>
            <w:vAlign w:val="center"/>
          </w:tcPr>
          <w:p w14:paraId="7649FFEE" w14:textId="10436089" w:rsidR="0061637C" w:rsidRPr="0061637C" w:rsidRDefault="0061637C" w:rsidP="0061637C">
            <w:pPr>
              <w:spacing w:line="276" w:lineRule="auto"/>
              <w:jc w:val="right"/>
              <w:rPr>
                <w:rFonts w:ascii="Segoe UI" w:eastAsia="Times New Roman" w:hAnsi="Segoe UI" w:cs="Segoe UI"/>
                <w:sz w:val="22"/>
                <w:highlight w:val="yellow"/>
              </w:rPr>
            </w:pPr>
            <w:r w:rsidRPr="0061637C">
              <w:rPr>
                <w:rFonts w:ascii="Segoe UI" w:hAnsi="Segoe UI" w:cs="Segoe UI"/>
                <w:sz w:val="22"/>
              </w:rPr>
              <w:t>$2,707</w:t>
            </w:r>
          </w:p>
        </w:tc>
        <w:tc>
          <w:tcPr>
            <w:tcW w:w="1016" w:type="dxa"/>
            <w:tcBorders>
              <w:top w:val="nil"/>
              <w:left w:val="nil"/>
              <w:bottom w:val="single" w:sz="4" w:space="0" w:color="auto"/>
              <w:right w:val="single" w:sz="4" w:space="0" w:color="auto"/>
            </w:tcBorders>
            <w:shd w:val="clear" w:color="auto" w:fill="auto"/>
            <w:noWrap/>
            <w:vAlign w:val="center"/>
          </w:tcPr>
          <w:p w14:paraId="0FEC4713" w14:textId="03DB1674" w:rsidR="0061637C" w:rsidRPr="0061637C" w:rsidRDefault="0061637C" w:rsidP="0061637C">
            <w:pPr>
              <w:spacing w:line="276" w:lineRule="auto"/>
              <w:jc w:val="right"/>
              <w:rPr>
                <w:rFonts w:ascii="Segoe UI" w:eastAsia="Times New Roman" w:hAnsi="Segoe UI" w:cs="Segoe UI"/>
                <w:sz w:val="22"/>
                <w:highlight w:val="yellow"/>
              </w:rPr>
            </w:pPr>
            <w:r w:rsidRPr="0061637C">
              <w:rPr>
                <w:rFonts w:ascii="Segoe UI" w:hAnsi="Segoe UI" w:cs="Segoe UI"/>
                <w:sz w:val="22"/>
              </w:rPr>
              <w:t>$16,853</w:t>
            </w:r>
          </w:p>
        </w:tc>
        <w:tc>
          <w:tcPr>
            <w:tcW w:w="1468" w:type="dxa"/>
            <w:tcBorders>
              <w:top w:val="nil"/>
              <w:left w:val="single" w:sz="4" w:space="0" w:color="auto"/>
              <w:bottom w:val="single" w:sz="4" w:space="0" w:color="auto"/>
              <w:right w:val="single" w:sz="4" w:space="0" w:color="auto"/>
            </w:tcBorders>
            <w:shd w:val="clear" w:color="auto" w:fill="auto"/>
            <w:noWrap/>
            <w:vAlign w:val="center"/>
          </w:tcPr>
          <w:p w14:paraId="766F4FE2" w14:textId="06F919D7" w:rsidR="0061637C" w:rsidRPr="0061637C" w:rsidRDefault="0061637C" w:rsidP="0061637C">
            <w:pPr>
              <w:spacing w:line="276" w:lineRule="auto"/>
              <w:jc w:val="right"/>
              <w:rPr>
                <w:rFonts w:ascii="Segoe UI" w:eastAsia="Times New Roman" w:hAnsi="Segoe UI" w:cs="Segoe UI"/>
                <w:sz w:val="22"/>
                <w:highlight w:val="yellow"/>
              </w:rPr>
            </w:pPr>
            <w:r w:rsidRPr="0061637C">
              <w:rPr>
                <w:rFonts w:ascii="Segoe UI" w:hAnsi="Segoe UI" w:cs="Segoe UI"/>
                <w:sz w:val="22"/>
              </w:rPr>
              <w:t>$3,680</w:t>
            </w:r>
          </w:p>
        </w:tc>
      </w:tr>
      <w:tr w:rsidR="0061637C" w:rsidRPr="00CF6436" w14:paraId="39823B9B" w14:textId="77777777" w:rsidTr="0061637C">
        <w:trPr>
          <w:trHeight w:val="624"/>
          <w:jc w:val="center"/>
        </w:trPr>
        <w:tc>
          <w:tcPr>
            <w:tcW w:w="2655" w:type="dxa"/>
            <w:tcBorders>
              <w:top w:val="nil"/>
              <w:left w:val="single" w:sz="4" w:space="0" w:color="auto"/>
              <w:bottom w:val="single" w:sz="4" w:space="0" w:color="auto"/>
              <w:right w:val="single" w:sz="4" w:space="0" w:color="auto"/>
            </w:tcBorders>
            <w:shd w:val="clear" w:color="auto" w:fill="D9D9D6"/>
            <w:vAlign w:val="center"/>
          </w:tcPr>
          <w:p w14:paraId="09A0681F" w14:textId="20172240" w:rsidR="0061637C" w:rsidRPr="00B05B6C" w:rsidRDefault="0061637C" w:rsidP="0061637C">
            <w:pPr>
              <w:spacing w:line="276" w:lineRule="auto"/>
              <w:jc w:val="right"/>
              <w:rPr>
                <w:rFonts w:ascii="Segoe UI" w:eastAsia="Times New Roman" w:hAnsi="Segoe UI" w:cs="Segoe UI"/>
                <w:i/>
                <w:iCs/>
                <w:color w:val="000000"/>
                <w:szCs w:val="24"/>
              </w:rPr>
            </w:pPr>
            <w:r w:rsidRPr="17CECF10">
              <w:rPr>
                <w:rFonts w:ascii="Segoe UI" w:eastAsia="Times New Roman" w:hAnsi="Segoe UI" w:cs="Segoe UI"/>
                <w:i/>
                <w:iCs/>
                <w:color w:val="000000" w:themeColor="text1"/>
                <w:sz w:val="22"/>
              </w:rPr>
              <w:t>Transfer amount from Baseline for Alternative 2</w:t>
            </w:r>
          </w:p>
        </w:tc>
        <w:tc>
          <w:tcPr>
            <w:tcW w:w="1010" w:type="dxa"/>
            <w:tcBorders>
              <w:top w:val="nil"/>
              <w:left w:val="single" w:sz="4" w:space="0" w:color="auto"/>
              <w:bottom w:val="single" w:sz="4" w:space="0" w:color="auto"/>
              <w:right w:val="single" w:sz="4" w:space="0" w:color="auto"/>
            </w:tcBorders>
            <w:shd w:val="clear" w:color="auto" w:fill="D9D9D6"/>
            <w:noWrap/>
            <w:vAlign w:val="center"/>
          </w:tcPr>
          <w:p w14:paraId="69C723F5" w14:textId="1D60FB57" w:rsidR="0061637C" w:rsidRPr="0061637C" w:rsidRDefault="0061637C" w:rsidP="0061637C">
            <w:pPr>
              <w:spacing w:line="276" w:lineRule="auto"/>
              <w:jc w:val="right"/>
              <w:rPr>
                <w:rFonts w:ascii="Segoe UI" w:eastAsia="Times New Roman" w:hAnsi="Segoe UI" w:cs="Segoe UI"/>
                <w:i/>
                <w:iCs/>
                <w:sz w:val="22"/>
                <w:highlight w:val="yellow"/>
              </w:rPr>
            </w:pPr>
            <w:r w:rsidRPr="0061637C">
              <w:rPr>
                <w:rFonts w:ascii="Segoe UI" w:hAnsi="Segoe UI" w:cs="Segoe UI"/>
                <w:sz w:val="22"/>
              </w:rPr>
              <w:t>$337</w:t>
            </w:r>
          </w:p>
        </w:tc>
        <w:tc>
          <w:tcPr>
            <w:tcW w:w="918" w:type="dxa"/>
            <w:tcBorders>
              <w:top w:val="nil"/>
              <w:left w:val="nil"/>
              <w:bottom w:val="single" w:sz="4" w:space="0" w:color="auto"/>
              <w:right w:val="single" w:sz="4" w:space="0" w:color="auto"/>
            </w:tcBorders>
            <w:shd w:val="clear" w:color="auto" w:fill="D9D9D6"/>
            <w:noWrap/>
            <w:vAlign w:val="center"/>
          </w:tcPr>
          <w:p w14:paraId="17BB5EC6" w14:textId="2C96EEDB" w:rsidR="0061637C" w:rsidRPr="0061637C" w:rsidRDefault="0061637C" w:rsidP="0061637C">
            <w:pPr>
              <w:spacing w:line="276" w:lineRule="auto"/>
              <w:jc w:val="right"/>
              <w:rPr>
                <w:rFonts w:ascii="Segoe UI" w:eastAsia="Times New Roman" w:hAnsi="Segoe UI" w:cs="Segoe UI"/>
                <w:i/>
                <w:iCs/>
                <w:sz w:val="22"/>
                <w:highlight w:val="yellow"/>
              </w:rPr>
            </w:pPr>
            <w:r w:rsidRPr="0061637C">
              <w:rPr>
                <w:rFonts w:ascii="Segoe UI" w:hAnsi="Segoe UI" w:cs="Segoe UI"/>
                <w:sz w:val="22"/>
              </w:rPr>
              <w:t>$386</w:t>
            </w:r>
          </w:p>
        </w:tc>
        <w:tc>
          <w:tcPr>
            <w:tcW w:w="918" w:type="dxa"/>
            <w:tcBorders>
              <w:top w:val="nil"/>
              <w:left w:val="nil"/>
              <w:bottom w:val="single" w:sz="4" w:space="0" w:color="auto"/>
              <w:right w:val="single" w:sz="4" w:space="0" w:color="auto"/>
            </w:tcBorders>
            <w:shd w:val="clear" w:color="auto" w:fill="D9D9D6"/>
            <w:noWrap/>
            <w:vAlign w:val="center"/>
          </w:tcPr>
          <w:p w14:paraId="0A2F9392" w14:textId="35560E84" w:rsidR="0061637C" w:rsidRPr="0061637C" w:rsidRDefault="0061637C" w:rsidP="0061637C">
            <w:pPr>
              <w:spacing w:line="276" w:lineRule="auto"/>
              <w:jc w:val="right"/>
              <w:rPr>
                <w:rFonts w:ascii="Segoe UI" w:eastAsia="Times New Roman" w:hAnsi="Segoe UI" w:cs="Segoe UI"/>
                <w:i/>
                <w:iCs/>
                <w:sz w:val="22"/>
                <w:highlight w:val="yellow"/>
              </w:rPr>
            </w:pPr>
            <w:r w:rsidRPr="0061637C">
              <w:rPr>
                <w:rFonts w:ascii="Segoe UI" w:hAnsi="Segoe UI" w:cs="Segoe UI"/>
                <w:sz w:val="22"/>
              </w:rPr>
              <w:t>$347</w:t>
            </w:r>
          </w:p>
        </w:tc>
        <w:tc>
          <w:tcPr>
            <w:tcW w:w="918" w:type="dxa"/>
            <w:tcBorders>
              <w:top w:val="nil"/>
              <w:left w:val="nil"/>
              <w:bottom w:val="single" w:sz="4" w:space="0" w:color="auto"/>
              <w:right w:val="single" w:sz="4" w:space="0" w:color="auto"/>
            </w:tcBorders>
            <w:shd w:val="clear" w:color="auto" w:fill="D9D9D6"/>
            <w:noWrap/>
            <w:vAlign w:val="center"/>
          </w:tcPr>
          <w:p w14:paraId="5E3D0002" w14:textId="4177B851" w:rsidR="0061637C" w:rsidRPr="0061637C" w:rsidRDefault="0061637C" w:rsidP="0061637C">
            <w:pPr>
              <w:spacing w:line="276" w:lineRule="auto"/>
              <w:jc w:val="right"/>
              <w:rPr>
                <w:rFonts w:ascii="Segoe UI" w:eastAsia="Times New Roman" w:hAnsi="Segoe UI" w:cs="Segoe UI"/>
                <w:i/>
                <w:iCs/>
                <w:sz w:val="22"/>
                <w:highlight w:val="yellow"/>
              </w:rPr>
            </w:pPr>
            <w:r w:rsidRPr="0061637C">
              <w:rPr>
                <w:rFonts w:ascii="Segoe UI" w:hAnsi="Segoe UI" w:cs="Segoe UI"/>
                <w:sz w:val="22"/>
              </w:rPr>
              <w:t>$315</w:t>
            </w:r>
          </w:p>
        </w:tc>
        <w:tc>
          <w:tcPr>
            <w:tcW w:w="918" w:type="dxa"/>
            <w:tcBorders>
              <w:top w:val="nil"/>
              <w:left w:val="nil"/>
              <w:bottom w:val="single" w:sz="4" w:space="0" w:color="auto"/>
              <w:right w:val="single" w:sz="4" w:space="0" w:color="auto"/>
            </w:tcBorders>
            <w:shd w:val="clear" w:color="auto" w:fill="D9D9D6"/>
            <w:noWrap/>
            <w:vAlign w:val="center"/>
          </w:tcPr>
          <w:p w14:paraId="653640DD" w14:textId="28E6D784" w:rsidR="0061637C" w:rsidRPr="0061637C" w:rsidRDefault="0061637C" w:rsidP="0061637C">
            <w:pPr>
              <w:spacing w:line="276" w:lineRule="auto"/>
              <w:jc w:val="right"/>
              <w:rPr>
                <w:rFonts w:ascii="Segoe UI" w:eastAsia="Times New Roman" w:hAnsi="Segoe UI" w:cs="Segoe UI"/>
                <w:i/>
                <w:iCs/>
                <w:sz w:val="22"/>
                <w:highlight w:val="yellow"/>
              </w:rPr>
            </w:pPr>
            <w:r w:rsidRPr="0061637C">
              <w:rPr>
                <w:rFonts w:ascii="Segoe UI" w:hAnsi="Segoe UI" w:cs="Segoe UI"/>
                <w:sz w:val="22"/>
              </w:rPr>
              <w:t>$279</w:t>
            </w:r>
          </w:p>
        </w:tc>
        <w:tc>
          <w:tcPr>
            <w:tcW w:w="1016" w:type="dxa"/>
            <w:tcBorders>
              <w:top w:val="nil"/>
              <w:left w:val="nil"/>
              <w:bottom w:val="single" w:sz="4" w:space="0" w:color="auto"/>
              <w:right w:val="single" w:sz="4" w:space="0" w:color="auto"/>
            </w:tcBorders>
            <w:shd w:val="clear" w:color="auto" w:fill="D9D9D6"/>
            <w:noWrap/>
            <w:vAlign w:val="center"/>
          </w:tcPr>
          <w:p w14:paraId="6D634CF4" w14:textId="3AE69F7F" w:rsidR="0061637C" w:rsidRPr="0061637C" w:rsidRDefault="0061637C" w:rsidP="0061637C">
            <w:pPr>
              <w:spacing w:line="276" w:lineRule="auto"/>
              <w:jc w:val="right"/>
              <w:rPr>
                <w:rFonts w:ascii="Segoe UI" w:eastAsia="Times New Roman" w:hAnsi="Segoe UI" w:cs="Segoe UI"/>
                <w:i/>
                <w:iCs/>
                <w:sz w:val="22"/>
                <w:highlight w:val="yellow"/>
              </w:rPr>
            </w:pPr>
            <w:r w:rsidRPr="0061637C">
              <w:rPr>
                <w:rFonts w:ascii="Segoe UI" w:hAnsi="Segoe UI" w:cs="Segoe UI"/>
                <w:sz w:val="22"/>
              </w:rPr>
              <w:t>$1,664</w:t>
            </w:r>
          </w:p>
        </w:tc>
        <w:tc>
          <w:tcPr>
            <w:tcW w:w="1468" w:type="dxa"/>
            <w:tcBorders>
              <w:top w:val="nil"/>
              <w:left w:val="single" w:sz="4" w:space="0" w:color="auto"/>
              <w:bottom w:val="single" w:sz="4" w:space="0" w:color="auto"/>
              <w:right w:val="single" w:sz="4" w:space="0" w:color="auto"/>
            </w:tcBorders>
            <w:shd w:val="clear" w:color="auto" w:fill="D9D9D6"/>
            <w:noWrap/>
            <w:vAlign w:val="center"/>
          </w:tcPr>
          <w:p w14:paraId="158C1159" w14:textId="3C819BFC" w:rsidR="0061637C" w:rsidRPr="0061637C" w:rsidRDefault="0061637C" w:rsidP="0061637C">
            <w:pPr>
              <w:spacing w:line="276" w:lineRule="auto"/>
              <w:jc w:val="right"/>
              <w:rPr>
                <w:rFonts w:ascii="Segoe UI" w:eastAsia="Times New Roman" w:hAnsi="Segoe UI" w:cs="Segoe UI"/>
                <w:i/>
                <w:iCs/>
                <w:sz w:val="22"/>
                <w:highlight w:val="yellow"/>
              </w:rPr>
            </w:pPr>
            <w:r w:rsidRPr="0061637C">
              <w:rPr>
                <w:rFonts w:ascii="Segoe UI" w:hAnsi="Segoe UI" w:cs="Segoe UI"/>
                <w:sz w:val="22"/>
              </w:rPr>
              <w:t>$363</w:t>
            </w:r>
          </w:p>
        </w:tc>
      </w:tr>
      <w:tr w:rsidR="00EE1CC2" w:rsidRPr="00CF6436" w14:paraId="17561E2E" w14:textId="77777777" w:rsidTr="17CECF10">
        <w:trPr>
          <w:trHeight w:val="936"/>
          <w:jc w:val="center"/>
        </w:trPr>
        <w:tc>
          <w:tcPr>
            <w:tcW w:w="2655" w:type="dxa"/>
            <w:tcBorders>
              <w:top w:val="nil"/>
              <w:left w:val="single" w:sz="4" w:space="0" w:color="auto"/>
              <w:bottom w:val="single" w:sz="4" w:space="0" w:color="auto"/>
              <w:right w:val="single" w:sz="4" w:space="0" w:color="auto"/>
            </w:tcBorders>
            <w:shd w:val="clear" w:color="auto" w:fill="auto"/>
            <w:vAlign w:val="center"/>
          </w:tcPr>
          <w:p w14:paraId="54356C98" w14:textId="65E90DB4" w:rsidR="00EE1CC2" w:rsidRPr="00B05B6C" w:rsidRDefault="4D7A6BAD" w:rsidP="17CECF10">
            <w:pPr>
              <w:spacing w:line="276" w:lineRule="auto"/>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Alternative 3: Across-the-Board Adjustment —fee revenue</w:t>
            </w: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3E168" w14:textId="199B939A" w:rsidR="00EE1CC2" w:rsidRPr="00B05B6C" w:rsidRDefault="4D7A6BAD" w:rsidP="17CECF10">
            <w:pPr>
              <w:spacing w:line="276" w:lineRule="auto"/>
              <w:jc w:val="right"/>
              <w:rPr>
                <w:rFonts w:ascii="Segoe UI" w:eastAsia="Times New Roman" w:hAnsi="Segoe UI" w:cs="Segoe UI"/>
                <w:szCs w:val="24"/>
                <w:highlight w:val="yellow"/>
              </w:rPr>
            </w:pPr>
            <w:r w:rsidRPr="17CECF10">
              <w:rPr>
                <w:rFonts w:ascii="Segoe UI" w:hAnsi="Segoe UI" w:cs="Segoe UI"/>
                <w:sz w:val="22"/>
              </w:rPr>
              <w:t>$3,735</w:t>
            </w:r>
          </w:p>
        </w:tc>
        <w:tc>
          <w:tcPr>
            <w:tcW w:w="918" w:type="dxa"/>
            <w:tcBorders>
              <w:top w:val="single" w:sz="4" w:space="0" w:color="auto"/>
              <w:left w:val="nil"/>
              <w:bottom w:val="single" w:sz="4" w:space="0" w:color="auto"/>
              <w:right w:val="single" w:sz="4" w:space="0" w:color="auto"/>
            </w:tcBorders>
            <w:shd w:val="clear" w:color="auto" w:fill="auto"/>
            <w:noWrap/>
            <w:vAlign w:val="center"/>
          </w:tcPr>
          <w:p w14:paraId="643B129E" w14:textId="007A39F7" w:rsidR="00EE1CC2" w:rsidRPr="00B05B6C" w:rsidRDefault="4D7A6BAD" w:rsidP="17CECF10">
            <w:pPr>
              <w:spacing w:line="276" w:lineRule="auto"/>
              <w:jc w:val="right"/>
              <w:rPr>
                <w:rFonts w:ascii="Segoe UI" w:eastAsia="Times New Roman" w:hAnsi="Segoe UI" w:cs="Segoe UI"/>
                <w:szCs w:val="24"/>
                <w:highlight w:val="yellow"/>
              </w:rPr>
            </w:pPr>
            <w:r w:rsidRPr="17CECF10">
              <w:rPr>
                <w:rFonts w:ascii="Segoe UI" w:hAnsi="Segoe UI" w:cs="Segoe UI"/>
                <w:sz w:val="22"/>
              </w:rPr>
              <w:t>$3,733</w:t>
            </w:r>
          </w:p>
        </w:tc>
        <w:tc>
          <w:tcPr>
            <w:tcW w:w="918" w:type="dxa"/>
            <w:tcBorders>
              <w:top w:val="single" w:sz="4" w:space="0" w:color="auto"/>
              <w:left w:val="nil"/>
              <w:bottom w:val="single" w:sz="4" w:space="0" w:color="auto"/>
              <w:right w:val="single" w:sz="4" w:space="0" w:color="auto"/>
            </w:tcBorders>
            <w:shd w:val="clear" w:color="auto" w:fill="auto"/>
            <w:noWrap/>
            <w:vAlign w:val="center"/>
          </w:tcPr>
          <w:p w14:paraId="49462E4F" w14:textId="6C0E62FD" w:rsidR="00EE1CC2" w:rsidRPr="00B05B6C" w:rsidRDefault="4D7A6BAD" w:rsidP="17CECF10">
            <w:pPr>
              <w:spacing w:line="276" w:lineRule="auto"/>
              <w:jc w:val="right"/>
              <w:rPr>
                <w:rFonts w:ascii="Segoe UI" w:eastAsia="Times New Roman" w:hAnsi="Segoe UI" w:cs="Segoe UI"/>
                <w:szCs w:val="24"/>
                <w:highlight w:val="yellow"/>
              </w:rPr>
            </w:pPr>
            <w:r w:rsidRPr="17CECF10">
              <w:rPr>
                <w:rFonts w:ascii="Segoe UI" w:hAnsi="Segoe UI" w:cs="Segoe UI"/>
                <w:sz w:val="22"/>
              </w:rPr>
              <w:t>$3,490</w:t>
            </w:r>
          </w:p>
        </w:tc>
        <w:tc>
          <w:tcPr>
            <w:tcW w:w="918" w:type="dxa"/>
            <w:tcBorders>
              <w:top w:val="single" w:sz="4" w:space="0" w:color="auto"/>
              <w:left w:val="nil"/>
              <w:bottom w:val="single" w:sz="4" w:space="0" w:color="auto"/>
              <w:right w:val="single" w:sz="4" w:space="0" w:color="auto"/>
            </w:tcBorders>
            <w:shd w:val="clear" w:color="auto" w:fill="auto"/>
            <w:noWrap/>
            <w:vAlign w:val="center"/>
          </w:tcPr>
          <w:p w14:paraId="246B70A8" w14:textId="7EF86ED5" w:rsidR="00EE1CC2" w:rsidRPr="00B05B6C" w:rsidRDefault="4D7A6BAD" w:rsidP="17CECF10">
            <w:pPr>
              <w:spacing w:line="276" w:lineRule="auto"/>
              <w:jc w:val="right"/>
              <w:rPr>
                <w:rFonts w:ascii="Segoe UI" w:eastAsia="Times New Roman" w:hAnsi="Segoe UI" w:cs="Segoe UI"/>
                <w:szCs w:val="24"/>
                <w:highlight w:val="yellow"/>
              </w:rPr>
            </w:pPr>
            <w:r w:rsidRPr="17CECF10">
              <w:rPr>
                <w:rFonts w:ascii="Segoe UI" w:hAnsi="Segoe UI" w:cs="Segoe UI"/>
                <w:sz w:val="22"/>
              </w:rPr>
              <w:t>$3,087</w:t>
            </w:r>
          </w:p>
        </w:tc>
        <w:tc>
          <w:tcPr>
            <w:tcW w:w="918" w:type="dxa"/>
            <w:tcBorders>
              <w:top w:val="single" w:sz="4" w:space="0" w:color="auto"/>
              <w:left w:val="nil"/>
              <w:bottom w:val="single" w:sz="4" w:space="0" w:color="auto"/>
              <w:right w:val="single" w:sz="4" w:space="0" w:color="auto"/>
            </w:tcBorders>
            <w:shd w:val="clear" w:color="auto" w:fill="auto"/>
            <w:noWrap/>
            <w:vAlign w:val="center"/>
          </w:tcPr>
          <w:p w14:paraId="48CD9C58" w14:textId="1BC0CE8D" w:rsidR="00EE1CC2" w:rsidRPr="00B05B6C" w:rsidRDefault="4D7A6BAD" w:rsidP="17CECF10">
            <w:pPr>
              <w:spacing w:line="276" w:lineRule="auto"/>
              <w:jc w:val="right"/>
              <w:rPr>
                <w:rFonts w:ascii="Segoe UI" w:eastAsia="Times New Roman" w:hAnsi="Segoe UI" w:cs="Segoe UI"/>
                <w:szCs w:val="24"/>
                <w:highlight w:val="yellow"/>
              </w:rPr>
            </w:pPr>
            <w:r w:rsidRPr="17CECF10">
              <w:rPr>
                <w:rFonts w:ascii="Segoe UI" w:hAnsi="Segoe UI" w:cs="Segoe UI"/>
                <w:sz w:val="22"/>
              </w:rPr>
              <w:t>$2,698</w:t>
            </w:r>
          </w:p>
        </w:tc>
        <w:tc>
          <w:tcPr>
            <w:tcW w:w="1016" w:type="dxa"/>
            <w:tcBorders>
              <w:top w:val="single" w:sz="4" w:space="0" w:color="auto"/>
              <w:left w:val="nil"/>
              <w:bottom w:val="single" w:sz="4" w:space="0" w:color="auto"/>
              <w:right w:val="single" w:sz="4" w:space="0" w:color="auto"/>
            </w:tcBorders>
            <w:shd w:val="clear" w:color="auto" w:fill="auto"/>
            <w:noWrap/>
            <w:vAlign w:val="center"/>
          </w:tcPr>
          <w:p w14:paraId="12F3C878" w14:textId="4EC0C3B9" w:rsidR="00EE1CC2" w:rsidRPr="00B05B6C" w:rsidRDefault="4D7A6BAD" w:rsidP="17CECF10">
            <w:pPr>
              <w:spacing w:line="276" w:lineRule="auto"/>
              <w:jc w:val="right"/>
              <w:rPr>
                <w:rFonts w:ascii="Segoe UI" w:eastAsia="Times New Roman" w:hAnsi="Segoe UI" w:cs="Segoe UI"/>
                <w:szCs w:val="24"/>
                <w:highlight w:val="yellow"/>
              </w:rPr>
            </w:pPr>
            <w:r w:rsidRPr="17CECF10">
              <w:rPr>
                <w:rFonts w:ascii="Segoe UI" w:hAnsi="Segoe UI" w:cs="Segoe UI"/>
                <w:sz w:val="22"/>
              </w:rPr>
              <w:t>$16,743</w:t>
            </w:r>
          </w:p>
        </w:tc>
        <w:tc>
          <w:tcPr>
            <w:tcW w:w="1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E57AC" w14:textId="54217B81" w:rsidR="00EE1CC2" w:rsidRPr="00B05B6C" w:rsidRDefault="4D7A6BAD" w:rsidP="17CECF10">
            <w:pPr>
              <w:spacing w:line="276" w:lineRule="auto"/>
              <w:jc w:val="right"/>
              <w:rPr>
                <w:rFonts w:ascii="Segoe UI" w:eastAsia="Times New Roman" w:hAnsi="Segoe UI" w:cs="Segoe UI"/>
                <w:szCs w:val="24"/>
                <w:highlight w:val="yellow"/>
              </w:rPr>
            </w:pPr>
            <w:r w:rsidRPr="17CECF10">
              <w:rPr>
                <w:rFonts w:ascii="Segoe UI" w:hAnsi="Segoe UI" w:cs="Segoe UI"/>
                <w:sz w:val="22"/>
              </w:rPr>
              <w:t>$3,656</w:t>
            </w:r>
          </w:p>
        </w:tc>
      </w:tr>
      <w:tr w:rsidR="00EE1CC2" w:rsidRPr="00CF6436" w14:paraId="5C8A6DE0" w14:textId="77777777" w:rsidTr="17CECF10">
        <w:trPr>
          <w:trHeight w:val="624"/>
          <w:jc w:val="center"/>
        </w:trPr>
        <w:tc>
          <w:tcPr>
            <w:tcW w:w="2655" w:type="dxa"/>
            <w:tcBorders>
              <w:top w:val="nil"/>
              <w:left w:val="single" w:sz="4" w:space="0" w:color="auto"/>
              <w:bottom w:val="single" w:sz="4" w:space="0" w:color="auto"/>
              <w:right w:val="single" w:sz="4" w:space="0" w:color="auto"/>
            </w:tcBorders>
            <w:shd w:val="clear" w:color="auto" w:fill="D9D9D6"/>
            <w:vAlign w:val="center"/>
          </w:tcPr>
          <w:p w14:paraId="5DD08321" w14:textId="66393CF7" w:rsidR="00EE1CC2" w:rsidRPr="00B05B6C" w:rsidRDefault="4D7A6BAD" w:rsidP="17CECF10">
            <w:pPr>
              <w:spacing w:line="276" w:lineRule="auto"/>
              <w:jc w:val="right"/>
              <w:rPr>
                <w:rFonts w:ascii="Segoe UI" w:eastAsia="Times New Roman" w:hAnsi="Segoe UI" w:cs="Segoe UI"/>
                <w:i/>
                <w:iCs/>
                <w:color w:val="000000"/>
                <w:szCs w:val="24"/>
              </w:rPr>
            </w:pPr>
            <w:r w:rsidRPr="17CECF10">
              <w:rPr>
                <w:rFonts w:ascii="Segoe UI" w:eastAsia="Times New Roman" w:hAnsi="Segoe UI" w:cs="Segoe UI"/>
                <w:i/>
                <w:iCs/>
                <w:color w:val="000000" w:themeColor="text1"/>
                <w:sz w:val="22"/>
              </w:rPr>
              <w:t>Transfer amount from Baseline for Alternative 3</w:t>
            </w:r>
          </w:p>
        </w:tc>
        <w:tc>
          <w:tcPr>
            <w:tcW w:w="1010" w:type="dxa"/>
            <w:tcBorders>
              <w:top w:val="nil"/>
              <w:left w:val="single" w:sz="4" w:space="0" w:color="auto"/>
              <w:bottom w:val="single" w:sz="4" w:space="0" w:color="auto"/>
              <w:right w:val="single" w:sz="4" w:space="0" w:color="auto"/>
            </w:tcBorders>
            <w:shd w:val="clear" w:color="auto" w:fill="D9D9D6"/>
            <w:noWrap/>
            <w:vAlign w:val="center"/>
          </w:tcPr>
          <w:p w14:paraId="23438093" w14:textId="238BE1E6" w:rsidR="00EE1CC2" w:rsidRPr="00B05B6C" w:rsidRDefault="4D7A6BAD" w:rsidP="17CECF10">
            <w:pPr>
              <w:spacing w:line="276" w:lineRule="auto"/>
              <w:jc w:val="right"/>
              <w:rPr>
                <w:rFonts w:ascii="Segoe UI" w:eastAsia="Times New Roman" w:hAnsi="Segoe UI" w:cs="Segoe UI"/>
                <w:i/>
                <w:iCs/>
                <w:szCs w:val="24"/>
                <w:highlight w:val="yellow"/>
              </w:rPr>
            </w:pPr>
            <w:r w:rsidRPr="17CECF10">
              <w:rPr>
                <w:rFonts w:ascii="Segoe UI" w:hAnsi="Segoe UI" w:cs="Segoe UI"/>
                <w:sz w:val="22"/>
              </w:rPr>
              <w:t>$250</w:t>
            </w:r>
          </w:p>
        </w:tc>
        <w:tc>
          <w:tcPr>
            <w:tcW w:w="918" w:type="dxa"/>
            <w:tcBorders>
              <w:top w:val="nil"/>
              <w:left w:val="nil"/>
              <w:bottom w:val="single" w:sz="4" w:space="0" w:color="auto"/>
              <w:right w:val="single" w:sz="4" w:space="0" w:color="auto"/>
            </w:tcBorders>
            <w:shd w:val="clear" w:color="auto" w:fill="D9D9D6"/>
            <w:noWrap/>
            <w:vAlign w:val="center"/>
          </w:tcPr>
          <w:p w14:paraId="6FA85D58" w14:textId="48660CD2" w:rsidR="00EE1CC2" w:rsidRPr="00B05B6C" w:rsidRDefault="4D7A6BAD" w:rsidP="17CECF10">
            <w:pPr>
              <w:spacing w:line="276" w:lineRule="auto"/>
              <w:jc w:val="right"/>
              <w:rPr>
                <w:rFonts w:ascii="Segoe UI" w:eastAsia="Times New Roman" w:hAnsi="Segoe UI" w:cs="Segoe UI"/>
                <w:i/>
                <w:iCs/>
                <w:szCs w:val="24"/>
                <w:highlight w:val="yellow"/>
              </w:rPr>
            </w:pPr>
            <w:r w:rsidRPr="17CECF10">
              <w:rPr>
                <w:rFonts w:ascii="Segoe UI" w:hAnsi="Segoe UI" w:cs="Segoe UI"/>
                <w:sz w:val="22"/>
              </w:rPr>
              <w:t>$374</w:t>
            </w:r>
          </w:p>
        </w:tc>
        <w:tc>
          <w:tcPr>
            <w:tcW w:w="918" w:type="dxa"/>
            <w:tcBorders>
              <w:top w:val="nil"/>
              <w:left w:val="nil"/>
              <w:bottom w:val="single" w:sz="4" w:space="0" w:color="auto"/>
              <w:right w:val="single" w:sz="4" w:space="0" w:color="auto"/>
            </w:tcBorders>
            <w:shd w:val="clear" w:color="auto" w:fill="D9D9D6"/>
            <w:noWrap/>
            <w:vAlign w:val="center"/>
          </w:tcPr>
          <w:p w14:paraId="2911DFEC" w14:textId="0E06AD15" w:rsidR="00EE1CC2" w:rsidRPr="00B05B6C" w:rsidRDefault="4D7A6BAD" w:rsidP="17CECF10">
            <w:pPr>
              <w:spacing w:line="276" w:lineRule="auto"/>
              <w:jc w:val="right"/>
              <w:rPr>
                <w:rFonts w:ascii="Segoe UI" w:eastAsia="Times New Roman" w:hAnsi="Segoe UI" w:cs="Segoe UI"/>
                <w:i/>
                <w:iCs/>
                <w:szCs w:val="24"/>
                <w:highlight w:val="yellow"/>
              </w:rPr>
            </w:pPr>
            <w:r w:rsidRPr="17CECF10">
              <w:rPr>
                <w:rFonts w:ascii="Segoe UI" w:hAnsi="Segoe UI" w:cs="Segoe UI"/>
                <w:sz w:val="22"/>
              </w:rPr>
              <w:t>$350</w:t>
            </w:r>
          </w:p>
        </w:tc>
        <w:tc>
          <w:tcPr>
            <w:tcW w:w="918" w:type="dxa"/>
            <w:tcBorders>
              <w:top w:val="nil"/>
              <w:left w:val="nil"/>
              <w:bottom w:val="single" w:sz="4" w:space="0" w:color="auto"/>
              <w:right w:val="single" w:sz="4" w:space="0" w:color="auto"/>
            </w:tcBorders>
            <w:shd w:val="clear" w:color="auto" w:fill="D9D9D6"/>
            <w:noWrap/>
            <w:vAlign w:val="center"/>
          </w:tcPr>
          <w:p w14:paraId="2DC82A64" w14:textId="312ABB79" w:rsidR="00EE1CC2" w:rsidRPr="00B05B6C" w:rsidRDefault="4D7A6BAD" w:rsidP="17CECF10">
            <w:pPr>
              <w:spacing w:line="276" w:lineRule="auto"/>
              <w:jc w:val="right"/>
              <w:rPr>
                <w:rFonts w:ascii="Segoe UI" w:eastAsia="Times New Roman" w:hAnsi="Segoe UI" w:cs="Segoe UI"/>
                <w:i/>
                <w:iCs/>
                <w:szCs w:val="24"/>
                <w:highlight w:val="yellow"/>
              </w:rPr>
            </w:pPr>
            <w:r w:rsidRPr="17CECF10">
              <w:rPr>
                <w:rFonts w:ascii="Segoe UI" w:hAnsi="Segoe UI" w:cs="Segoe UI"/>
                <w:sz w:val="22"/>
              </w:rPr>
              <w:t>$310</w:t>
            </w:r>
          </w:p>
        </w:tc>
        <w:tc>
          <w:tcPr>
            <w:tcW w:w="918" w:type="dxa"/>
            <w:tcBorders>
              <w:top w:val="nil"/>
              <w:left w:val="nil"/>
              <w:bottom w:val="single" w:sz="4" w:space="0" w:color="auto"/>
              <w:right w:val="single" w:sz="4" w:space="0" w:color="auto"/>
            </w:tcBorders>
            <w:shd w:val="clear" w:color="auto" w:fill="D9D9D6"/>
            <w:noWrap/>
            <w:vAlign w:val="center"/>
          </w:tcPr>
          <w:p w14:paraId="730F0701" w14:textId="4F66D750" w:rsidR="00EE1CC2" w:rsidRPr="00B05B6C" w:rsidRDefault="4D7A6BAD" w:rsidP="17CECF10">
            <w:pPr>
              <w:spacing w:line="276" w:lineRule="auto"/>
              <w:jc w:val="right"/>
              <w:rPr>
                <w:rFonts w:ascii="Segoe UI" w:eastAsia="Times New Roman" w:hAnsi="Segoe UI" w:cs="Segoe UI"/>
                <w:i/>
                <w:iCs/>
                <w:szCs w:val="24"/>
                <w:highlight w:val="yellow"/>
              </w:rPr>
            </w:pPr>
            <w:r w:rsidRPr="17CECF10">
              <w:rPr>
                <w:rFonts w:ascii="Segoe UI" w:hAnsi="Segoe UI" w:cs="Segoe UI"/>
                <w:sz w:val="22"/>
              </w:rPr>
              <w:t>$270</w:t>
            </w:r>
          </w:p>
        </w:tc>
        <w:tc>
          <w:tcPr>
            <w:tcW w:w="1016" w:type="dxa"/>
            <w:tcBorders>
              <w:top w:val="nil"/>
              <w:left w:val="nil"/>
              <w:bottom w:val="single" w:sz="4" w:space="0" w:color="auto"/>
              <w:right w:val="single" w:sz="4" w:space="0" w:color="auto"/>
            </w:tcBorders>
            <w:shd w:val="clear" w:color="auto" w:fill="D9D9D6"/>
            <w:noWrap/>
            <w:vAlign w:val="center"/>
          </w:tcPr>
          <w:p w14:paraId="228CB8E9" w14:textId="375F0768" w:rsidR="00EE1CC2" w:rsidRPr="00B05B6C" w:rsidRDefault="4D7A6BAD" w:rsidP="17CECF10">
            <w:pPr>
              <w:spacing w:line="276" w:lineRule="auto"/>
              <w:jc w:val="right"/>
              <w:rPr>
                <w:rFonts w:ascii="Segoe UI" w:eastAsia="Times New Roman" w:hAnsi="Segoe UI" w:cs="Segoe UI"/>
                <w:i/>
                <w:iCs/>
                <w:szCs w:val="24"/>
                <w:highlight w:val="yellow"/>
              </w:rPr>
            </w:pPr>
            <w:r w:rsidRPr="17CECF10">
              <w:rPr>
                <w:rFonts w:ascii="Segoe UI" w:hAnsi="Segoe UI" w:cs="Segoe UI"/>
                <w:sz w:val="22"/>
              </w:rPr>
              <w:t>$1,554</w:t>
            </w:r>
          </w:p>
        </w:tc>
        <w:tc>
          <w:tcPr>
            <w:tcW w:w="1468" w:type="dxa"/>
            <w:tcBorders>
              <w:top w:val="nil"/>
              <w:left w:val="single" w:sz="4" w:space="0" w:color="auto"/>
              <w:bottom w:val="single" w:sz="4" w:space="0" w:color="auto"/>
              <w:right w:val="single" w:sz="4" w:space="0" w:color="auto"/>
            </w:tcBorders>
            <w:shd w:val="clear" w:color="auto" w:fill="D9D9D6"/>
            <w:noWrap/>
            <w:vAlign w:val="center"/>
          </w:tcPr>
          <w:p w14:paraId="0B9E8CC1" w14:textId="53ABF779" w:rsidR="00EE1CC2" w:rsidRPr="00B05B6C" w:rsidRDefault="4D7A6BAD" w:rsidP="17CECF10">
            <w:pPr>
              <w:spacing w:line="276" w:lineRule="auto"/>
              <w:jc w:val="right"/>
              <w:rPr>
                <w:rFonts w:ascii="Segoe UI" w:eastAsia="Times New Roman" w:hAnsi="Segoe UI" w:cs="Segoe UI"/>
                <w:i/>
                <w:iCs/>
                <w:szCs w:val="24"/>
                <w:highlight w:val="yellow"/>
              </w:rPr>
            </w:pPr>
            <w:r w:rsidRPr="17CECF10">
              <w:rPr>
                <w:rFonts w:ascii="Segoe UI" w:hAnsi="Segoe UI" w:cs="Segoe UI"/>
                <w:sz w:val="22"/>
              </w:rPr>
              <w:t>$339</w:t>
            </w:r>
          </w:p>
        </w:tc>
      </w:tr>
    </w:tbl>
    <w:p w14:paraId="45A61932" w14:textId="77777777" w:rsidR="00D80416" w:rsidRPr="00A23345" w:rsidRDefault="00D80416" w:rsidP="17CECF10">
      <w:pPr>
        <w:spacing w:after="200" w:line="360" w:lineRule="auto"/>
        <w:rPr>
          <w:rFonts w:ascii="Segoe UI" w:hAnsi="Segoe UI" w:cs="Segoe UI"/>
          <w:b/>
          <w:bCs/>
          <w:szCs w:val="24"/>
        </w:rPr>
      </w:pPr>
    </w:p>
    <w:p w14:paraId="10215F72" w14:textId="77777777" w:rsidR="00004698" w:rsidRPr="00CF6436" w:rsidRDefault="00004698" w:rsidP="17CECF10">
      <w:pPr>
        <w:spacing w:after="200" w:line="360" w:lineRule="auto"/>
        <w:rPr>
          <w:rFonts w:ascii="Segoe UI" w:hAnsi="Segoe UI" w:cs="Segoe UI"/>
          <w:b/>
          <w:bCs/>
          <w:szCs w:val="24"/>
        </w:rPr>
      </w:pPr>
      <w:r w:rsidRPr="00A23345">
        <w:rPr>
          <w:rFonts w:ascii="Segoe UI" w:hAnsi="Segoe UI" w:cs="Segoe UI"/>
          <w:b/>
          <w:bCs/>
          <w:szCs w:val="24"/>
        </w:rPr>
        <w:br w:type="page"/>
      </w:r>
    </w:p>
    <w:p w14:paraId="6B574871" w14:textId="673158BB" w:rsidR="0027478B" w:rsidRPr="00A23345" w:rsidRDefault="38CD2347" w:rsidP="17CECF10">
      <w:pPr>
        <w:keepNext/>
        <w:spacing w:after="200" w:line="360" w:lineRule="auto"/>
        <w:jc w:val="center"/>
        <w:rPr>
          <w:rFonts w:ascii="Segoe UI" w:hAnsi="Segoe UI" w:cs="Segoe UI"/>
          <w:b/>
          <w:bCs/>
          <w:szCs w:val="24"/>
        </w:rPr>
      </w:pPr>
      <w:r w:rsidRPr="00A23345">
        <w:rPr>
          <w:rFonts w:ascii="Segoe UI" w:hAnsi="Segoe UI" w:cs="Segoe UI"/>
          <w:b/>
          <w:bCs/>
          <w:szCs w:val="24"/>
        </w:rPr>
        <w:lastRenderedPageBreak/>
        <w:t xml:space="preserve">Table </w:t>
      </w:r>
      <w:r w:rsidR="689BE437" w:rsidRPr="00A23345">
        <w:rPr>
          <w:rFonts w:ascii="Segoe UI" w:hAnsi="Segoe UI" w:cs="Segoe UI"/>
          <w:b/>
          <w:bCs/>
          <w:szCs w:val="24"/>
        </w:rPr>
        <w:t>3</w:t>
      </w:r>
      <w:bookmarkEnd w:id="110"/>
      <w:r w:rsidR="7D8962F1" w:rsidRPr="00A23345">
        <w:rPr>
          <w:rFonts w:ascii="Segoe UI" w:hAnsi="Segoe UI" w:cs="Segoe UI"/>
          <w:b/>
          <w:bCs/>
          <w:szCs w:val="24"/>
        </w:rPr>
        <w:t>-</w:t>
      </w:r>
      <w:r w:rsidR="712A3B49" w:rsidRPr="00A23345">
        <w:rPr>
          <w:rFonts w:ascii="Segoe UI" w:hAnsi="Segoe UI" w:cs="Segoe UI"/>
          <w:b/>
          <w:bCs/>
          <w:szCs w:val="24"/>
        </w:rPr>
        <w:t>8</w:t>
      </w:r>
    </w:p>
    <w:tbl>
      <w:tblPr>
        <w:tblW w:w="9631" w:type="dxa"/>
        <w:jc w:val="center"/>
        <w:tblLook w:val="04A0" w:firstRow="1" w:lastRow="0" w:firstColumn="1" w:lastColumn="0" w:noHBand="0" w:noVBand="1"/>
      </w:tblPr>
      <w:tblGrid>
        <w:gridCol w:w="2605"/>
        <w:gridCol w:w="990"/>
        <w:gridCol w:w="900"/>
        <w:gridCol w:w="900"/>
        <w:gridCol w:w="900"/>
        <w:gridCol w:w="900"/>
        <w:gridCol w:w="996"/>
        <w:gridCol w:w="1440"/>
      </w:tblGrid>
      <w:tr w:rsidR="00CE3CA2" w:rsidRPr="00CF6436" w14:paraId="52DB6FEB" w14:textId="77777777" w:rsidTr="17CECF10">
        <w:trPr>
          <w:trHeight w:val="312"/>
          <w:tblHeader/>
          <w:jc w:val="center"/>
        </w:trPr>
        <w:tc>
          <w:tcPr>
            <w:tcW w:w="963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E830174" w14:textId="0646BCBE" w:rsidR="00CE3CA2" w:rsidRPr="00F65FC8" w:rsidRDefault="334D8DB4" w:rsidP="17CECF10">
            <w:pPr>
              <w:spacing w:line="240" w:lineRule="auto"/>
              <w:jc w:val="center"/>
              <w:rPr>
                <w:rFonts w:ascii="Segoe UI" w:eastAsia="Times New Roman" w:hAnsi="Segoe UI" w:cs="Segoe UI"/>
                <w:b/>
                <w:bCs/>
                <w:color w:val="000000"/>
                <w:sz w:val="22"/>
              </w:rPr>
            </w:pPr>
            <w:r w:rsidRPr="17CECF10">
              <w:rPr>
                <w:rFonts w:ascii="Segoe UI" w:hAnsi="Segoe UI" w:cs="Segoe UI"/>
                <w:b/>
                <w:bCs/>
                <w:color w:val="000000" w:themeColor="text1"/>
                <w:sz w:val="22"/>
              </w:rPr>
              <w:t>Patent Fee Transfers (Aggregate Fee Revenue) by Alternative</w:t>
            </w:r>
            <w:r w:rsidR="37019559" w:rsidRPr="17CECF10">
              <w:rPr>
                <w:rFonts w:ascii="Segoe UI" w:hAnsi="Segoe UI" w:cs="Segoe UI"/>
                <w:b/>
                <w:bCs/>
                <w:color w:val="000000" w:themeColor="text1"/>
                <w:sz w:val="22"/>
              </w:rPr>
              <w:t>—</w:t>
            </w:r>
            <w:r w:rsidRPr="17CECF10">
              <w:rPr>
                <w:rFonts w:ascii="Segoe UI" w:hAnsi="Segoe UI" w:cs="Segoe UI"/>
                <w:b/>
                <w:bCs/>
                <w:color w:val="000000" w:themeColor="text1"/>
                <w:sz w:val="22"/>
              </w:rPr>
              <w:t>7%</w:t>
            </w:r>
            <w:r w:rsidRPr="17CECF10">
              <w:rPr>
                <w:rFonts w:ascii="Segoe UI" w:hAnsi="Segoe UI" w:cs="Segoe UI"/>
                <w:b/>
                <w:bCs/>
                <w:i/>
                <w:iCs/>
                <w:color w:val="000000" w:themeColor="text1"/>
                <w:sz w:val="22"/>
              </w:rPr>
              <w:t xml:space="preserve"> Discount</w:t>
            </w:r>
            <w:r w:rsidR="535F7A8F">
              <w:br/>
            </w:r>
            <w:r w:rsidR="1B373501" w:rsidRPr="17CECF10">
              <w:rPr>
                <w:rFonts w:ascii="Segoe UI" w:hAnsi="Segoe UI" w:cs="Segoe UI"/>
                <w:b/>
                <w:bCs/>
                <w:color w:val="000000" w:themeColor="text1"/>
                <w:sz w:val="22"/>
              </w:rPr>
              <w:t>(</w:t>
            </w:r>
            <w:r w:rsidR="1D47D887" w:rsidRPr="17CECF10">
              <w:rPr>
                <w:rFonts w:ascii="Segoe UI" w:hAnsi="Segoe UI" w:cs="Segoe UI"/>
                <w:b/>
                <w:bCs/>
                <w:color w:val="000000" w:themeColor="text1"/>
                <w:sz w:val="22"/>
              </w:rPr>
              <w:t>c</w:t>
            </w:r>
            <w:r w:rsidR="1B373501" w:rsidRPr="17CECF10">
              <w:rPr>
                <w:rFonts w:ascii="Segoe UI" w:hAnsi="Segoe UI" w:cs="Segoe UI"/>
                <w:b/>
                <w:bCs/>
                <w:color w:val="000000" w:themeColor="text1"/>
                <w:sz w:val="22"/>
              </w:rPr>
              <w:t>onstant FY 20</w:t>
            </w:r>
            <w:r w:rsidR="0C0CCED6" w:rsidRPr="17CECF10">
              <w:rPr>
                <w:rFonts w:ascii="Segoe UI" w:hAnsi="Segoe UI" w:cs="Segoe UI"/>
                <w:b/>
                <w:bCs/>
                <w:color w:val="000000" w:themeColor="text1"/>
                <w:sz w:val="22"/>
              </w:rPr>
              <w:t>2</w:t>
            </w:r>
            <w:r w:rsidR="2A77738A" w:rsidRPr="17CECF10">
              <w:rPr>
                <w:rFonts w:ascii="Segoe UI" w:hAnsi="Segoe UI" w:cs="Segoe UI"/>
                <w:b/>
                <w:bCs/>
                <w:color w:val="000000" w:themeColor="text1"/>
                <w:sz w:val="22"/>
              </w:rPr>
              <w:t>4</w:t>
            </w:r>
            <w:r w:rsidR="1B373501" w:rsidRPr="17CECF10">
              <w:rPr>
                <w:rFonts w:ascii="Segoe UI" w:hAnsi="Segoe UI" w:cs="Segoe UI"/>
                <w:b/>
                <w:bCs/>
                <w:color w:val="000000" w:themeColor="text1"/>
                <w:sz w:val="22"/>
              </w:rPr>
              <w:t xml:space="preserve"> dollars in millions)</w:t>
            </w:r>
          </w:p>
        </w:tc>
      </w:tr>
      <w:tr w:rsidR="00004698" w:rsidRPr="00CF6436" w14:paraId="75B45AC8" w14:textId="77777777" w:rsidTr="17CECF10">
        <w:trPr>
          <w:trHeight w:val="936"/>
          <w:tblHeader/>
          <w:jc w:val="center"/>
        </w:trPr>
        <w:tc>
          <w:tcPr>
            <w:tcW w:w="2605" w:type="dxa"/>
            <w:tcBorders>
              <w:top w:val="nil"/>
              <w:left w:val="single" w:sz="4" w:space="0" w:color="auto"/>
              <w:bottom w:val="single" w:sz="4" w:space="0" w:color="auto"/>
              <w:right w:val="single" w:sz="4" w:space="0" w:color="auto"/>
            </w:tcBorders>
            <w:shd w:val="clear" w:color="auto" w:fill="auto"/>
            <w:noWrap/>
            <w:vAlign w:val="center"/>
          </w:tcPr>
          <w:p w14:paraId="47616DBA" w14:textId="77777777" w:rsidR="00004698" w:rsidRPr="00F65FC8" w:rsidRDefault="00004698" w:rsidP="17CECF10">
            <w:pPr>
              <w:spacing w:line="240" w:lineRule="auto"/>
              <w:rPr>
                <w:rFonts w:ascii="Segoe UI" w:eastAsia="Times New Roman" w:hAnsi="Segoe UI" w:cs="Segoe UI"/>
                <w:color w:val="000000"/>
                <w:sz w:val="22"/>
              </w:rPr>
            </w:pPr>
          </w:p>
        </w:tc>
        <w:tc>
          <w:tcPr>
            <w:tcW w:w="990" w:type="dxa"/>
            <w:tcBorders>
              <w:top w:val="nil"/>
              <w:left w:val="nil"/>
              <w:bottom w:val="single" w:sz="4" w:space="0" w:color="auto"/>
              <w:right w:val="single" w:sz="4" w:space="0" w:color="auto"/>
            </w:tcBorders>
            <w:shd w:val="clear" w:color="auto" w:fill="auto"/>
            <w:noWrap/>
            <w:vAlign w:val="center"/>
          </w:tcPr>
          <w:p w14:paraId="7FBB4CDC" w14:textId="7DC4B964" w:rsidR="00004698" w:rsidRPr="00F65FC8" w:rsidRDefault="00004698" w:rsidP="00F65FC8">
            <w:pPr>
              <w:spacing w:line="240" w:lineRule="auto"/>
              <w:jc w:val="center"/>
              <w:rPr>
                <w:rFonts w:ascii="Segoe UI" w:eastAsia="Times New Roman" w:hAnsi="Segoe UI" w:cs="Segoe UI"/>
                <w:b/>
                <w:bCs/>
                <w:color w:val="000000"/>
                <w:sz w:val="22"/>
              </w:rPr>
            </w:pPr>
            <w:r w:rsidRPr="00F65FC8">
              <w:rPr>
                <w:rFonts w:ascii="Segoe UI" w:eastAsia="Times New Roman" w:hAnsi="Segoe UI" w:cs="Segoe UI"/>
                <w:b/>
                <w:bCs/>
                <w:color w:val="000000"/>
                <w:sz w:val="22"/>
              </w:rPr>
              <w:t>FY 20</w:t>
            </w:r>
            <w:r w:rsidR="00226B5F" w:rsidRPr="00F65FC8">
              <w:rPr>
                <w:rFonts w:ascii="Segoe UI" w:eastAsia="Times New Roman" w:hAnsi="Segoe UI" w:cs="Segoe UI"/>
                <w:b/>
                <w:bCs/>
                <w:color w:val="000000"/>
                <w:sz w:val="22"/>
              </w:rPr>
              <w:t>2</w:t>
            </w:r>
            <w:r w:rsidR="0008433E" w:rsidRPr="00F65FC8">
              <w:rPr>
                <w:rFonts w:ascii="Segoe UI" w:eastAsia="Times New Roman" w:hAnsi="Segoe UI" w:cs="Segoe UI"/>
                <w:b/>
                <w:bCs/>
                <w:color w:val="000000"/>
                <w:sz w:val="22"/>
              </w:rPr>
              <w:t>5</w:t>
            </w:r>
          </w:p>
        </w:tc>
        <w:tc>
          <w:tcPr>
            <w:tcW w:w="900" w:type="dxa"/>
            <w:tcBorders>
              <w:top w:val="nil"/>
              <w:left w:val="nil"/>
              <w:bottom w:val="single" w:sz="4" w:space="0" w:color="auto"/>
              <w:right w:val="single" w:sz="4" w:space="0" w:color="auto"/>
            </w:tcBorders>
            <w:shd w:val="clear" w:color="auto" w:fill="auto"/>
            <w:noWrap/>
            <w:vAlign w:val="center"/>
          </w:tcPr>
          <w:p w14:paraId="4F80A163" w14:textId="1DE389FC" w:rsidR="00004698" w:rsidRPr="00F65FC8" w:rsidRDefault="00004698" w:rsidP="00F65FC8">
            <w:pPr>
              <w:spacing w:line="240" w:lineRule="auto"/>
              <w:jc w:val="center"/>
              <w:rPr>
                <w:rFonts w:ascii="Segoe UI" w:eastAsia="Times New Roman" w:hAnsi="Segoe UI" w:cs="Segoe UI"/>
                <w:b/>
                <w:bCs/>
                <w:color w:val="000000"/>
                <w:sz w:val="22"/>
              </w:rPr>
            </w:pPr>
            <w:r w:rsidRPr="00F65FC8">
              <w:rPr>
                <w:rFonts w:ascii="Segoe UI" w:eastAsia="Times New Roman" w:hAnsi="Segoe UI" w:cs="Segoe UI"/>
                <w:b/>
                <w:bCs/>
                <w:color w:val="000000"/>
                <w:sz w:val="22"/>
              </w:rPr>
              <w:t>FY 20</w:t>
            </w:r>
            <w:r w:rsidR="00226B5F" w:rsidRPr="00F65FC8">
              <w:rPr>
                <w:rFonts w:ascii="Segoe UI" w:eastAsia="Times New Roman" w:hAnsi="Segoe UI" w:cs="Segoe UI"/>
                <w:b/>
                <w:bCs/>
                <w:color w:val="000000"/>
                <w:sz w:val="22"/>
              </w:rPr>
              <w:t>2</w:t>
            </w:r>
            <w:r w:rsidR="0008433E" w:rsidRPr="00F65FC8">
              <w:rPr>
                <w:rFonts w:ascii="Segoe UI" w:eastAsia="Times New Roman" w:hAnsi="Segoe UI" w:cs="Segoe UI"/>
                <w:b/>
                <w:bCs/>
                <w:color w:val="000000"/>
                <w:sz w:val="22"/>
              </w:rPr>
              <w:t>6</w:t>
            </w:r>
          </w:p>
        </w:tc>
        <w:tc>
          <w:tcPr>
            <w:tcW w:w="900" w:type="dxa"/>
            <w:tcBorders>
              <w:top w:val="nil"/>
              <w:left w:val="nil"/>
              <w:bottom w:val="single" w:sz="4" w:space="0" w:color="auto"/>
              <w:right w:val="single" w:sz="4" w:space="0" w:color="auto"/>
            </w:tcBorders>
            <w:shd w:val="clear" w:color="auto" w:fill="auto"/>
            <w:noWrap/>
            <w:vAlign w:val="center"/>
          </w:tcPr>
          <w:p w14:paraId="14BC2A69" w14:textId="26C6ED9C" w:rsidR="00004698" w:rsidRPr="00F65FC8" w:rsidRDefault="00004698" w:rsidP="00F65FC8">
            <w:pPr>
              <w:spacing w:line="240" w:lineRule="auto"/>
              <w:jc w:val="center"/>
              <w:rPr>
                <w:rFonts w:ascii="Segoe UI" w:eastAsia="Times New Roman" w:hAnsi="Segoe UI" w:cs="Segoe UI"/>
                <w:b/>
                <w:bCs/>
                <w:color w:val="000000"/>
                <w:sz w:val="22"/>
              </w:rPr>
            </w:pPr>
            <w:r w:rsidRPr="00F65FC8">
              <w:rPr>
                <w:rFonts w:ascii="Segoe UI" w:eastAsia="Times New Roman" w:hAnsi="Segoe UI" w:cs="Segoe UI"/>
                <w:b/>
                <w:bCs/>
                <w:color w:val="000000"/>
                <w:sz w:val="22"/>
              </w:rPr>
              <w:t>FY 20</w:t>
            </w:r>
            <w:r w:rsidR="00226B5F" w:rsidRPr="00F65FC8">
              <w:rPr>
                <w:rFonts w:ascii="Segoe UI" w:eastAsia="Times New Roman" w:hAnsi="Segoe UI" w:cs="Segoe UI"/>
                <w:b/>
                <w:bCs/>
                <w:color w:val="000000"/>
                <w:sz w:val="22"/>
              </w:rPr>
              <w:t>2</w:t>
            </w:r>
            <w:r w:rsidR="0008433E" w:rsidRPr="00F65FC8">
              <w:rPr>
                <w:rFonts w:ascii="Segoe UI" w:eastAsia="Times New Roman" w:hAnsi="Segoe UI" w:cs="Segoe UI"/>
                <w:b/>
                <w:bCs/>
                <w:color w:val="000000"/>
                <w:sz w:val="22"/>
              </w:rPr>
              <w:t>7</w:t>
            </w:r>
          </w:p>
        </w:tc>
        <w:tc>
          <w:tcPr>
            <w:tcW w:w="900" w:type="dxa"/>
            <w:tcBorders>
              <w:top w:val="nil"/>
              <w:left w:val="nil"/>
              <w:bottom w:val="single" w:sz="4" w:space="0" w:color="auto"/>
              <w:right w:val="single" w:sz="4" w:space="0" w:color="auto"/>
            </w:tcBorders>
            <w:shd w:val="clear" w:color="auto" w:fill="auto"/>
            <w:noWrap/>
            <w:vAlign w:val="center"/>
          </w:tcPr>
          <w:p w14:paraId="11B3B0A6" w14:textId="773FFA97" w:rsidR="00004698" w:rsidRPr="00F65FC8" w:rsidRDefault="00004698" w:rsidP="00F65FC8">
            <w:pPr>
              <w:spacing w:line="240" w:lineRule="auto"/>
              <w:jc w:val="center"/>
              <w:rPr>
                <w:rFonts w:ascii="Segoe UI" w:eastAsia="Times New Roman" w:hAnsi="Segoe UI" w:cs="Segoe UI"/>
                <w:b/>
                <w:bCs/>
                <w:color w:val="000000"/>
                <w:sz w:val="22"/>
              </w:rPr>
            </w:pPr>
            <w:r w:rsidRPr="00F65FC8">
              <w:rPr>
                <w:rFonts w:ascii="Segoe UI" w:eastAsia="Times New Roman" w:hAnsi="Segoe UI" w:cs="Segoe UI"/>
                <w:b/>
                <w:bCs/>
                <w:color w:val="000000"/>
                <w:sz w:val="22"/>
              </w:rPr>
              <w:t>FY 202</w:t>
            </w:r>
            <w:r w:rsidR="0008433E" w:rsidRPr="00F65FC8">
              <w:rPr>
                <w:rFonts w:ascii="Segoe UI" w:eastAsia="Times New Roman" w:hAnsi="Segoe UI" w:cs="Segoe UI"/>
                <w:b/>
                <w:bCs/>
                <w:color w:val="000000"/>
                <w:sz w:val="22"/>
              </w:rPr>
              <w:t>8</w:t>
            </w:r>
          </w:p>
        </w:tc>
        <w:tc>
          <w:tcPr>
            <w:tcW w:w="900" w:type="dxa"/>
            <w:tcBorders>
              <w:top w:val="nil"/>
              <w:left w:val="nil"/>
              <w:bottom w:val="single" w:sz="4" w:space="0" w:color="auto"/>
              <w:right w:val="single" w:sz="4" w:space="0" w:color="auto"/>
            </w:tcBorders>
            <w:shd w:val="clear" w:color="auto" w:fill="auto"/>
            <w:noWrap/>
            <w:vAlign w:val="center"/>
          </w:tcPr>
          <w:p w14:paraId="358C941E" w14:textId="22CDE28B" w:rsidR="00004698" w:rsidRPr="00F65FC8" w:rsidRDefault="00004698" w:rsidP="00F65FC8">
            <w:pPr>
              <w:spacing w:line="240" w:lineRule="auto"/>
              <w:jc w:val="center"/>
              <w:rPr>
                <w:rFonts w:ascii="Segoe UI" w:eastAsia="Times New Roman" w:hAnsi="Segoe UI" w:cs="Segoe UI"/>
                <w:b/>
                <w:bCs/>
                <w:color w:val="000000"/>
                <w:sz w:val="22"/>
              </w:rPr>
            </w:pPr>
            <w:r w:rsidRPr="00F65FC8">
              <w:rPr>
                <w:rFonts w:ascii="Segoe UI" w:eastAsia="Times New Roman" w:hAnsi="Segoe UI" w:cs="Segoe UI"/>
                <w:b/>
                <w:bCs/>
                <w:color w:val="000000"/>
                <w:sz w:val="22"/>
              </w:rPr>
              <w:t>FY 202</w:t>
            </w:r>
            <w:r w:rsidR="0008433E" w:rsidRPr="00F65FC8">
              <w:rPr>
                <w:rFonts w:ascii="Segoe UI" w:eastAsia="Times New Roman" w:hAnsi="Segoe UI" w:cs="Segoe UI"/>
                <w:b/>
                <w:bCs/>
                <w:color w:val="000000"/>
                <w:sz w:val="22"/>
              </w:rPr>
              <w:t>9</w:t>
            </w:r>
          </w:p>
        </w:tc>
        <w:tc>
          <w:tcPr>
            <w:tcW w:w="996" w:type="dxa"/>
            <w:tcBorders>
              <w:top w:val="nil"/>
              <w:left w:val="nil"/>
              <w:bottom w:val="single" w:sz="4" w:space="0" w:color="auto"/>
              <w:right w:val="single" w:sz="4" w:space="0" w:color="auto"/>
            </w:tcBorders>
            <w:shd w:val="clear" w:color="auto" w:fill="auto"/>
            <w:vAlign w:val="center"/>
          </w:tcPr>
          <w:p w14:paraId="6D1B0522" w14:textId="159368EE" w:rsidR="00004698" w:rsidRPr="005861D0" w:rsidRDefault="472562F4" w:rsidP="00F65FC8">
            <w:pPr>
              <w:spacing w:line="240" w:lineRule="auto"/>
              <w:jc w:val="center"/>
              <w:rPr>
                <w:rFonts w:ascii="Segoe UI" w:eastAsia="Times New Roman" w:hAnsi="Segoe UI" w:cs="Segoe UI"/>
                <w:b/>
                <w:bCs/>
                <w:color w:val="000000"/>
                <w:sz w:val="22"/>
              </w:rPr>
            </w:pPr>
            <w:r w:rsidRPr="00F65FC8">
              <w:rPr>
                <w:rFonts w:ascii="Segoe UI" w:eastAsia="Times New Roman" w:hAnsi="Segoe UI" w:cs="Segoe UI"/>
                <w:b/>
                <w:bCs/>
                <w:color w:val="000000" w:themeColor="text1"/>
                <w:sz w:val="22"/>
              </w:rPr>
              <w:t>Total (</w:t>
            </w:r>
            <w:r w:rsidR="739C3A03" w:rsidRPr="3E055338">
              <w:rPr>
                <w:rFonts w:ascii="Segoe UI" w:eastAsia="Times New Roman" w:hAnsi="Segoe UI" w:cs="Segoe UI"/>
                <w:b/>
                <w:bCs/>
                <w:color w:val="000000" w:themeColor="text1"/>
                <w:sz w:val="22"/>
              </w:rPr>
              <w:t>n</w:t>
            </w:r>
            <w:r w:rsidRPr="00F65FC8">
              <w:rPr>
                <w:rFonts w:ascii="Segoe UI" w:eastAsia="Times New Roman" w:hAnsi="Segoe UI" w:cs="Segoe UI"/>
                <w:b/>
                <w:bCs/>
                <w:color w:val="000000" w:themeColor="text1"/>
                <w:sz w:val="22"/>
              </w:rPr>
              <w:t xml:space="preserve">et </w:t>
            </w:r>
            <w:r w:rsidR="7BC934D5" w:rsidRPr="3E055338">
              <w:rPr>
                <w:rFonts w:ascii="Segoe UI" w:eastAsia="Times New Roman" w:hAnsi="Segoe UI" w:cs="Segoe UI"/>
                <w:b/>
                <w:bCs/>
                <w:color w:val="000000" w:themeColor="text1"/>
                <w:sz w:val="22"/>
              </w:rPr>
              <w:t>p</w:t>
            </w:r>
            <w:r w:rsidRPr="00F65FC8">
              <w:rPr>
                <w:rFonts w:ascii="Segoe UI" w:eastAsia="Times New Roman" w:hAnsi="Segoe UI" w:cs="Segoe UI"/>
                <w:b/>
                <w:bCs/>
                <w:color w:val="000000" w:themeColor="text1"/>
                <w:sz w:val="22"/>
              </w:rPr>
              <w:t xml:space="preserve">resent </w:t>
            </w:r>
            <w:r w:rsidR="23A029FE" w:rsidRPr="3E055338">
              <w:rPr>
                <w:rFonts w:ascii="Segoe UI" w:eastAsia="Times New Roman" w:hAnsi="Segoe UI" w:cs="Segoe UI"/>
                <w:b/>
                <w:bCs/>
                <w:color w:val="000000" w:themeColor="text1"/>
                <w:sz w:val="22"/>
              </w:rPr>
              <w:t>v</w:t>
            </w:r>
            <w:r w:rsidRPr="00F65FC8">
              <w:rPr>
                <w:rFonts w:ascii="Segoe UI" w:eastAsia="Times New Roman" w:hAnsi="Segoe UI" w:cs="Segoe UI"/>
                <w:b/>
                <w:bCs/>
                <w:color w:val="000000" w:themeColor="text1"/>
                <w:sz w:val="22"/>
              </w:rPr>
              <w:t>alue)</w:t>
            </w:r>
          </w:p>
        </w:tc>
        <w:tc>
          <w:tcPr>
            <w:tcW w:w="1440" w:type="dxa"/>
            <w:tcBorders>
              <w:top w:val="nil"/>
              <w:left w:val="single" w:sz="4" w:space="0" w:color="auto"/>
              <w:bottom w:val="single" w:sz="4" w:space="0" w:color="auto"/>
              <w:right w:val="single" w:sz="4" w:space="0" w:color="auto"/>
            </w:tcBorders>
            <w:shd w:val="clear" w:color="auto" w:fill="auto"/>
            <w:vAlign w:val="center"/>
          </w:tcPr>
          <w:p w14:paraId="40A0D912" w14:textId="4638C653" w:rsidR="00004698" w:rsidRPr="005861D0" w:rsidRDefault="472562F4" w:rsidP="00F65FC8">
            <w:pPr>
              <w:spacing w:line="240" w:lineRule="auto"/>
              <w:jc w:val="center"/>
              <w:rPr>
                <w:rFonts w:ascii="Segoe UI" w:eastAsia="Times New Roman" w:hAnsi="Segoe UI" w:cs="Segoe UI"/>
                <w:b/>
                <w:bCs/>
                <w:color w:val="000000"/>
                <w:sz w:val="22"/>
              </w:rPr>
            </w:pPr>
            <w:r w:rsidRPr="00F65FC8">
              <w:rPr>
                <w:rFonts w:ascii="Segoe UI" w:eastAsia="Times New Roman" w:hAnsi="Segoe UI" w:cs="Segoe UI"/>
                <w:b/>
                <w:bCs/>
                <w:color w:val="000000" w:themeColor="text1"/>
                <w:sz w:val="22"/>
              </w:rPr>
              <w:t>Annualized</w:t>
            </w:r>
            <w:r w:rsidR="103B38C4" w:rsidRPr="00F65FC8">
              <w:rPr>
                <w:rFonts w:ascii="Segoe UI" w:eastAsia="Times New Roman" w:hAnsi="Segoe UI" w:cs="Segoe UI"/>
                <w:b/>
                <w:bCs/>
                <w:color w:val="000000" w:themeColor="text1"/>
                <w:sz w:val="22"/>
              </w:rPr>
              <w:t xml:space="preserve"> </w:t>
            </w:r>
            <w:r w:rsidRPr="00F65FC8">
              <w:rPr>
                <w:rFonts w:ascii="Segoe UI" w:eastAsia="Times New Roman" w:hAnsi="Segoe UI" w:cs="Segoe UI"/>
                <w:b/>
                <w:bCs/>
                <w:color w:val="000000" w:themeColor="text1"/>
                <w:sz w:val="22"/>
              </w:rPr>
              <w:t>(</w:t>
            </w:r>
            <w:r w:rsidR="18602E09" w:rsidRPr="3E055338">
              <w:rPr>
                <w:rFonts w:ascii="Segoe UI" w:eastAsia="Times New Roman" w:hAnsi="Segoe UI" w:cs="Segoe UI"/>
                <w:b/>
                <w:bCs/>
                <w:color w:val="000000" w:themeColor="text1"/>
                <w:sz w:val="22"/>
              </w:rPr>
              <w:t>n</w:t>
            </w:r>
            <w:r w:rsidRPr="00F65FC8">
              <w:rPr>
                <w:rFonts w:ascii="Segoe UI" w:eastAsia="Times New Roman" w:hAnsi="Segoe UI" w:cs="Segoe UI"/>
                <w:b/>
                <w:bCs/>
                <w:color w:val="000000" w:themeColor="text1"/>
                <w:sz w:val="22"/>
              </w:rPr>
              <w:t xml:space="preserve">et </w:t>
            </w:r>
            <w:r w:rsidR="5A59AD0C" w:rsidRPr="3E055338">
              <w:rPr>
                <w:rFonts w:ascii="Segoe UI" w:eastAsia="Times New Roman" w:hAnsi="Segoe UI" w:cs="Segoe UI"/>
                <w:b/>
                <w:bCs/>
                <w:color w:val="000000" w:themeColor="text1"/>
                <w:sz w:val="22"/>
              </w:rPr>
              <w:t>p</w:t>
            </w:r>
            <w:r w:rsidRPr="00F65FC8">
              <w:rPr>
                <w:rFonts w:ascii="Segoe UI" w:eastAsia="Times New Roman" w:hAnsi="Segoe UI" w:cs="Segoe UI"/>
                <w:b/>
                <w:bCs/>
                <w:color w:val="000000" w:themeColor="text1"/>
                <w:sz w:val="22"/>
              </w:rPr>
              <w:t xml:space="preserve">resent </w:t>
            </w:r>
            <w:r w:rsidR="3D297255" w:rsidRPr="3E055338">
              <w:rPr>
                <w:rFonts w:ascii="Segoe UI" w:eastAsia="Times New Roman" w:hAnsi="Segoe UI" w:cs="Segoe UI"/>
                <w:b/>
                <w:bCs/>
                <w:color w:val="000000" w:themeColor="text1"/>
                <w:sz w:val="22"/>
              </w:rPr>
              <w:t>v</w:t>
            </w:r>
            <w:r w:rsidRPr="00F65FC8">
              <w:rPr>
                <w:rFonts w:ascii="Segoe UI" w:eastAsia="Times New Roman" w:hAnsi="Segoe UI" w:cs="Segoe UI"/>
                <w:b/>
                <w:bCs/>
                <w:color w:val="000000" w:themeColor="text1"/>
                <w:sz w:val="22"/>
              </w:rPr>
              <w:t>alue)</w:t>
            </w:r>
          </w:p>
        </w:tc>
      </w:tr>
      <w:tr w:rsidR="00EE1CC2" w:rsidRPr="00CF6436" w14:paraId="547F890C" w14:textId="77777777" w:rsidTr="00A23345">
        <w:trPr>
          <w:trHeight w:val="312"/>
          <w:jc w:val="center"/>
        </w:trPr>
        <w:tc>
          <w:tcPr>
            <w:tcW w:w="2605" w:type="dxa"/>
            <w:tcBorders>
              <w:top w:val="nil"/>
              <w:left w:val="single" w:sz="4" w:space="0" w:color="auto"/>
              <w:bottom w:val="single" w:sz="4" w:space="0" w:color="auto"/>
              <w:right w:val="single" w:sz="4" w:space="0" w:color="auto"/>
            </w:tcBorders>
            <w:shd w:val="clear" w:color="auto" w:fill="D9D9D6"/>
            <w:vAlign w:val="center"/>
          </w:tcPr>
          <w:p w14:paraId="230BA34B" w14:textId="28529591" w:rsidR="00EE1CC2" w:rsidRPr="005861D0" w:rsidRDefault="00EE1CC2" w:rsidP="00EE1CC2">
            <w:pPr>
              <w:spacing w:line="240" w:lineRule="auto"/>
              <w:rPr>
                <w:rFonts w:ascii="Segoe UI" w:eastAsia="Times New Roman" w:hAnsi="Segoe UI" w:cs="Segoe UI"/>
                <w:b/>
                <w:bCs/>
                <w:color w:val="000000"/>
                <w:sz w:val="22"/>
              </w:rPr>
            </w:pPr>
            <w:r w:rsidRPr="293D3C50">
              <w:rPr>
                <w:rFonts w:ascii="Segoe UI" w:eastAsia="Times New Roman" w:hAnsi="Segoe UI" w:cs="Segoe UI"/>
                <w:b/>
                <w:bCs/>
                <w:color w:val="000000" w:themeColor="text1"/>
                <w:sz w:val="22"/>
              </w:rPr>
              <w:t xml:space="preserve">Baseline </w:t>
            </w:r>
            <w:r w:rsidRPr="293D3C50">
              <w:rPr>
                <w:rFonts w:ascii="Segoe UI" w:hAnsi="Segoe UI" w:cs="Segoe UI"/>
                <w:b/>
                <w:bCs/>
                <w:color w:val="000000" w:themeColor="text1"/>
                <w:sz w:val="22"/>
              </w:rPr>
              <w:t>(Alternative 4)—</w:t>
            </w:r>
            <w:r w:rsidRPr="293D3C50">
              <w:rPr>
                <w:rFonts w:ascii="Segoe UI" w:eastAsia="Times New Roman" w:hAnsi="Segoe UI" w:cs="Segoe UI"/>
                <w:b/>
                <w:bCs/>
                <w:color w:val="000000" w:themeColor="text1"/>
                <w:sz w:val="22"/>
              </w:rPr>
              <w:t>fee revenue</w:t>
            </w:r>
          </w:p>
        </w:tc>
        <w:tc>
          <w:tcPr>
            <w:tcW w:w="990" w:type="dxa"/>
            <w:tcBorders>
              <w:top w:val="single" w:sz="4" w:space="0" w:color="auto"/>
              <w:left w:val="single" w:sz="4" w:space="0" w:color="auto"/>
              <w:bottom w:val="single" w:sz="4" w:space="0" w:color="auto"/>
              <w:right w:val="single" w:sz="4" w:space="0" w:color="auto"/>
            </w:tcBorders>
            <w:shd w:val="clear" w:color="auto" w:fill="D9D9D6"/>
            <w:noWrap/>
            <w:vAlign w:val="center"/>
          </w:tcPr>
          <w:p w14:paraId="108438CF" w14:textId="0741BCDE" w:rsidR="00EE1CC2" w:rsidRPr="005861D0" w:rsidRDefault="00EE1CC2" w:rsidP="00EE1CC2">
            <w:pPr>
              <w:spacing w:line="240" w:lineRule="auto"/>
              <w:jc w:val="right"/>
              <w:rPr>
                <w:rFonts w:ascii="Segoe UI" w:eastAsia="Times New Roman" w:hAnsi="Segoe UI" w:cs="Segoe UI"/>
                <w:sz w:val="22"/>
                <w:highlight w:val="yellow"/>
              </w:rPr>
            </w:pPr>
            <w:r w:rsidRPr="00211D5B">
              <w:rPr>
                <w:rFonts w:ascii="Segoe UI" w:hAnsi="Segoe UI" w:cs="Segoe UI"/>
                <w:sz w:val="22"/>
              </w:rPr>
              <w:t>$3,355</w:t>
            </w:r>
          </w:p>
        </w:tc>
        <w:tc>
          <w:tcPr>
            <w:tcW w:w="900" w:type="dxa"/>
            <w:tcBorders>
              <w:top w:val="single" w:sz="4" w:space="0" w:color="auto"/>
              <w:left w:val="nil"/>
              <w:bottom w:val="single" w:sz="4" w:space="0" w:color="auto"/>
              <w:right w:val="single" w:sz="4" w:space="0" w:color="auto"/>
            </w:tcBorders>
            <w:shd w:val="clear" w:color="auto" w:fill="D9D9D6"/>
            <w:noWrap/>
            <w:vAlign w:val="center"/>
          </w:tcPr>
          <w:p w14:paraId="3B841865" w14:textId="7FF7574D" w:rsidR="00EE1CC2" w:rsidRPr="005861D0" w:rsidRDefault="00EE1CC2" w:rsidP="00EE1CC2">
            <w:pPr>
              <w:spacing w:line="240" w:lineRule="auto"/>
              <w:jc w:val="right"/>
              <w:rPr>
                <w:rFonts w:ascii="Segoe UI" w:eastAsia="Times New Roman" w:hAnsi="Segoe UI" w:cs="Segoe UI"/>
                <w:sz w:val="22"/>
                <w:highlight w:val="yellow"/>
              </w:rPr>
            </w:pPr>
            <w:r w:rsidRPr="00211D5B">
              <w:rPr>
                <w:rFonts w:ascii="Segoe UI" w:hAnsi="Segoe UI" w:cs="Segoe UI"/>
                <w:sz w:val="22"/>
              </w:rPr>
              <w:t>$3,113</w:t>
            </w:r>
          </w:p>
        </w:tc>
        <w:tc>
          <w:tcPr>
            <w:tcW w:w="900" w:type="dxa"/>
            <w:tcBorders>
              <w:top w:val="single" w:sz="4" w:space="0" w:color="auto"/>
              <w:left w:val="nil"/>
              <w:bottom w:val="single" w:sz="4" w:space="0" w:color="auto"/>
              <w:right w:val="single" w:sz="4" w:space="0" w:color="auto"/>
            </w:tcBorders>
            <w:shd w:val="clear" w:color="auto" w:fill="D9D9D6"/>
            <w:noWrap/>
            <w:vAlign w:val="center"/>
          </w:tcPr>
          <w:p w14:paraId="55A8A133" w14:textId="4EDD3030" w:rsidR="00EE1CC2" w:rsidRPr="005861D0" w:rsidRDefault="00EE1CC2" w:rsidP="00EE1CC2">
            <w:pPr>
              <w:spacing w:line="240" w:lineRule="auto"/>
              <w:jc w:val="right"/>
              <w:rPr>
                <w:rFonts w:ascii="Segoe UI" w:eastAsia="Times New Roman" w:hAnsi="Segoe UI" w:cs="Segoe UI"/>
                <w:sz w:val="22"/>
                <w:highlight w:val="yellow"/>
              </w:rPr>
            </w:pPr>
            <w:r w:rsidRPr="00211D5B">
              <w:rPr>
                <w:rFonts w:ascii="Segoe UI" w:hAnsi="Segoe UI" w:cs="Segoe UI"/>
                <w:sz w:val="22"/>
              </w:rPr>
              <w:t>$2,800</w:t>
            </w:r>
          </w:p>
        </w:tc>
        <w:tc>
          <w:tcPr>
            <w:tcW w:w="900" w:type="dxa"/>
            <w:tcBorders>
              <w:top w:val="single" w:sz="4" w:space="0" w:color="auto"/>
              <w:left w:val="nil"/>
              <w:bottom w:val="single" w:sz="4" w:space="0" w:color="auto"/>
              <w:right w:val="single" w:sz="4" w:space="0" w:color="auto"/>
            </w:tcBorders>
            <w:shd w:val="clear" w:color="auto" w:fill="D9D9D6"/>
            <w:noWrap/>
            <w:vAlign w:val="center"/>
          </w:tcPr>
          <w:p w14:paraId="413CF872" w14:textId="168E8E29" w:rsidR="00EE1CC2" w:rsidRPr="005861D0" w:rsidRDefault="00EE1CC2" w:rsidP="00EE1CC2">
            <w:pPr>
              <w:spacing w:line="240" w:lineRule="auto"/>
              <w:jc w:val="right"/>
              <w:rPr>
                <w:rFonts w:ascii="Segoe UI" w:eastAsia="Times New Roman" w:hAnsi="Segoe UI" w:cs="Segoe UI"/>
                <w:sz w:val="22"/>
                <w:highlight w:val="yellow"/>
              </w:rPr>
            </w:pPr>
            <w:r w:rsidRPr="00211D5B">
              <w:rPr>
                <w:rFonts w:ascii="Segoe UI" w:hAnsi="Segoe UI" w:cs="Segoe UI"/>
                <w:sz w:val="22"/>
              </w:rPr>
              <w:t>$2,385</w:t>
            </w:r>
          </w:p>
        </w:tc>
        <w:tc>
          <w:tcPr>
            <w:tcW w:w="900" w:type="dxa"/>
            <w:tcBorders>
              <w:top w:val="single" w:sz="4" w:space="0" w:color="auto"/>
              <w:left w:val="nil"/>
              <w:bottom w:val="single" w:sz="4" w:space="0" w:color="auto"/>
              <w:right w:val="single" w:sz="4" w:space="0" w:color="auto"/>
            </w:tcBorders>
            <w:shd w:val="clear" w:color="auto" w:fill="D9D9D6"/>
            <w:noWrap/>
            <w:vAlign w:val="center"/>
          </w:tcPr>
          <w:p w14:paraId="5B13FBDD" w14:textId="75F083DF" w:rsidR="00EE1CC2" w:rsidRPr="005861D0" w:rsidRDefault="00EE1CC2" w:rsidP="00EE1CC2">
            <w:pPr>
              <w:spacing w:line="240" w:lineRule="auto"/>
              <w:jc w:val="right"/>
              <w:rPr>
                <w:rFonts w:ascii="Segoe UI" w:eastAsia="Times New Roman" w:hAnsi="Segoe UI" w:cs="Segoe UI"/>
                <w:sz w:val="22"/>
                <w:highlight w:val="yellow"/>
              </w:rPr>
            </w:pPr>
            <w:r w:rsidRPr="00211D5B">
              <w:rPr>
                <w:rFonts w:ascii="Segoe UI" w:hAnsi="Segoe UI" w:cs="Segoe UI"/>
                <w:sz w:val="22"/>
              </w:rPr>
              <w:t>$2,007</w:t>
            </w:r>
          </w:p>
        </w:tc>
        <w:tc>
          <w:tcPr>
            <w:tcW w:w="996" w:type="dxa"/>
            <w:tcBorders>
              <w:top w:val="single" w:sz="4" w:space="0" w:color="auto"/>
              <w:left w:val="nil"/>
              <w:bottom w:val="single" w:sz="4" w:space="0" w:color="auto"/>
              <w:right w:val="single" w:sz="4" w:space="0" w:color="auto"/>
            </w:tcBorders>
            <w:shd w:val="clear" w:color="auto" w:fill="D9D9D6"/>
            <w:noWrap/>
            <w:vAlign w:val="center"/>
          </w:tcPr>
          <w:p w14:paraId="28B22DF2" w14:textId="26FFFF12" w:rsidR="00EE1CC2" w:rsidRPr="005861D0" w:rsidRDefault="00EE1CC2" w:rsidP="00EE1CC2">
            <w:pPr>
              <w:spacing w:line="240" w:lineRule="auto"/>
              <w:jc w:val="right"/>
              <w:rPr>
                <w:rFonts w:ascii="Segoe UI" w:eastAsia="Times New Roman" w:hAnsi="Segoe UI" w:cs="Segoe UI"/>
                <w:sz w:val="22"/>
                <w:highlight w:val="yellow"/>
              </w:rPr>
            </w:pPr>
            <w:r w:rsidRPr="00211D5B">
              <w:rPr>
                <w:rFonts w:ascii="Segoe UI" w:hAnsi="Segoe UI" w:cs="Segoe UI"/>
                <w:sz w:val="22"/>
              </w:rPr>
              <w:t>$13,660</w:t>
            </w:r>
          </w:p>
        </w:tc>
        <w:tc>
          <w:tcPr>
            <w:tcW w:w="1440" w:type="dxa"/>
            <w:tcBorders>
              <w:top w:val="single" w:sz="4" w:space="0" w:color="auto"/>
              <w:left w:val="single" w:sz="4" w:space="0" w:color="auto"/>
              <w:bottom w:val="single" w:sz="4" w:space="0" w:color="auto"/>
              <w:right w:val="single" w:sz="4" w:space="0" w:color="auto"/>
            </w:tcBorders>
            <w:shd w:val="clear" w:color="auto" w:fill="D9D9D6"/>
            <w:noWrap/>
            <w:vAlign w:val="center"/>
          </w:tcPr>
          <w:p w14:paraId="56995C87" w14:textId="45E90F29" w:rsidR="00EE1CC2" w:rsidRPr="005861D0" w:rsidRDefault="00EE1CC2" w:rsidP="00EE1CC2">
            <w:pPr>
              <w:spacing w:line="240" w:lineRule="auto"/>
              <w:jc w:val="right"/>
              <w:rPr>
                <w:rFonts w:ascii="Segoe UI" w:eastAsia="Times New Roman" w:hAnsi="Segoe UI" w:cs="Segoe UI"/>
                <w:sz w:val="22"/>
                <w:highlight w:val="yellow"/>
              </w:rPr>
            </w:pPr>
            <w:r w:rsidRPr="00211D5B">
              <w:rPr>
                <w:rFonts w:ascii="Segoe UI" w:hAnsi="Segoe UI" w:cs="Segoe UI"/>
                <w:sz w:val="22"/>
              </w:rPr>
              <w:t>$3,332</w:t>
            </w:r>
          </w:p>
        </w:tc>
      </w:tr>
      <w:tr w:rsidR="0061637C" w:rsidRPr="00CF6436" w14:paraId="720492CA" w14:textId="77777777" w:rsidTr="00B64020">
        <w:trPr>
          <w:trHeight w:val="936"/>
          <w:jc w:val="center"/>
        </w:trPr>
        <w:tc>
          <w:tcPr>
            <w:tcW w:w="2605" w:type="dxa"/>
            <w:tcBorders>
              <w:top w:val="nil"/>
              <w:left w:val="single" w:sz="4" w:space="0" w:color="auto"/>
              <w:bottom w:val="single" w:sz="4" w:space="0" w:color="auto"/>
              <w:right w:val="single" w:sz="4" w:space="0" w:color="auto"/>
            </w:tcBorders>
            <w:shd w:val="clear" w:color="auto" w:fill="auto"/>
            <w:vAlign w:val="center"/>
          </w:tcPr>
          <w:p w14:paraId="3BB981AD" w14:textId="546CE8CD" w:rsidR="0061637C" w:rsidRPr="005861D0" w:rsidRDefault="0061637C" w:rsidP="0061637C">
            <w:pPr>
              <w:spacing w:line="240" w:lineRule="auto"/>
              <w:rPr>
                <w:rFonts w:ascii="Segoe UI" w:eastAsia="Times New Roman" w:hAnsi="Segoe UI" w:cs="Segoe UI"/>
                <w:b/>
                <w:bCs/>
                <w:color w:val="000000"/>
                <w:sz w:val="22"/>
              </w:rPr>
            </w:pPr>
            <w:r w:rsidRPr="293D3C50">
              <w:rPr>
                <w:rFonts w:ascii="Segoe UI" w:eastAsia="Times New Roman" w:hAnsi="Segoe UI" w:cs="Segoe UI"/>
                <w:b/>
                <w:bCs/>
                <w:color w:val="000000" w:themeColor="text1"/>
                <w:sz w:val="22"/>
              </w:rPr>
              <w:t xml:space="preserve">Alternative 1: </w:t>
            </w:r>
            <w:r>
              <w:rPr>
                <w:rFonts w:ascii="Segoe UI" w:eastAsia="Times New Roman" w:hAnsi="Segoe UI" w:cs="Segoe UI"/>
                <w:b/>
                <w:bCs/>
                <w:color w:val="000000" w:themeColor="text1"/>
                <w:sz w:val="22"/>
              </w:rPr>
              <w:t>Final</w:t>
            </w:r>
            <w:r w:rsidRPr="293D3C50">
              <w:rPr>
                <w:rFonts w:ascii="Segoe UI" w:eastAsia="Times New Roman" w:hAnsi="Segoe UI" w:cs="Segoe UI"/>
                <w:b/>
                <w:bCs/>
                <w:color w:val="000000" w:themeColor="text1"/>
                <w:sz w:val="22"/>
              </w:rPr>
              <w:t xml:space="preserve"> Patent Fee Schedule</w:t>
            </w:r>
            <w:r w:rsidRPr="293D3C50">
              <w:rPr>
                <w:rFonts w:ascii="Segoe UI" w:hAnsi="Segoe UI" w:cs="Segoe UI"/>
                <w:b/>
                <w:bCs/>
                <w:color w:val="000000" w:themeColor="text1"/>
                <w:sz w:val="22"/>
              </w:rPr>
              <w:t>—</w:t>
            </w:r>
            <w:r w:rsidRPr="293D3C50">
              <w:rPr>
                <w:rFonts w:ascii="Segoe UI" w:eastAsia="Times New Roman" w:hAnsi="Segoe UI" w:cs="Segoe UI"/>
                <w:b/>
                <w:bCs/>
                <w:color w:val="000000" w:themeColor="text1"/>
                <w:sz w:val="22"/>
              </w:rPr>
              <w:t>fee revenue</w:t>
            </w:r>
          </w:p>
        </w:tc>
        <w:tc>
          <w:tcPr>
            <w:tcW w:w="990" w:type="dxa"/>
            <w:tcBorders>
              <w:top w:val="nil"/>
              <w:left w:val="single" w:sz="4" w:space="0" w:color="auto"/>
              <w:bottom w:val="single" w:sz="4" w:space="0" w:color="auto"/>
              <w:right w:val="single" w:sz="4" w:space="0" w:color="auto"/>
            </w:tcBorders>
            <w:shd w:val="clear" w:color="auto" w:fill="auto"/>
            <w:noWrap/>
            <w:vAlign w:val="center"/>
          </w:tcPr>
          <w:p w14:paraId="56B0AE66" w14:textId="0D8B9B4F" w:rsidR="0061637C" w:rsidRPr="0061637C" w:rsidRDefault="0061637C" w:rsidP="0061637C">
            <w:pPr>
              <w:spacing w:line="240" w:lineRule="auto"/>
              <w:jc w:val="right"/>
              <w:rPr>
                <w:rFonts w:ascii="Segoe UI" w:eastAsia="Times New Roman" w:hAnsi="Segoe UI" w:cs="Segoe UI"/>
                <w:sz w:val="22"/>
                <w:highlight w:val="yellow"/>
              </w:rPr>
            </w:pPr>
            <w:r w:rsidRPr="00B64020">
              <w:rPr>
                <w:rFonts w:ascii="Segoe UI" w:hAnsi="Segoe UI" w:cs="Segoe UI"/>
                <w:sz w:val="22"/>
              </w:rPr>
              <w:t>$3,622</w:t>
            </w:r>
          </w:p>
        </w:tc>
        <w:tc>
          <w:tcPr>
            <w:tcW w:w="900" w:type="dxa"/>
            <w:tcBorders>
              <w:top w:val="nil"/>
              <w:left w:val="nil"/>
              <w:bottom w:val="single" w:sz="4" w:space="0" w:color="auto"/>
              <w:right w:val="single" w:sz="4" w:space="0" w:color="auto"/>
            </w:tcBorders>
            <w:shd w:val="clear" w:color="auto" w:fill="auto"/>
            <w:noWrap/>
            <w:vAlign w:val="center"/>
          </w:tcPr>
          <w:p w14:paraId="531F761D" w14:textId="3FD1D25B" w:rsidR="0061637C" w:rsidRPr="0061637C" w:rsidRDefault="0061637C" w:rsidP="0061637C">
            <w:pPr>
              <w:spacing w:line="240" w:lineRule="auto"/>
              <w:jc w:val="right"/>
              <w:rPr>
                <w:rFonts w:ascii="Segoe UI" w:eastAsia="Times New Roman" w:hAnsi="Segoe UI" w:cs="Segoe UI"/>
                <w:sz w:val="22"/>
                <w:highlight w:val="yellow"/>
              </w:rPr>
            </w:pPr>
            <w:r w:rsidRPr="00B64020">
              <w:rPr>
                <w:rFonts w:ascii="Segoe UI" w:hAnsi="Segoe UI" w:cs="Segoe UI"/>
                <w:sz w:val="22"/>
              </w:rPr>
              <w:t>$3,469</w:t>
            </w:r>
          </w:p>
        </w:tc>
        <w:tc>
          <w:tcPr>
            <w:tcW w:w="900" w:type="dxa"/>
            <w:tcBorders>
              <w:top w:val="nil"/>
              <w:left w:val="nil"/>
              <w:bottom w:val="single" w:sz="4" w:space="0" w:color="auto"/>
              <w:right w:val="single" w:sz="4" w:space="0" w:color="auto"/>
            </w:tcBorders>
            <w:shd w:val="clear" w:color="auto" w:fill="auto"/>
            <w:noWrap/>
            <w:vAlign w:val="center"/>
          </w:tcPr>
          <w:p w14:paraId="7903286C" w14:textId="6F7FD0C9" w:rsidR="0061637C" w:rsidRPr="0061637C" w:rsidRDefault="0061637C" w:rsidP="0061637C">
            <w:pPr>
              <w:spacing w:line="240" w:lineRule="auto"/>
              <w:jc w:val="right"/>
              <w:rPr>
                <w:rFonts w:ascii="Segoe UI" w:eastAsia="Times New Roman" w:hAnsi="Segoe UI" w:cs="Segoe UI"/>
                <w:sz w:val="22"/>
                <w:highlight w:val="yellow"/>
              </w:rPr>
            </w:pPr>
            <w:r w:rsidRPr="00B64020">
              <w:rPr>
                <w:rFonts w:ascii="Segoe UI" w:hAnsi="Segoe UI" w:cs="Segoe UI"/>
                <w:sz w:val="22"/>
              </w:rPr>
              <w:t>$3,118</w:t>
            </w:r>
          </w:p>
        </w:tc>
        <w:tc>
          <w:tcPr>
            <w:tcW w:w="900" w:type="dxa"/>
            <w:tcBorders>
              <w:top w:val="nil"/>
              <w:left w:val="nil"/>
              <w:bottom w:val="single" w:sz="4" w:space="0" w:color="auto"/>
              <w:right w:val="single" w:sz="4" w:space="0" w:color="auto"/>
            </w:tcBorders>
            <w:shd w:val="clear" w:color="auto" w:fill="auto"/>
            <w:noWrap/>
            <w:vAlign w:val="center"/>
          </w:tcPr>
          <w:p w14:paraId="0932BB09" w14:textId="1579A629" w:rsidR="0061637C" w:rsidRPr="0061637C" w:rsidRDefault="0061637C" w:rsidP="0061637C">
            <w:pPr>
              <w:spacing w:line="240" w:lineRule="auto"/>
              <w:jc w:val="right"/>
              <w:rPr>
                <w:rFonts w:ascii="Segoe UI" w:eastAsia="Times New Roman" w:hAnsi="Segoe UI" w:cs="Segoe UI"/>
                <w:sz w:val="22"/>
                <w:highlight w:val="yellow"/>
              </w:rPr>
            </w:pPr>
            <w:r w:rsidRPr="00B64020">
              <w:rPr>
                <w:rFonts w:ascii="Segoe UI" w:hAnsi="Segoe UI" w:cs="Segoe UI"/>
                <w:sz w:val="22"/>
              </w:rPr>
              <w:t>$2,656</w:t>
            </w:r>
          </w:p>
        </w:tc>
        <w:tc>
          <w:tcPr>
            <w:tcW w:w="900" w:type="dxa"/>
            <w:tcBorders>
              <w:top w:val="nil"/>
              <w:left w:val="nil"/>
              <w:bottom w:val="single" w:sz="4" w:space="0" w:color="auto"/>
              <w:right w:val="single" w:sz="4" w:space="0" w:color="auto"/>
            </w:tcBorders>
            <w:shd w:val="clear" w:color="auto" w:fill="auto"/>
            <w:noWrap/>
            <w:vAlign w:val="center"/>
          </w:tcPr>
          <w:p w14:paraId="7A3E0F39" w14:textId="76E81F2D" w:rsidR="0061637C" w:rsidRPr="0061637C" w:rsidRDefault="0061637C" w:rsidP="0061637C">
            <w:pPr>
              <w:spacing w:line="240" w:lineRule="auto"/>
              <w:jc w:val="right"/>
              <w:rPr>
                <w:rFonts w:ascii="Segoe UI" w:eastAsia="Times New Roman" w:hAnsi="Segoe UI" w:cs="Segoe UI"/>
                <w:sz w:val="22"/>
                <w:highlight w:val="yellow"/>
              </w:rPr>
            </w:pPr>
            <w:r w:rsidRPr="00B64020">
              <w:rPr>
                <w:rFonts w:ascii="Segoe UI" w:hAnsi="Segoe UI" w:cs="Segoe UI"/>
                <w:sz w:val="22"/>
              </w:rPr>
              <w:t>$2,236</w:t>
            </w:r>
          </w:p>
        </w:tc>
        <w:tc>
          <w:tcPr>
            <w:tcW w:w="996" w:type="dxa"/>
            <w:tcBorders>
              <w:top w:val="nil"/>
              <w:left w:val="nil"/>
              <w:bottom w:val="single" w:sz="4" w:space="0" w:color="auto"/>
              <w:right w:val="single" w:sz="4" w:space="0" w:color="auto"/>
            </w:tcBorders>
            <w:shd w:val="clear" w:color="auto" w:fill="auto"/>
            <w:noWrap/>
            <w:vAlign w:val="center"/>
          </w:tcPr>
          <w:p w14:paraId="39DAFE6F" w14:textId="4200E899" w:rsidR="0061637C" w:rsidRPr="0061637C" w:rsidRDefault="0061637C" w:rsidP="0061637C">
            <w:pPr>
              <w:spacing w:line="240" w:lineRule="auto"/>
              <w:jc w:val="right"/>
              <w:rPr>
                <w:rFonts w:ascii="Segoe UI" w:eastAsia="Times New Roman" w:hAnsi="Segoe UI" w:cs="Segoe UI"/>
                <w:sz w:val="22"/>
                <w:highlight w:val="yellow"/>
              </w:rPr>
            </w:pPr>
            <w:r w:rsidRPr="00B64020">
              <w:rPr>
                <w:rFonts w:ascii="Segoe UI" w:hAnsi="Segoe UI" w:cs="Segoe UI"/>
                <w:sz w:val="22"/>
              </w:rPr>
              <w:t>$15,101</w:t>
            </w:r>
          </w:p>
        </w:tc>
        <w:tc>
          <w:tcPr>
            <w:tcW w:w="1440" w:type="dxa"/>
            <w:tcBorders>
              <w:top w:val="nil"/>
              <w:left w:val="single" w:sz="4" w:space="0" w:color="auto"/>
              <w:bottom w:val="single" w:sz="4" w:space="0" w:color="auto"/>
              <w:right w:val="single" w:sz="4" w:space="0" w:color="auto"/>
            </w:tcBorders>
            <w:shd w:val="clear" w:color="auto" w:fill="auto"/>
            <w:noWrap/>
            <w:vAlign w:val="center"/>
          </w:tcPr>
          <w:p w14:paraId="215FC490" w14:textId="37E81B1C" w:rsidR="0061637C" w:rsidRPr="0061637C" w:rsidRDefault="0061637C" w:rsidP="0061637C">
            <w:pPr>
              <w:spacing w:line="240" w:lineRule="auto"/>
              <w:jc w:val="right"/>
              <w:rPr>
                <w:rFonts w:ascii="Segoe UI" w:eastAsia="Times New Roman" w:hAnsi="Segoe UI" w:cs="Segoe UI"/>
                <w:sz w:val="22"/>
                <w:highlight w:val="yellow"/>
              </w:rPr>
            </w:pPr>
            <w:r w:rsidRPr="00B64020">
              <w:rPr>
                <w:rFonts w:ascii="Segoe UI" w:hAnsi="Segoe UI" w:cs="Segoe UI"/>
                <w:sz w:val="22"/>
              </w:rPr>
              <w:t>$3,683</w:t>
            </w:r>
          </w:p>
        </w:tc>
      </w:tr>
      <w:tr w:rsidR="0061637C" w:rsidRPr="00CF6436" w14:paraId="60E90312" w14:textId="77777777" w:rsidTr="00B64020">
        <w:trPr>
          <w:trHeight w:val="624"/>
          <w:jc w:val="center"/>
        </w:trPr>
        <w:tc>
          <w:tcPr>
            <w:tcW w:w="2605" w:type="dxa"/>
            <w:tcBorders>
              <w:top w:val="nil"/>
              <w:left w:val="single" w:sz="4" w:space="0" w:color="auto"/>
              <w:bottom w:val="single" w:sz="4" w:space="0" w:color="auto"/>
              <w:right w:val="single" w:sz="4" w:space="0" w:color="auto"/>
            </w:tcBorders>
            <w:shd w:val="clear" w:color="auto" w:fill="D9D9D6"/>
            <w:vAlign w:val="center"/>
          </w:tcPr>
          <w:p w14:paraId="34803E5A" w14:textId="312BF457" w:rsidR="0061637C" w:rsidRPr="005861D0" w:rsidRDefault="0061637C" w:rsidP="0061637C">
            <w:pPr>
              <w:spacing w:line="240" w:lineRule="auto"/>
              <w:ind w:firstLineChars="200" w:firstLine="440"/>
              <w:jc w:val="right"/>
              <w:rPr>
                <w:rFonts w:ascii="Segoe UI" w:eastAsia="Times New Roman" w:hAnsi="Segoe UI" w:cs="Segoe UI"/>
                <w:i/>
                <w:iCs/>
                <w:color w:val="000000"/>
                <w:sz w:val="22"/>
              </w:rPr>
            </w:pPr>
            <w:r w:rsidRPr="00F65FC8">
              <w:rPr>
                <w:rFonts w:ascii="Segoe UI" w:eastAsia="Times New Roman" w:hAnsi="Segoe UI" w:cs="Segoe UI"/>
                <w:i/>
                <w:iCs/>
                <w:color w:val="000000" w:themeColor="text1"/>
                <w:sz w:val="22"/>
              </w:rPr>
              <w:t xml:space="preserve">Transfer </w:t>
            </w:r>
            <w:r w:rsidRPr="3E055338">
              <w:rPr>
                <w:rFonts w:ascii="Segoe UI" w:eastAsia="Times New Roman" w:hAnsi="Segoe UI" w:cs="Segoe UI"/>
                <w:i/>
                <w:iCs/>
                <w:color w:val="000000" w:themeColor="text1"/>
                <w:sz w:val="22"/>
              </w:rPr>
              <w:t>a</w:t>
            </w:r>
            <w:r w:rsidRPr="00F65FC8">
              <w:rPr>
                <w:rFonts w:ascii="Segoe UI" w:eastAsia="Times New Roman" w:hAnsi="Segoe UI" w:cs="Segoe UI"/>
                <w:i/>
                <w:iCs/>
                <w:color w:val="000000" w:themeColor="text1"/>
                <w:sz w:val="22"/>
              </w:rPr>
              <w:t>mount from Baseline for Alternative 1</w:t>
            </w:r>
          </w:p>
        </w:tc>
        <w:tc>
          <w:tcPr>
            <w:tcW w:w="990" w:type="dxa"/>
            <w:tcBorders>
              <w:top w:val="nil"/>
              <w:left w:val="single" w:sz="4" w:space="0" w:color="auto"/>
              <w:bottom w:val="single" w:sz="4" w:space="0" w:color="auto"/>
              <w:right w:val="single" w:sz="4" w:space="0" w:color="auto"/>
            </w:tcBorders>
            <w:shd w:val="clear" w:color="auto" w:fill="D9D9D6"/>
            <w:noWrap/>
            <w:vAlign w:val="center"/>
          </w:tcPr>
          <w:p w14:paraId="36E4DCFC" w14:textId="5E64DFBB" w:rsidR="0061637C" w:rsidRPr="0061637C" w:rsidRDefault="0061637C" w:rsidP="0061637C">
            <w:pPr>
              <w:spacing w:line="240" w:lineRule="auto"/>
              <w:jc w:val="right"/>
              <w:rPr>
                <w:rFonts w:ascii="Segoe UI" w:eastAsia="Times New Roman" w:hAnsi="Segoe UI" w:cs="Segoe UI"/>
                <w:i/>
                <w:iCs/>
                <w:sz w:val="22"/>
                <w:highlight w:val="yellow"/>
              </w:rPr>
            </w:pPr>
            <w:r w:rsidRPr="00B64020">
              <w:rPr>
                <w:rFonts w:ascii="Segoe UI" w:hAnsi="Segoe UI" w:cs="Segoe UI"/>
                <w:sz w:val="22"/>
              </w:rPr>
              <w:t>$267</w:t>
            </w:r>
          </w:p>
        </w:tc>
        <w:tc>
          <w:tcPr>
            <w:tcW w:w="900" w:type="dxa"/>
            <w:tcBorders>
              <w:top w:val="nil"/>
              <w:left w:val="nil"/>
              <w:bottom w:val="single" w:sz="4" w:space="0" w:color="auto"/>
              <w:right w:val="single" w:sz="4" w:space="0" w:color="auto"/>
            </w:tcBorders>
            <w:shd w:val="clear" w:color="auto" w:fill="D9D9D6"/>
            <w:noWrap/>
            <w:vAlign w:val="center"/>
          </w:tcPr>
          <w:p w14:paraId="04FE84AB" w14:textId="5EE7EB9D" w:rsidR="0061637C" w:rsidRPr="0061637C" w:rsidRDefault="0061637C" w:rsidP="0061637C">
            <w:pPr>
              <w:spacing w:line="240" w:lineRule="auto"/>
              <w:jc w:val="right"/>
              <w:rPr>
                <w:rFonts w:ascii="Segoe UI" w:eastAsia="Times New Roman" w:hAnsi="Segoe UI" w:cs="Segoe UI"/>
                <w:i/>
                <w:iCs/>
                <w:sz w:val="22"/>
                <w:highlight w:val="yellow"/>
              </w:rPr>
            </w:pPr>
            <w:r w:rsidRPr="00B64020">
              <w:rPr>
                <w:rFonts w:ascii="Segoe UI" w:hAnsi="Segoe UI" w:cs="Segoe UI"/>
                <w:sz w:val="22"/>
              </w:rPr>
              <w:t>$356</w:t>
            </w:r>
          </w:p>
        </w:tc>
        <w:tc>
          <w:tcPr>
            <w:tcW w:w="900" w:type="dxa"/>
            <w:tcBorders>
              <w:top w:val="nil"/>
              <w:left w:val="nil"/>
              <w:bottom w:val="single" w:sz="4" w:space="0" w:color="auto"/>
              <w:right w:val="single" w:sz="4" w:space="0" w:color="auto"/>
            </w:tcBorders>
            <w:shd w:val="clear" w:color="auto" w:fill="D9D9D6"/>
            <w:noWrap/>
            <w:vAlign w:val="center"/>
          </w:tcPr>
          <w:p w14:paraId="333454C9" w14:textId="0246C858" w:rsidR="0061637C" w:rsidRPr="0061637C" w:rsidRDefault="0061637C" w:rsidP="0061637C">
            <w:pPr>
              <w:spacing w:line="240" w:lineRule="auto"/>
              <w:jc w:val="right"/>
              <w:rPr>
                <w:rFonts w:ascii="Segoe UI" w:eastAsia="Times New Roman" w:hAnsi="Segoe UI" w:cs="Segoe UI"/>
                <w:i/>
                <w:iCs/>
                <w:sz w:val="22"/>
                <w:highlight w:val="yellow"/>
              </w:rPr>
            </w:pPr>
            <w:r w:rsidRPr="00B64020">
              <w:rPr>
                <w:rFonts w:ascii="Segoe UI" w:hAnsi="Segoe UI" w:cs="Segoe UI"/>
                <w:sz w:val="22"/>
              </w:rPr>
              <w:t>$318</w:t>
            </w:r>
          </w:p>
        </w:tc>
        <w:tc>
          <w:tcPr>
            <w:tcW w:w="900" w:type="dxa"/>
            <w:tcBorders>
              <w:top w:val="nil"/>
              <w:left w:val="nil"/>
              <w:bottom w:val="single" w:sz="4" w:space="0" w:color="auto"/>
              <w:right w:val="single" w:sz="4" w:space="0" w:color="auto"/>
            </w:tcBorders>
            <w:shd w:val="clear" w:color="auto" w:fill="D9D9D6"/>
            <w:noWrap/>
            <w:vAlign w:val="center"/>
          </w:tcPr>
          <w:p w14:paraId="79A5737D" w14:textId="7080976E" w:rsidR="0061637C" w:rsidRPr="0061637C" w:rsidRDefault="0061637C" w:rsidP="0061637C">
            <w:pPr>
              <w:spacing w:line="240" w:lineRule="auto"/>
              <w:jc w:val="right"/>
              <w:rPr>
                <w:rFonts w:ascii="Segoe UI" w:eastAsia="Times New Roman" w:hAnsi="Segoe UI" w:cs="Segoe UI"/>
                <w:i/>
                <w:iCs/>
                <w:sz w:val="22"/>
                <w:highlight w:val="yellow"/>
              </w:rPr>
            </w:pPr>
            <w:r w:rsidRPr="00B64020">
              <w:rPr>
                <w:rFonts w:ascii="Segoe UI" w:hAnsi="Segoe UI" w:cs="Segoe UI"/>
                <w:sz w:val="22"/>
              </w:rPr>
              <w:t>$271</w:t>
            </w:r>
          </w:p>
        </w:tc>
        <w:tc>
          <w:tcPr>
            <w:tcW w:w="900" w:type="dxa"/>
            <w:tcBorders>
              <w:top w:val="nil"/>
              <w:left w:val="nil"/>
              <w:bottom w:val="single" w:sz="4" w:space="0" w:color="auto"/>
              <w:right w:val="single" w:sz="4" w:space="0" w:color="auto"/>
            </w:tcBorders>
            <w:shd w:val="clear" w:color="auto" w:fill="D9D9D6"/>
            <w:noWrap/>
            <w:vAlign w:val="center"/>
          </w:tcPr>
          <w:p w14:paraId="5B4C85C2" w14:textId="103E5166" w:rsidR="0061637C" w:rsidRPr="0061637C" w:rsidRDefault="0061637C" w:rsidP="0061637C">
            <w:pPr>
              <w:spacing w:line="240" w:lineRule="auto"/>
              <w:jc w:val="right"/>
              <w:rPr>
                <w:rFonts w:ascii="Segoe UI" w:eastAsia="Times New Roman" w:hAnsi="Segoe UI" w:cs="Segoe UI"/>
                <w:i/>
                <w:iCs/>
                <w:sz w:val="22"/>
                <w:highlight w:val="yellow"/>
              </w:rPr>
            </w:pPr>
            <w:r w:rsidRPr="00B64020">
              <w:rPr>
                <w:rFonts w:ascii="Segoe UI" w:hAnsi="Segoe UI" w:cs="Segoe UI"/>
                <w:sz w:val="22"/>
              </w:rPr>
              <w:t>$229</w:t>
            </w:r>
          </w:p>
        </w:tc>
        <w:tc>
          <w:tcPr>
            <w:tcW w:w="996" w:type="dxa"/>
            <w:tcBorders>
              <w:top w:val="nil"/>
              <w:left w:val="nil"/>
              <w:bottom w:val="single" w:sz="4" w:space="0" w:color="auto"/>
              <w:right w:val="single" w:sz="4" w:space="0" w:color="auto"/>
            </w:tcBorders>
            <w:shd w:val="clear" w:color="auto" w:fill="D9D9D6"/>
            <w:noWrap/>
            <w:vAlign w:val="center"/>
          </w:tcPr>
          <w:p w14:paraId="21B44D5A" w14:textId="41C578F7" w:rsidR="0061637C" w:rsidRPr="0061637C" w:rsidRDefault="0061637C" w:rsidP="0061637C">
            <w:pPr>
              <w:spacing w:line="240" w:lineRule="auto"/>
              <w:jc w:val="right"/>
              <w:rPr>
                <w:rFonts w:ascii="Segoe UI" w:eastAsia="Times New Roman" w:hAnsi="Segoe UI" w:cs="Segoe UI"/>
                <w:i/>
                <w:iCs/>
                <w:sz w:val="22"/>
                <w:highlight w:val="yellow"/>
              </w:rPr>
            </w:pPr>
            <w:r w:rsidRPr="00B64020">
              <w:rPr>
                <w:rFonts w:ascii="Segoe UI" w:hAnsi="Segoe UI" w:cs="Segoe UI"/>
                <w:sz w:val="22"/>
              </w:rPr>
              <w:t>$1,441</w:t>
            </w:r>
          </w:p>
        </w:tc>
        <w:tc>
          <w:tcPr>
            <w:tcW w:w="1440" w:type="dxa"/>
            <w:tcBorders>
              <w:top w:val="nil"/>
              <w:left w:val="single" w:sz="4" w:space="0" w:color="auto"/>
              <w:bottom w:val="single" w:sz="4" w:space="0" w:color="auto"/>
              <w:right w:val="single" w:sz="4" w:space="0" w:color="auto"/>
            </w:tcBorders>
            <w:shd w:val="clear" w:color="auto" w:fill="D9D9D6"/>
            <w:noWrap/>
            <w:vAlign w:val="center"/>
          </w:tcPr>
          <w:p w14:paraId="1D08426D" w14:textId="4FBE7D70" w:rsidR="0061637C" w:rsidRPr="0061637C" w:rsidRDefault="0061637C" w:rsidP="0061637C">
            <w:pPr>
              <w:spacing w:line="240" w:lineRule="auto"/>
              <w:jc w:val="right"/>
              <w:rPr>
                <w:rFonts w:ascii="Segoe UI" w:eastAsia="Times New Roman" w:hAnsi="Segoe UI" w:cs="Segoe UI"/>
                <w:i/>
                <w:iCs/>
                <w:sz w:val="22"/>
                <w:highlight w:val="yellow"/>
              </w:rPr>
            </w:pPr>
            <w:r w:rsidRPr="00B64020">
              <w:rPr>
                <w:rFonts w:ascii="Segoe UI" w:hAnsi="Segoe UI" w:cs="Segoe UI"/>
                <w:sz w:val="22"/>
              </w:rPr>
              <w:t>$351</w:t>
            </w:r>
          </w:p>
        </w:tc>
      </w:tr>
      <w:tr w:rsidR="0061637C" w:rsidRPr="00CF6436" w14:paraId="04C91CF5" w14:textId="77777777" w:rsidTr="00B64020">
        <w:trPr>
          <w:trHeight w:val="624"/>
          <w:jc w:val="center"/>
        </w:trPr>
        <w:tc>
          <w:tcPr>
            <w:tcW w:w="2605" w:type="dxa"/>
            <w:tcBorders>
              <w:top w:val="nil"/>
              <w:left w:val="single" w:sz="4" w:space="0" w:color="auto"/>
              <w:bottom w:val="single" w:sz="4" w:space="0" w:color="auto"/>
              <w:right w:val="single" w:sz="4" w:space="0" w:color="auto"/>
            </w:tcBorders>
            <w:shd w:val="clear" w:color="auto" w:fill="auto"/>
            <w:vAlign w:val="center"/>
          </w:tcPr>
          <w:p w14:paraId="6627C192" w14:textId="30FFA19B" w:rsidR="0061637C" w:rsidRPr="005861D0" w:rsidRDefault="0061637C" w:rsidP="0061637C">
            <w:pPr>
              <w:spacing w:line="240" w:lineRule="auto"/>
              <w:rPr>
                <w:rFonts w:ascii="Segoe UI" w:eastAsia="Times New Roman" w:hAnsi="Segoe UI" w:cs="Segoe UI"/>
                <w:b/>
                <w:bCs/>
                <w:color w:val="000000"/>
                <w:sz w:val="22"/>
              </w:rPr>
            </w:pPr>
            <w:r w:rsidRPr="293D3C50">
              <w:rPr>
                <w:rFonts w:ascii="Segoe UI" w:eastAsia="Times New Roman" w:hAnsi="Segoe UI" w:cs="Segoe UI"/>
                <w:b/>
                <w:bCs/>
                <w:color w:val="000000" w:themeColor="text1"/>
                <w:sz w:val="22"/>
              </w:rPr>
              <w:t>Alternative 2: Unit Cost Recovery</w:t>
            </w:r>
            <w:r w:rsidRPr="293D3C50">
              <w:rPr>
                <w:rFonts w:ascii="Segoe UI" w:hAnsi="Segoe UI" w:cs="Segoe UI"/>
                <w:b/>
                <w:bCs/>
                <w:color w:val="000000" w:themeColor="text1"/>
                <w:sz w:val="22"/>
              </w:rPr>
              <w:t>—</w:t>
            </w:r>
            <w:r w:rsidRPr="293D3C50">
              <w:rPr>
                <w:rFonts w:ascii="Segoe UI" w:eastAsia="Times New Roman" w:hAnsi="Segoe UI" w:cs="Segoe UI"/>
                <w:b/>
                <w:bCs/>
                <w:color w:val="000000" w:themeColor="text1"/>
                <w:sz w:val="22"/>
              </w:rPr>
              <w:t>fee revenue</w:t>
            </w:r>
          </w:p>
        </w:tc>
        <w:tc>
          <w:tcPr>
            <w:tcW w:w="990" w:type="dxa"/>
            <w:tcBorders>
              <w:top w:val="nil"/>
              <w:left w:val="single" w:sz="4" w:space="0" w:color="auto"/>
              <w:bottom w:val="single" w:sz="4" w:space="0" w:color="auto"/>
              <w:right w:val="single" w:sz="4" w:space="0" w:color="auto"/>
            </w:tcBorders>
            <w:shd w:val="clear" w:color="auto" w:fill="auto"/>
            <w:noWrap/>
            <w:vAlign w:val="center"/>
          </w:tcPr>
          <w:p w14:paraId="1E39FDCB" w14:textId="59DF0621" w:rsidR="0061637C" w:rsidRPr="0061637C" w:rsidRDefault="0061637C" w:rsidP="0061637C">
            <w:pPr>
              <w:spacing w:line="240" w:lineRule="auto"/>
              <w:jc w:val="right"/>
              <w:rPr>
                <w:rFonts w:ascii="Segoe UI" w:eastAsia="Times New Roman" w:hAnsi="Segoe UI" w:cs="Segoe UI"/>
                <w:sz w:val="22"/>
                <w:highlight w:val="yellow"/>
              </w:rPr>
            </w:pPr>
            <w:r w:rsidRPr="00B64020">
              <w:rPr>
                <w:rFonts w:ascii="Segoe UI" w:hAnsi="Segoe UI" w:cs="Segoe UI"/>
                <w:sz w:val="22"/>
              </w:rPr>
              <w:t>$3,679</w:t>
            </w:r>
          </w:p>
        </w:tc>
        <w:tc>
          <w:tcPr>
            <w:tcW w:w="900" w:type="dxa"/>
            <w:tcBorders>
              <w:top w:val="nil"/>
              <w:left w:val="nil"/>
              <w:bottom w:val="single" w:sz="4" w:space="0" w:color="auto"/>
              <w:right w:val="single" w:sz="4" w:space="0" w:color="auto"/>
            </w:tcBorders>
            <w:shd w:val="clear" w:color="auto" w:fill="auto"/>
            <w:noWrap/>
            <w:vAlign w:val="center"/>
          </w:tcPr>
          <w:p w14:paraId="31CA22F9" w14:textId="5BFB1506" w:rsidR="0061637C" w:rsidRPr="0061637C" w:rsidRDefault="0061637C" w:rsidP="0061637C">
            <w:pPr>
              <w:spacing w:line="240" w:lineRule="auto"/>
              <w:jc w:val="right"/>
              <w:rPr>
                <w:rFonts w:ascii="Segoe UI" w:eastAsia="Times New Roman" w:hAnsi="Segoe UI" w:cs="Segoe UI"/>
                <w:sz w:val="22"/>
                <w:highlight w:val="yellow"/>
              </w:rPr>
            </w:pPr>
            <w:r w:rsidRPr="00B64020">
              <w:rPr>
                <w:rFonts w:ascii="Segoe UI" w:hAnsi="Segoe UI" w:cs="Segoe UI"/>
                <w:sz w:val="22"/>
              </w:rPr>
              <w:t>$3,470</w:t>
            </w:r>
          </w:p>
        </w:tc>
        <w:tc>
          <w:tcPr>
            <w:tcW w:w="900" w:type="dxa"/>
            <w:tcBorders>
              <w:top w:val="nil"/>
              <w:left w:val="nil"/>
              <w:bottom w:val="single" w:sz="4" w:space="0" w:color="auto"/>
              <w:right w:val="single" w:sz="4" w:space="0" w:color="auto"/>
            </w:tcBorders>
            <w:shd w:val="clear" w:color="auto" w:fill="auto"/>
            <w:noWrap/>
            <w:vAlign w:val="center"/>
          </w:tcPr>
          <w:p w14:paraId="32AC7636" w14:textId="4A627CBE" w:rsidR="0061637C" w:rsidRPr="0061637C" w:rsidRDefault="0061637C" w:rsidP="0061637C">
            <w:pPr>
              <w:spacing w:line="240" w:lineRule="auto"/>
              <w:jc w:val="right"/>
              <w:rPr>
                <w:rFonts w:ascii="Segoe UI" w:eastAsia="Times New Roman" w:hAnsi="Segoe UI" w:cs="Segoe UI"/>
                <w:sz w:val="22"/>
                <w:highlight w:val="yellow"/>
              </w:rPr>
            </w:pPr>
            <w:r w:rsidRPr="00B64020">
              <w:rPr>
                <w:rFonts w:ascii="Segoe UI" w:hAnsi="Segoe UI" w:cs="Segoe UI"/>
                <w:sz w:val="22"/>
              </w:rPr>
              <w:t>$3,110</w:t>
            </w:r>
          </w:p>
        </w:tc>
        <w:tc>
          <w:tcPr>
            <w:tcW w:w="900" w:type="dxa"/>
            <w:tcBorders>
              <w:top w:val="nil"/>
              <w:left w:val="nil"/>
              <w:bottom w:val="single" w:sz="4" w:space="0" w:color="auto"/>
              <w:right w:val="single" w:sz="4" w:space="0" w:color="auto"/>
            </w:tcBorders>
            <w:shd w:val="clear" w:color="auto" w:fill="auto"/>
            <w:noWrap/>
            <w:vAlign w:val="center"/>
          </w:tcPr>
          <w:p w14:paraId="1D3FC199" w14:textId="3F585EA3" w:rsidR="0061637C" w:rsidRPr="0061637C" w:rsidRDefault="0061637C" w:rsidP="0061637C">
            <w:pPr>
              <w:spacing w:line="240" w:lineRule="auto"/>
              <w:jc w:val="right"/>
              <w:rPr>
                <w:rFonts w:ascii="Segoe UI" w:eastAsia="Times New Roman" w:hAnsi="Segoe UI" w:cs="Segoe UI"/>
                <w:sz w:val="22"/>
                <w:highlight w:val="yellow"/>
              </w:rPr>
            </w:pPr>
            <w:r w:rsidRPr="00B64020">
              <w:rPr>
                <w:rFonts w:ascii="Segoe UI" w:hAnsi="Segoe UI" w:cs="Segoe UI"/>
                <w:sz w:val="22"/>
              </w:rPr>
              <w:t>$2,655</w:t>
            </w:r>
          </w:p>
        </w:tc>
        <w:tc>
          <w:tcPr>
            <w:tcW w:w="900" w:type="dxa"/>
            <w:tcBorders>
              <w:top w:val="nil"/>
              <w:left w:val="nil"/>
              <w:bottom w:val="single" w:sz="4" w:space="0" w:color="auto"/>
              <w:right w:val="single" w:sz="4" w:space="0" w:color="auto"/>
            </w:tcBorders>
            <w:shd w:val="clear" w:color="auto" w:fill="auto"/>
            <w:noWrap/>
            <w:vAlign w:val="center"/>
          </w:tcPr>
          <w:p w14:paraId="31F2C51A" w14:textId="3C337658" w:rsidR="0061637C" w:rsidRPr="0061637C" w:rsidRDefault="0061637C" w:rsidP="0061637C">
            <w:pPr>
              <w:spacing w:line="240" w:lineRule="auto"/>
              <w:jc w:val="right"/>
              <w:rPr>
                <w:rFonts w:ascii="Segoe UI" w:eastAsia="Times New Roman" w:hAnsi="Segoe UI" w:cs="Segoe UI"/>
                <w:sz w:val="22"/>
                <w:highlight w:val="yellow"/>
              </w:rPr>
            </w:pPr>
            <w:r w:rsidRPr="00B64020">
              <w:rPr>
                <w:rFonts w:ascii="Segoe UI" w:hAnsi="Segoe UI" w:cs="Segoe UI"/>
                <w:sz w:val="22"/>
              </w:rPr>
              <w:t>$2,237</w:t>
            </w:r>
          </w:p>
        </w:tc>
        <w:tc>
          <w:tcPr>
            <w:tcW w:w="996" w:type="dxa"/>
            <w:tcBorders>
              <w:top w:val="nil"/>
              <w:left w:val="nil"/>
              <w:bottom w:val="single" w:sz="4" w:space="0" w:color="auto"/>
              <w:right w:val="single" w:sz="4" w:space="0" w:color="auto"/>
            </w:tcBorders>
            <w:shd w:val="clear" w:color="auto" w:fill="auto"/>
            <w:noWrap/>
            <w:vAlign w:val="center"/>
          </w:tcPr>
          <w:p w14:paraId="49804AF7" w14:textId="1D4FF3B9" w:rsidR="0061637C" w:rsidRPr="0061637C" w:rsidRDefault="0061637C" w:rsidP="0061637C">
            <w:pPr>
              <w:spacing w:line="240" w:lineRule="auto"/>
              <w:jc w:val="right"/>
              <w:rPr>
                <w:rFonts w:ascii="Segoe UI" w:eastAsia="Times New Roman" w:hAnsi="Segoe UI" w:cs="Segoe UI"/>
                <w:sz w:val="22"/>
                <w:highlight w:val="yellow"/>
              </w:rPr>
            </w:pPr>
            <w:r w:rsidRPr="00B64020">
              <w:rPr>
                <w:rFonts w:ascii="Segoe UI" w:hAnsi="Segoe UI" w:cs="Segoe UI"/>
                <w:sz w:val="22"/>
              </w:rPr>
              <w:t>$15,151</w:t>
            </w:r>
          </w:p>
        </w:tc>
        <w:tc>
          <w:tcPr>
            <w:tcW w:w="1440" w:type="dxa"/>
            <w:tcBorders>
              <w:top w:val="nil"/>
              <w:left w:val="single" w:sz="4" w:space="0" w:color="auto"/>
              <w:bottom w:val="single" w:sz="4" w:space="0" w:color="auto"/>
              <w:right w:val="single" w:sz="4" w:space="0" w:color="auto"/>
            </w:tcBorders>
            <w:shd w:val="clear" w:color="auto" w:fill="auto"/>
            <w:noWrap/>
            <w:vAlign w:val="center"/>
          </w:tcPr>
          <w:p w14:paraId="59C8BB5F" w14:textId="1F45CD50" w:rsidR="0061637C" w:rsidRPr="0061637C" w:rsidRDefault="0061637C" w:rsidP="0061637C">
            <w:pPr>
              <w:spacing w:line="240" w:lineRule="auto"/>
              <w:jc w:val="right"/>
              <w:rPr>
                <w:rFonts w:ascii="Segoe UI" w:eastAsia="Times New Roman" w:hAnsi="Segoe UI" w:cs="Segoe UI"/>
                <w:sz w:val="22"/>
                <w:highlight w:val="yellow"/>
              </w:rPr>
            </w:pPr>
            <w:r w:rsidRPr="00B64020">
              <w:rPr>
                <w:rFonts w:ascii="Segoe UI" w:hAnsi="Segoe UI" w:cs="Segoe UI"/>
                <w:sz w:val="22"/>
              </w:rPr>
              <w:t>$3,695</w:t>
            </w:r>
          </w:p>
        </w:tc>
      </w:tr>
      <w:tr w:rsidR="0061637C" w:rsidRPr="00CF6436" w14:paraId="7DF2A82B" w14:textId="77777777" w:rsidTr="00B64020">
        <w:trPr>
          <w:trHeight w:val="624"/>
          <w:jc w:val="center"/>
        </w:trPr>
        <w:tc>
          <w:tcPr>
            <w:tcW w:w="2605" w:type="dxa"/>
            <w:tcBorders>
              <w:top w:val="nil"/>
              <w:left w:val="single" w:sz="4" w:space="0" w:color="auto"/>
              <w:bottom w:val="single" w:sz="4" w:space="0" w:color="auto"/>
              <w:right w:val="single" w:sz="4" w:space="0" w:color="auto"/>
            </w:tcBorders>
            <w:shd w:val="clear" w:color="auto" w:fill="D9D9D6"/>
            <w:vAlign w:val="center"/>
          </w:tcPr>
          <w:p w14:paraId="326896A1" w14:textId="62FE1331" w:rsidR="0061637C" w:rsidRPr="005861D0" w:rsidRDefault="0061637C" w:rsidP="0061637C">
            <w:pPr>
              <w:spacing w:line="240" w:lineRule="auto"/>
              <w:ind w:firstLineChars="200" w:firstLine="440"/>
              <w:jc w:val="right"/>
              <w:rPr>
                <w:rFonts w:ascii="Segoe UI" w:eastAsia="Times New Roman" w:hAnsi="Segoe UI" w:cs="Segoe UI"/>
                <w:i/>
                <w:iCs/>
                <w:color w:val="000000"/>
                <w:sz w:val="22"/>
              </w:rPr>
            </w:pPr>
            <w:r w:rsidRPr="00F65FC8">
              <w:rPr>
                <w:rFonts w:ascii="Segoe UI" w:eastAsia="Times New Roman" w:hAnsi="Segoe UI" w:cs="Segoe UI"/>
                <w:i/>
                <w:iCs/>
                <w:color w:val="000000" w:themeColor="text1"/>
                <w:sz w:val="22"/>
              </w:rPr>
              <w:t xml:space="preserve">Transfer </w:t>
            </w:r>
            <w:r w:rsidRPr="3E055338">
              <w:rPr>
                <w:rFonts w:ascii="Segoe UI" w:eastAsia="Times New Roman" w:hAnsi="Segoe UI" w:cs="Segoe UI"/>
                <w:i/>
                <w:iCs/>
                <w:color w:val="000000" w:themeColor="text1"/>
                <w:sz w:val="22"/>
              </w:rPr>
              <w:t>a</w:t>
            </w:r>
            <w:r w:rsidRPr="00F65FC8">
              <w:rPr>
                <w:rFonts w:ascii="Segoe UI" w:eastAsia="Times New Roman" w:hAnsi="Segoe UI" w:cs="Segoe UI"/>
                <w:i/>
                <w:iCs/>
                <w:color w:val="000000" w:themeColor="text1"/>
                <w:sz w:val="22"/>
              </w:rPr>
              <w:t>mount from Baseline for Alternative 2</w:t>
            </w:r>
          </w:p>
        </w:tc>
        <w:tc>
          <w:tcPr>
            <w:tcW w:w="990" w:type="dxa"/>
            <w:tcBorders>
              <w:top w:val="nil"/>
              <w:left w:val="single" w:sz="4" w:space="0" w:color="auto"/>
              <w:bottom w:val="single" w:sz="4" w:space="0" w:color="auto"/>
              <w:right w:val="single" w:sz="4" w:space="0" w:color="auto"/>
            </w:tcBorders>
            <w:shd w:val="clear" w:color="auto" w:fill="D9D9D6"/>
            <w:noWrap/>
            <w:vAlign w:val="center"/>
          </w:tcPr>
          <w:p w14:paraId="71677E18" w14:textId="53E22604" w:rsidR="0061637C" w:rsidRPr="0061637C" w:rsidRDefault="0061637C" w:rsidP="0061637C">
            <w:pPr>
              <w:spacing w:line="240" w:lineRule="auto"/>
              <w:jc w:val="right"/>
              <w:rPr>
                <w:rFonts w:ascii="Segoe UI" w:eastAsia="Times New Roman" w:hAnsi="Segoe UI" w:cs="Segoe UI"/>
                <w:i/>
                <w:iCs/>
                <w:sz w:val="22"/>
                <w:highlight w:val="yellow"/>
              </w:rPr>
            </w:pPr>
            <w:r w:rsidRPr="00B64020">
              <w:rPr>
                <w:rFonts w:ascii="Segoe UI" w:hAnsi="Segoe UI" w:cs="Segoe UI"/>
                <w:sz w:val="22"/>
              </w:rPr>
              <w:t>$324</w:t>
            </w:r>
          </w:p>
        </w:tc>
        <w:tc>
          <w:tcPr>
            <w:tcW w:w="900" w:type="dxa"/>
            <w:tcBorders>
              <w:top w:val="nil"/>
              <w:left w:val="nil"/>
              <w:bottom w:val="single" w:sz="4" w:space="0" w:color="auto"/>
              <w:right w:val="single" w:sz="4" w:space="0" w:color="auto"/>
            </w:tcBorders>
            <w:shd w:val="clear" w:color="auto" w:fill="D9D9D6"/>
            <w:noWrap/>
            <w:vAlign w:val="center"/>
          </w:tcPr>
          <w:p w14:paraId="2A5D563B" w14:textId="25D94AE3" w:rsidR="0061637C" w:rsidRPr="0061637C" w:rsidRDefault="0061637C" w:rsidP="0061637C">
            <w:pPr>
              <w:spacing w:line="240" w:lineRule="auto"/>
              <w:jc w:val="right"/>
              <w:rPr>
                <w:rFonts w:ascii="Segoe UI" w:eastAsia="Times New Roman" w:hAnsi="Segoe UI" w:cs="Segoe UI"/>
                <w:i/>
                <w:iCs/>
                <w:sz w:val="22"/>
                <w:highlight w:val="yellow"/>
              </w:rPr>
            </w:pPr>
            <w:r w:rsidRPr="00B64020">
              <w:rPr>
                <w:rFonts w:ascii="Segoe UI" w:hAnsi="Segoe UI" w:cs="Segoe UI"/>
                <w:sz w:val="22"/>
              </w:rPr>
              <w:t>$357</w:t>
            </w:r>
          </w:p>
        </w:tc>
        <w:tc>
          <w:tcPr>
            <w:tcW w:w="900" w:type="dxa"/>
            <w:tcBorders>
              <w:top w:val="nil"/>
              <w:left w:val="nil"/>
              <w:bottom w:val="single" w:sz="4" w:space="0" w:color="auto"/>
              <w:right w:val="single" w:sz="4" w:space="0" w:color="auto"/>
            </w:tcBorders>
            <w:shd w:val="clear" w:color="auto" w:fill="D9D9D6"/>
            <w:noWrap/>
            <w:vAlign w:val="center"/>
          </w:tcPr>
          <w:p w14:paraId="59C1E47B" w14:textId="1C1A9B5E" w:rsidR="0061637C" w:rsidRPr="0061637C" w:rsidRDefault="0061637C" w:rsidP="0061637C">
            <w:pPr>
              <w:spacing w:line="240" w:lineRule="auto"/>
              <w:jc w:val="right"/>
              <w:rPr>
                <w:rFonts w:ascii="Segoe UI" w:eastAsia="Times New Roman" w:hAnsi="Segoe UI" w:cs="Segoe UI"/>
                <w:i/>
                <w:iCs/>
                <w:sz w:val="22"/>
                <w:highlight w:val="yellow"/>
              </w:rPr>
            </w:pPr>
            <w:r w:rsidRPr="00B64020">
              <w:rPr>
                <w:rFonts w:ascii="Segoe UI" w:hAnsi="Segoe UI" w:cs="Segoe UI"/>
                <w:sz w:val="22"/>
              </w:rPr>
              <w:t>$310</w:t>
            </w:r>
          </w:p>
        </w:tc>
        <w:tc>
          <w:tcPr>
            <w:tcW w:w="900" w:type="dxa"/>
            <w:tcBorders>
              <w:top w:val="nil"/>
              <w:left w:val="nil"/>
              <w:bottom w:val="single" w:sz="4" w:space="0" w:color="auto"/>
              <w:right w:val="single" w:sz="4" w:space="0" w:color="auto"/>
            </w:tcBorders>
            <w:shd w:val="clear" w:color="auto" w:fill="D9D9D6"/>
            <w:noWrap/>
            <w:vAlign w:val="center"/>
          </w:tcPr>
          <w:p w14:paraId="7E6734B9" w14:textId="43C721C4" w:rsidR="0061637C" w:rsidRPr="0061637C" w:rsidRDefault="0061637C" w:rsidP="0061637C">
            <w:pPr>
              <w:spacing w:line="240" w:lineRule="auto"/>
              <w:jc w:val="right"/>
              <w:rPr>
                <w:rFonts w:ascii="Segoe UI" w:eastAsia="Times New Roman" w:hAnsi="Segoe UI" w:cs="Segoe UI"/>
                <w:i/>
                <w:iCs/>
                <w:sz w:val="22"/>
                <w:highlight w:val="yellow"/>
              </w:rPr>
            </w:pPr>
            <w:r w:rsidRPr="00B64020">
              <w:rPr>
                <w:rFonts w:ascii="Segoe UI" w:hAnsi="Segoe UI" w:cs="Segoe UI"/>
                <w:sz w:val="22"/>
              </w:rPr>
              <w:t>$270</w:t>
            </w:r>
          </w:p>
        </w:tc>
        <w:tc>
          <w:tcPr>
            <w:tcW w:w="900" w:type="dxa"/>
            <w:tcBorders>
              <w:top w:val="nil"/>
              <w:left w:val="nil"/>
              <w:bottom w:val="single" w:sz="4" w:space="0" w:color="auto"/>
              <w:right w:val="single" w:sz="4" w:space="0" w:color="auto"/>
            </w:tcBorders>
            <w:shd w:val="clear" w:color="auto" w:fill="D9D9D6"/>
            <w:noWrap/>
            <w:vAlign w:val="center"/>
          </w:tcPr>
          <w:p w14:paraId="585E8894" w14:textId="49673405" w:rsidR="0061637C" w:rsidRPr="0061637C" w:rsidRDefault="0061637C" w:rsidP="0061637C">
            <w:pPr>
              <w:spacing w:line="240" w:lineRule="auto"/>
              <w:jc w:val="right"/>
              <w:rPr>
                <w:rFonts w:ascii="Segoe UI" w:eastAsia="Times New Roman" w:hAnsi="Segoe UI" w:cs="Segoe UI"/>
                <w:i/>
                <w:iCs/>
                <w:sz w:val="22"/>
                <w:highlight w:val="yellow"/>
              </w:rPr>
            </w:pPr>
            <w:r w:rsidRPr="00B64020">
              <w:rPr>
                <w:rFonts w:ascii="Segoe UI" w:hAnsi="Segoe UI" w:cs="Segoe UI"/>
                <w:sz w:val="22"/>
              </w:rPr>
              <w:t>$230</w:t>
            </w:r>
          </w:p>
        </w:tc>
        <w:tc>
          <w:tcPr>
            <w:tcW w:w="996" w:type="dxa"/>
            <w:tcBorders>
              <w:top w:val="nil"/>
              <w:left w:val="nil"/>
              <w:bottom w:val="single" w:sz="4" w:space="0" w:color="auto"/>
              <w:right w:val="single" w:sz="4" w:space="0" w:color="auto"/>
            </w:tcBorders>
            <w:shd w:val="clear" w:color="auto" w:fill="D9D9D6"/>
            <w:noWrap/>
            <w:vAlign w:val="center"/>
          </w:tcPr>
          <w:p w14:paraId="3DAA7AD8" w14:textId="1743792A" w:rsidR="0061637C" w:rsidRPr="0061637C" w:rsidRDefault="0061637C" w:rsidP="0061637C">
            <w:pPr>
              <w:spacing w:line="240" w:lineRule="auto"/>
              <w:jc w:val="right"/>
              <w:rPr>
                <w:rFonts w:ascii="Segoe UI" w:eastAsia="Times New Roman" w:hAnsi="Segoe UI" w:cs="Segoe UI"/>
                <w:i/>
                <w:iCs/>
                <w:sz w:val="22"/>
                <w:highlight w:val="yellow"/>
              </w:rPr>
            </w:pPr>
            <w:r w:rsidRPr="00B64020">
              <w:rPr>
                <w:rFonts w:ascii="Segoe UI" w:hAnsi="Segoe UI" w:cs="Segoe UI"/>
                <w:sz w:val="22"/>
              </w:rPr>
              <w:t>$1,491</w:t>
            </w:r>
          </w:p>
        </w:tc>
        <w:tc>
          <w:tcPr>
            <w:tcW w:w="1440" w:type="dxa"/>
            <w:tcBorders>
              <w:top w:val="nil"/>
              <w:left w:val="single" w:sz="4" w:space="0" w:color="auto"/>
              <w:bottom w:val="single" w:sz="4" w:space="0" w:color="auto"/>
              <w:right w:val="single" w:sz="4" w:space="0" w:color="auto"/>
            </w:tcBorders>
            <w:shd w:val="clear" w:color="auto" w:fill="D9D9D6"/>
            <w:noWrap/>
            <w:vAlign w:val="center"/>
          </w:tcPr>
          <w:p w14:paraId="50378B95" w14:textId="128BEF77" w:rsidR="0061637C" w:rsidRPr="0061637C" w:rsidRDefault="0061637C" w:rsidP="0061637C">
            <w:pPr>
              <w:spacing w:line="240" w:lineRule="auto"/>
              <w:jc w:val="right"/>
              <w:rPr>
                <w:rFonts w:ascii="Segoe UI" w:eastAsia="Times New Roman" w:hAnsi="Segoe UI" w:cs="Segoe UI"/>
                <w:i/>
                <w:iCs/>
                <w:sz w:val="22"/>
                <w:highlight w:val="yellow"/>
              </w:rPr>
            </w:pPr>
            <w:r w:rsidRPr="00B64020">
              <w:rPr>
                <w:rFonts w:ascii="Segoe UI" w:hAnsi="Segoe UI" w:cs="Segoe UI"/>
                <w:sz w:val="22"/>
              </w:rPr>
              <w:t>$364</w:t>
            </w:r>
          </w:p>
        </w:tc>
      </w:tr>
      <w:tr w:rsidR="00EE1CC2" w:rsidRPr="00CF6436" w14:paraId="44244531" w14:textId="77777777" w:rsidTr="17CECF10">
        <w:trPr>
          <w:trHeight w:val="936"/>
          <w:jc w:val="center"/>
        </w:trPr>
        <w:tc>
          <w:tcPr>
            <w:tcW w:w="2605" w:type="dxa"/>
            <w:tcBorders>
              <w:top w:val="nil"/>
              <w:left w:val="single" w:sz="4" w:space="0" w:color="auto"/>
              <w:bottom w:val="single" w:sz="4" w:space="0" w:color="auto"/>
              <w:right w:val="single" w:sz="4" w:space="0" w:color="auto"/>
            </w:tcBorders>
            <w:shd w:val="clear" w:color="auto" w:fill="auto"/>
            <w:vAlign w:val="center"/>
          </w:tcPr>
          <w:p w14:paraId="612A800A" w14:textId="4C338E59" w:rsidR="00EE1CC2" w:rsidRPr="005861D0" w:rsidRDefault="00EE1CC2" w:rsidP="00EE1CC2">
            <w:pPr>
              <w:spacing w:line="240" w:lineRule="auto"/>
              <w:rPr>
                <w:rFonts w:ascii="Segoe UI" w:eastAsia="Times New Roman" w:hAnsi="Segoe UI" w:cs="Segoe UI"/>
                <w:b/>
                <w:bCs/>
                <w:color w:val="000000"/>
                <w:sz w:val="22"/>
              </w:rPr>
            </w:pPr>
            <w:r w:rsidRPr="293D3C50">
              <w:rPr>
                <w:rFonts w:ascii="Segoe UI" w:eastAsia="Times New Roman" w:hAnsi="Segoe UI" w:cs="Segoe UI"/>
                <w:b/>
                <w:bCs/>
                <w:color w:val="000000" w:themeColor="text1"/>
                <w:sz w:val="22"/>
              </w:rPr>
              <w:t>Alternative 3: Across-the-Board Adjustment</w:t>
            </w:r>
            <w:r w:rsidRPr="293D3C50">
              <w:rPr>
                <w:rFonts w:ascii="Segoe UI" w:hAnsi="Segoe UI" w:cs="Segoe UI"/>
                <w:b/>
                <w:bCs/>
                <w:color w:val="000000" w:themeColor="text1"/>
                <w:sz w:val="22"/>
              </w:rPr>
              <w:t>—</w:t>
            </w:r>
            <w:r w:rsidRPr="293D3C50">
              <w:rPr>
                <w:rFonts w:ascii="Segoe UI" w:eastAsia="Times New Roman" w:hAnsi="Segoe UI" w:cs="Segoe UI"/>
                <w:b/>
                <w:bCs/>
                <w:color w:val="000000" w:themeColor="text1"/>
                <w:sz w:val="22"/>
              </w:rPr>
              <w:t>fee revenue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EFABE" w14:textId="7C2A80FA" w:rsidR="00EE1CC2" w:rsidRPr="005861D0" w:rsidRDefault="00EE1CC2" w:rsidP="00EE1CC2">
            <w:pPr>
              <w:spacing w:line="240" w:lineRule="auto"/>
              <w:jc w:val="right"/>
              <w:rPr>
                <w:rFonts w:ascii="Segoe UI" w:eastAsia="Times New Roman" w:hAnsi="Segoe UI" w:cs="Segoe UI"/>
                <w:sz w:val="22"/>
                <w:highlight w:val="yellow"/>
              </w:rPr>
            </w:pPr>
            <w:r w:rsidRPr="007D075A">
              <w:rPr>
                <w:rFonts w:ascii="Segoe UI" w:hAnsi="Segoe UI" w:cs="Segoe UI"/>
                <w:sz w:val="22"/>
              </w:rPr>
              <w:t>$3,595</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40660F35" w14:textId="05A2E9B0" w:rsidR="00EE1CC2" w:rsidRPr="005861D0" w:rsidRDefault="00EE1CC2" w:rsidP="00EE1CC2">
            <w:pPr>
              <w:spacing w:line="240" w:lineRule="auto"/>
              <w:jc w:val="right"/>
              <w:rPr>
                <w:rFonts w:ascii="Segoe UI" w:eastAsia="Times New Roman" w:hAnsi="Segoe UI" w:cs="Segoe UI"/>
                <w:sz w:val="22"/>
                <w:highlight w:val="yellow"/>
              </w:rPr>
            </w:pPr>
            <w:r w:rsidRPr="007D075A">
              <w:rPr>
                <w:rFonts w:ascii="Segoe UI" w:hAnsi="Segoe UI" w:cs="Segoe UI"/>
                <w:sz w:val="22"/>
              </w:rPr>
              <w:t>$3,459</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26624956" w14:textId="55EBC9F2" w:rsidR="00EE1CC2" w:rsidRPr="005861D0" w:rsidRDefault="00EE1CC2" w:rsidP="00EE1CC2">
            <w:pPr>
              <w:spacing w:line="240" w:lineRule="auto"/>
              <w:jc w:val="right"/>
              <w:rPr>
                <w:rFonts w:ascii="Segoe UI" w:eastAsia="Times New Roman" w:hAnsi="Segoe UI" w:cs="Segoe UI"/>
                <w:sz w:val="22"/>
                <w:highlight w:val="yellow"/>
              </w:rPr>
            </w:pPr>
            <w:r w:rsidRPr="007D075A">
              <w:rPr>
                <w:rFonts w:ascii="Segoe UI" w:hAnsi="Segoe UI" w:cs="Segoe UI"/>
                <w:sz w:val="22"/>
              </w:rPr>
              <w:t>$3,113</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23A41CFE" w14:textId="51AF2DEB" w:rsidR="00EE1CC2" w:rsidRPr="005861D0" w:rsidRDefault="00EE1CC2" w:rsidP="00EE1CC2">
            <w:pPr>
              <w:spacing w:line="240" w:lineRule="auto"/>
              <w:jc w:val="right"/>
              <w:rPr>
                <w:rFonts w:ascii="Segoe UI" w:eastAsia="Times New Roman" w:hAnsi="Segoe UI" w:cs="Segoe UI"/>
                <w:sz w:val="22"/>
                <w:highlight w:val="yellow"/>
              </w:rPr>
            </w:pPr>
            <w:r w:rsidRPr="007D075A">
              <w:rPr>
                <w:rFonts w:ascii="Segoe UI" w:hAnsi="Segoe UI" w:cs="Segoe UI"/>
                <w:sz w:val="22"/>
              </w:rPr>
              <w:t>$2,651</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69F91151" w14:textId="48816484" w:rsidR="00EE1CC2" w:rsidRPr="005861D0" w:rsidRDefault="00EE1CC2" w:rsidP="00EE1CC2">
            <w:pPr>
              <w:spacing w:line="240" w:lineRule="auto"/>
              <w:jc w:val="right"/>
              <w:rPr>
                <w:rFonts w:ascii="Segoe UI" w:eastAsia="Times New Roman" w:hAnsi="Segoe UI" w:cs="Segoe UI"/>
                <w:sz w:val="22"/>
                <w:highlight w:val="yellow"/>
              </w:rPr>
            </w:pPr>
            <w:r w:rsidRPr="007D075A">
              <w:rPr>
                <w:rFonts w:ascii="Segoe UI" w:hAnsi="Segoe UI" w:cs="Segoe UI"/>
                <w:sz w:val="22"/>
              </w:rPr>
              <w:t>$2,230</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131A307D" w14:textId="26F9F51F" w:rsidR="00EE1CC2" w:rsidRPr="005861D0" w:rsidRDefault="00EE1CC2" w:rsidP="00EE1CC2">
            <w:pPr>
              <w:spacing w:line="240" w:lineRule="auto"/>
              <w:jc w:val="right"/>
              <w:rPr>
                <w:rFonts w:ascii="Segoe UI" w:eastAsia="Times New Roman" w:hAnsi="Segoe UI" w:cs="Segoe UI"/>
                <w:sz w:val="22"/>
                <w:highlight w:val="yellow"/>
              </w:rPr>
            </w:pPr>
            <w:r w:rsidRPr="007D075A">
              <w:rPr>
                <w:rFonts w:ascii="Segoe UI" w:hAnsi="Segoe UI" w:cs="Segoe UI"/>
                <w:sz w:val="22"/>
              </w:rPr>
              <w:t>$15,048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2D9A3" w14:textId="5E3D5F95" w:rsidR="00EE1CC2" w:rsidRPr="005861D0" w:rsidRDefault="00EE1CC2" w:rsidP="00EE1CC2">
            <w:pPr>
              <w:spacing w:line="240" w:lineRule="auto"/>
              <w:jc w:val="right"/>
              <w:rPr>
                <w:rFonts w:ascii="Segoe UI" w:eastAsia="Times New Roman" w:hAnsi="Segoe UI" w:cs="Segoe UI"/>
                <w:sz w:val="22"/>
                <w:highlight w:val="yellow"/>
              </w:rPr>
            </w:pPr>
            <w:r w:rsidRPr="007D075A">
              <w:rPr>
                <w:rFonts w:ascii="Segoe UI" w:hAnsi="Segoe UI" w:cs="Segoe UI"/>
                <w:sz w:val="22"/>
              </w:rPr>
              <w:t>$3,670</w:t>
            </w:r>
          </w:p>
        </w:tc>
      </w:tr>
      <w:tr w:rsidR="00EE1CC2" w:rsidRPr="00CF6436" w14:paraId="27DFD884" w14:textId="77777777" w:rsidTr="00A23345">
        <w:trPr>
          <w:trHeight w:val="624"/>
          <w:jc w:val="center"/>
        </w:trPr>
        <w:tc>
          <w:tcPr>
            <w:tcW w:w="2605" w:type="dxa"/>
            <w:tcBorders>
              <w:top w:val="nil"/>
              <w:left w:val="single" w:sz="4" w:space="0" w:color="auto"/>
              <w:bottom w:val="single" w:sz="4" w:space="0" w:color="auto"/>
              <w:right w:val="single" w:sz="4" w:space="0" w:color="auto"/>
            </w:tcBorders>
            <w:shd w:val="clear" w:color="auto" w:fill="D9D9D6"/>
            <w:vAlign w:val="center"/>
          </w:tcPr>
          <w:p w14:paraId="3E7F2FC2" w14:textId="6E197CA8" w:rsidR="00EE1CC2" w:rsidRPr="005861D0" w:rsidRDefault="00EE1CC2" w:rsidP="00EE1CC2">
            <w:pPr>
              <w:spacing w:line="240" w:lineRule="auto"/>
              <w:ind w:firstLineChars="200" w:firstLine="440"/>
              <w:jc w:val="right"/>
              <w:rPr>
                <w:rFonts w:ascii="Segoe UI" w:eastAsia="Times New Roman" w:hAnsi="Segoe UI" w:cs="Segoe UI"/>
                <w:i/>
                <w:iCs/>
                <w:color w:val="000000"/>
                <w:sz w:val="22"/>
              </w:rPr>
            </w:pPr>
            <w:r w:rsidRPr="00F65FC8">
              <w:rPr>
                <w:rFonts w:ascii="Segoe UI" w:eastAsia="Times New Roman" w:hAnsi="Segoe UI" w:cs="Segoe UI"/>
                <w:i/>
                <w:iCs/>
                <w:color w:val="000000" w:themeColor="text1"/>
                <w:sz w:val="22"/>
              </w:rPr>
              <w:t xml:space="preserve">Transfer </w:t>
            </w:r>
            <w:r w:rsidRPr="3E055338">
              <w:rPr>
                <w:rFonts w:ascii="Segoe UI" w:eastAsia="Times New Roman" w:hAnsi="Segoe UI" w:cs="Segoe UI"/>
                <w:i/>
                <w:iCs/>
                <w:color w:val="000000" w:themeColor="text1"/>
                <w:sz w:val="22"/>
              </w:rPr>
              <w:t>a</w:t>
            </w:r>
            <w:r w:rsidRPr="00F65FC8">
              <w:rPr>
                <w:rFonts w:ascii="Segoe UI" w:eastAsia="Times New Roman" w:hAnsi="Segoe UI" w:cs="Segoe UI"/>
                <w:i/>
                <w:iCs/>
                <w:color w:val="000000" w:themeColor="text1"/>
                <w:sz w:val="22"/>
              </w:rPr>
              <w:t>mount from Baseline for Alternative 3</w:t>
            </w:r>
          </w:p>
        </w:tc>
        <w:tc>
          <w:tcPr>
            <w:tcW w:w="990" w:type="dxa"/>
            <w:tcBorders>
              <w:top w:val="nil"/>
              <w:left w:val="single" w:sz="4" w:space="0" w:color="auto"/>
              <w:bottom w:val="single" w:sz="4" w:space="0" w:color="auto"/>
              <w:right w:val="single" w:sz="4" w:space="0" w:color="auto"/>
            </w:tcBorders>
            <w:shd w:val="clear" w:color="auto" w:fill="D9D9D6"/>
            <w:noWrap/>
            <w:vAlign w:val="center"/>
          </w:tcPr>
          <w:p w14:paraId="3057FFD7" w14:textId="7388AF3E" w:rsidR="00EE1CC2" w:rsidRPr="005861D0" w:rsidRDefault="00EE1CC2" w:rsidP="00EE1CC2">
            <w:pPr>
              <w:spacing w:line="240" w:lineRule="auto"/>
              <w:jc w:val="right"/>
              <w:rPr>
                <w:rFonts w:ascii="Segoe UI" w:eastAsia="Times New Roman" w:hAnsi="Segoe UI" w:cs="Segoe UI"/>
                <w:i/>
                <w:iCs/>
                <w:sz w:val="22"/>
                <w:highlight w:val="yellow"/>
              </w:rPr>
            </w:pPr>
            <w:r w:rsidRPr="007D075A">
              <w:rPr>
                <w:rFonts w:ascii="Segoe UI" w:hAnsi="Segoe UI" w:cs="Segoe UI"/>
                <w:sz w:val="22"/>
              </w:rPr>
              <w:t>$240</w:t>
            </w:r>
          </w:p>
        </w:tc>
        <w:tc>
          <w:tcPr>
            <w:tcW w:w="900" w:type="dxa"/>
            <w:tcBorders>
              <w:top w:val="nil"/>
              <w:left w:val="nil"/>
              <w:bottom w:val="single" w:sz="4" w:space="0" w:color="auto"/>
              <w:right w:val="single" w:sz="4" w:space="0" w:color="auto"/>
            </w:tcBorders>
            <w:shd w:val="clear" w:color="auto" w:fill="D9D9D6"/>
            <w:noWrap/>
            <w:vAlign w:val="center"/>
          </w:tcPr>
          <w:p w14:paraId="3AFEB731" w14:textId="5DB7CEBD" w:rsidR="00EE1CC2" w:rsidRPr="005861D0" w:rsidRDefault="00EE1CC2" w:rsidP="00EE1CC2">
            <w:pPr>
              <w:spacing w:line="240" w:lineRule="auto"/>
              <w:jc w:val="right"/>
              <w:rPr>
                <w:rFonts w:ascii="Segoe UI" w:eastAsia="Times New Roman" w:hAnsi="Segoe UI" w:cs="Segoe UI"/>
                <w:i/>
                <w:iCs/>
                <w:sz w:val="22"/>
                <w:highlight w:val="yellow"/>
              </w:rPr>
            </w:pPr>
            <w:r w:rsidRPr="007D075A">
              <w:rPr>
                <w:rFonts w:ascii="Segoe UI" w:hAnsi="Segoe UI" w:cs="Segoe UI"/>
                <w:sz w:val="22"/>
              </w:rPr>
              <w:t>$346</w:t>
            </w:r>
          </w:p>
        </w:tc>
        <w:tc>
          <w:tcPr>
            <w:tcW w:w="900" w:type="dxa"/>
            <w:tcBorders>
              <w:top w:val="nil"/>
              <w:left w:val="nil"/>
              <w:bottom w:val="single" w:sz="4" w:space="0" w:color="auto"/>
              <w:right w:val="single" w:sz="4" w:space="0" w:color="auto"/>
            </w:tcBorders>
            <w:shd w:val="clear" w:color="auto" w:fill="D9D9D6"/>
            <w:noWrap/>
            <w:vAlign w:val="center"/>
          </w:tcPr>
          <w:p w14:paraId="58C6B5B4" w14:textId="6F83142E" w:rsidR="00EE1CC2" w:rsidRPr="005861D0" w:rsidRDefault="00EE1CC2" w:rsidP="00EE1CC2">
            <w:pPr>
              <w:spacing w:line="240" w:lineRule="auto"/>
              <w:jc w:val="right"/>
              <w:rPr>
                <w:rFonts w:ascii="Segoe UI" w:eastAsia="Times New Roman" w:hAnsi="Segoe UI" w:cs="Segoe UI"/>
                <w:i/>
                <w:iCs/>
                <w:sz w:val="22"/>
                <w:highlight w:val="yellow"/>
              </w:rPr>
            </w:pPr>
            <w:r w:rsidRPr="007D075A">
              <w:rPr>
                <w:rFonts w:ascii="Segoe UI" w:hAnsi="Segoe UI" w:cs="Segoe UI"/>
                <w:sz w:val="22"/>
              </w:rPr>
              <w:t>$313</w:t>
            </w:r>
          </w:p>
        </w:tc>
        <w:tc>
          <w:tcPr>
            <w:tcW w:w="900" w:type="dxa"/>
            <w:tcBorders>
              <w:top w:val="nil"/>
              <w:left w:val="nil"/>
              <w:bottom w:val="single" w:sz="4" w:space="0" w:color="auto"/>
              <w:right w:val="single" w:sz="4" w:space="0" w:color="auto"/>
            </w:tcBorders>
            <w:shd w:val="clear" w:color="auto" w:fill="D9D9D6"/>
            <w:noWrap/>
            <w:vAlign w:val="center"/>
          </w:tcPr>
          <w:p w14:paraId="5A35B19A" w14:textId="12AA1BA7" w:rsidR="00EE1CC2" w:rsidRPr="005861D0" w:rsidRDefault="00EE1CC2" w:rsidP="00EE1CC2">
            <w:pPr>
              <w:spacing w:line="240" w:lineRule="auto"/>
              <w:jc w:val="right"/>
              <w:rPr>
                <w:rFonts w:ascii="Segoe UI" w:eastAsia="Times New Roman" w:hAnsi="Segoe UI" w:cs="Segoe UI"/>
                <w:i/>
                <w:iCs/>
                <w:sz w:val="22"/>
                <w:highlight w:val="yellow"/>
              </w:rPr>
            </w:pPr>
            <w:r w:rsidRPr="007D075A">
              <w:rPr>
                <w:rFonts w:ascii="Segoe UI" w:hAnsi="Segoe UI" w:cs="Segoe UI"/>
                <w:sz w:val="22"/>
              </w:rPr>
              <w:t>$266</w:t>
            </w:r>
          </w:p>
        </w:tc>
        <w:tc>
          <w:tcPr>
            <w:tcW w:w="900" w:type="dxa"/>
            <w:tcBorders>
              <w:top w:val="nil"/>
              <w:left w:val="nil"/>
              <w:bottom w:val="single" w:sz="4" w:space="0" w:color="auto"/>
              <w:right w:val="single" w:sz="4" w:space="0" w:color="auto"/>
            </w:tcBorders>
            <w:shd w:val="clear" w:color="auto" w:fill="D9D9D6"/>
            <w:noWrap/>
            <w:vAlign w:val="center"/>
          </w:tcPr>
          <w:p w14:paraId="58EB3A69" w14:textId="22F3A1B9" w:rsidR="00EE1CC2" w:rsidRPr="005861D0" w:rsidRDefault="00EE1CC2" w:rsidP="00EE1CC2">
            <w:pPr>
              <w:spacing w:line="240" w:lineRule="auto"/>
              <w:jc w:val="right"/>
              <w:rPr>
                <w:rFonts w:ascii="Segoe UI" w:eastAsia="Times New Roman" w:hAnsi="Segoe UI" w:cs="Segoe UI"/>
                <w:i/>
                <w:iCs/>
                <w:sz w:val="22"/>
                <w:highlight w:val="yellow"/>
              </w:rPr>
            </w:pPr>
            <w:r w:rsidRPr="007D075A">
              <w:rPr>
                <w:rFonts w:ascii="Segoe UI" w:hAnsi="Segoe UI" w:cs="Segoe UI"/>
                <w:sz w:val="22"/>
              </w:rPr>
              <w:t>$223</w:t>
            </w:r>
          </w:p>
        </w:tc>
        <w:tc>
          <w:tcPr>
            <w:tcW w:w="996" w:type="dxa"/>
            <w:tcBorders>
              <w:top w:val="nil"/>
              <w:left w:val="nil"/>
              <w:bottom w:val="single" w:sz="4" w:space="0" w:color="auto"/>
              <w:right w:val="single" w:sz="4" w:space="0" w:color="auto"/>
            </w:tcBorders>
            <w:shd w:val="clear" w:color="auto" w:fill="D9D9D6"/>
            <w:noWrap/>
            <w:vAlign w:val="center"/>
          </w:tcPr>
          <w:p w14:paraId="532CA356" w14:textId="778FF7B1" w:rsidR="00EE1CC2" w:rsidRPr="005861D0" w:rsidRDefault="00EE1CC2" w:rsidP="00EE1CC2">
            <w:pPr>
              <w:spacing w:line="240" w:lineRule="auto"/>
              <w:jc w:val="right"/>
              <w:rPr>
                <w:rFonts w:ascii="Segoe UI" w:eastAsia="Times New Roman" w:hAnsi="Segoe UI" w:cs="Segoe UI"/>
                <w:i/>
                <w:iCs/>
                <w:sz w:val="22"/>
                <w:highlight w:val="yellow"/>
              </w:rPr>
            </w:pPr>
            <w:r w:rsidRPr="007D075A">
              <w:rPr>
                <w:rFonts w:ascii="Segoe UI" w:hAnsi="Segoe UI" w:cs="Segoe UI"/>
                <w:sz w:val="22"/>
              </w:rPr>
              <w:t>$1,388</w:t>
            </w:r>
          </w:p>
        </w:tc>
        <w:tc>
          <w:tcPr>
            <w:tcW w:w="1440" w:type="dxa"/>
            <w:tcBorders>
              <w:top w:val="nil"/>
              <w:left w:val="single" w:sz="4" w:space="0" w:color="auto"/>
              <w:bottom w:val="single" w:sz="4" w:space="0" w:color="auto"/>
              <w:right w:val="single" w:sz="4" w:space="0" w:color="auto"/>
            </w:tcBorders>
            <w:shd w:val="clear" w:color="auto" w:fill="D9D9D6"/>
            <w:noWrap/>
            <w:vAlign w:val="center"/>
          </w:tcPr>
          <w:p w14:paraId="7283083C" w14:textId="691E380F" w:rsidR="00EE1CC2" w:rsidRPr="005861D0" w:rsidRDefault="00EE1CC2" w:rsidP="00EE1CC2">
            <w:pPr>
              <w:spacing w:line="240" w:lineRule="auto"/>
              <w:jc w:val="right"/>
              <w:rPr>
                <w:rFonts w:ascii="Segoe UI" w:eastAsia="Times New Roman" w:hAnsi="Segoe UI" w:cs="Segoe UI"/>
                <w:i/>
                <w:iCs/>
                <w:sz w:val="22"/>
                <w:highlight w:val="yellow"/>
              </w:rPr>
            </w:pPr>
            <w:r w:rsidRPr="007D075A">
              <w:rPr>
                <w:rFonts w:ascii="Segoe UI" w:hAnsi="Segoe UI" w:cs="Segoe UI"/>
                <w:sz w:val="22"/>
              </w:rPr>
              <w:t>$339</w:t>
            </w:r>
          </w:p>
        </w:tc>
      </w:tr>
    </w:tbl>
    <w:p w14:paraId="5181F706" w14:textId="77777777" w:rsidR="0027478B" w:rsidRPr="00CF6436" w:rsidRDefault="0027478B" w:rsidP="00CF6436">
      <w:pPr>
        <w:spacing w:after="200" w:line="360" w:lineRule="auto"/>
        <w:rPr>
          <w:rFonts w:ascii="Segoe UI" w:hAnsi="Segoe UI" w:cs="Segoe UI"/>
        </w:rPr>
      </w:pPr>
    </w:p>
    <w:p w14:paraId="01EE8E6E" w14:textId="3DF05E0F" w:rsidR="00A9123D" w:rsidRPr="00CF6436" w:rsidRDefault="00A9123D" w:rsidP="00CF6436">
      <w:pPr>
        <w:pStyle w:val="Heading2Number"/>
        <w:spacing w:line="360" w:lineRule="auto"/>
        <w:rPr>
          <w:rFonts w:ascii="Segoe UI" w:hAnsi="Segoe UI" w:cs="Segoe UI"/>
        </w:rPr>
      </w:pPr>
      <w:bookmarkStart w:id="111" w:name="_Toc328554983"/>
      <w:bookmarkStart w:id="112" w:name="_Toc328555032"/>
      <w:bookmarkStart w:id="113" w:name="_Toc328567445"/>
      <w:bookmarkStart w:id="114" w:name="_Toc328568558"/>
      <w:bookmarkStart w:id="115" w:name="_Toc328568646"/>
      <w:bookmarkStart w:id="116" w:name="_Toc328568782"/>
      <w:bookmarkStart w:id="117" w:name="_Toc451951717"/>
      <w:bookmarkStart w:id="118" w:name="_Toc175640428"/>
      <w:bookmarkEnd w:id="111"/>
      <w:bookmarkEnd w:id="112"/>
      <w:bookmarkEnd w:id="113"/>
      <w:bookmarkEnd w:id="114"/>
      <w:bookmarkEnd w:id="115"/>
      <w:bookmarkEnd w:id="116"/>
      <w:r w:rsidRPr="31665127">
        <w:rPr>
          <w:rFonts w:ascii="Segoe UI" w:hAnsi="Segoe UI" w:cs="Segoe UI"/>
        </w:rPr>
        <w:t xml:space="preserve">Summary of the </w:t>
      </w:r>
      <w:r w:rsidR="000F20DC">
        <w:rPr>
          <w:rFonts w:ascii="Segoe UI" w:hAnsi="Segoe UI" w:cs="Segoe UI"/>
        </w:rPr>
        <w:t>Final</w:t>
      </w:r>
      <w:r w:rsidR="000F20DC" w:rsidRPr="31665127">
        <w:rPr>
          <w:rFonts w:ascii="Segoe UI" w:hAnsi="Segoe UI" w:cs="Segoe UI"/>
        </w:rPr>
        <w:t xml:space="preserve"> </w:t>
      </w:r>
      <w:r w:rsidR="00E1491A" w:rsidRPr="31665127">
        <w:rPr>
          <w:rFonts w:ascii="Segoe UI" w:hAnsi="Segoe UI" w:cs="Segoe UI"/>
        </w:rPr>
        <w:t xml:space="preserve">Patent </w:t>
      </w:r>
      <w:r w:rsidRPr="31665127">
        <w:rPr>
          <w:rFonts w:ascii="Segoe UI" w:hAnsi="Segoe UI" w:cs="Segoe UI"/>
        </w:rPr>
        <w:t>Fee Schedule (Alternative 1)</w:t>
      </w:r>
      <w:bookmarkEnd w:id="117"/>
      <w:bookmarkEnd w:id="118"/>
    </w:p>
    <w:p w14:paraId="37DABEFE" w14:textId="62077AB6" w:rsidR="00E21D9B" w:rsidRPr="00CF6436" w:rsidRDefault="411413FA" w:rsidP="293D3C50">
      <w:pPr>
        <w:spacing w:line="360" w:lineRule="auto"/>
        <w:ind w:firstLine="450"/>
        <w:rPr>
          <w:rFonts w:ascii="Segoe UI" w:hAnsi="Segoe UI" w:cs="Segoe UI"/>
        </w:rPr>
      </w:pPr>
      <w:r w:rsidRPr="293D3C50">
        <w:rPr>
          <w:rFonts w:ascii="Segoe UI" w:hAnsi="Segoe UI" w:cs="Segoe UI"/>
        </w:rPr>
        <w:t xml:space="preserve">The </w:t>
      </w:r>
      <w:r w:rsidR="2DC64D60" w:rsidRPr="293D3C50">
        <w:rPr>
          <w:rFonts w:ascii="Segoe UI" w:hAnsi="Segoe UI" w:cs="Segoe UI"/>
        </w:rPr>
        <w:t>a</w:t>
      </w:r>
      <w:r w:rsidRPr="293D3C50">
        <w:rPr>
          <w:rFonts w:ascii="Segoe UI" w:hAnsi="Segoe UI" w:cs="Segoe UI"/>
        </w:rPr>
        <w:t xml:space="preserve">ccounting </w:t>
      </w:r>
      <w:r w:rsidR="207D3A4C" w:rsidRPr="293D3C50">
        <w:rPr>
          <w:rFonts w:ascii="Segoe UI" w:hAnsi="Segoe UI" w:cs="Segoe UI"/>
        </w:rPr>
        <w:t>s</w:t>
      </w:r>
      <w:r w:rsidRPr="293D3C50">
        <w:rPr>
          <w:rFonts w:ascii="Segoe UI" w:hAnsi="Segoe UI" w:cs="Segoe UI"/>
        </w:rPr>
        <w:t xml:space="preserve">tatement shown in Table </w:t>
      </w:r>
      <w:r w:rsidR="3D737AC5" w:rsidRPr="293D3C50">
        <w:rPr>
          <w:rFonts w:ascii="Segoe UI" w:hAnsi="Segoe UI" w:cs="Segoe UI"/>
        </w:rPr>
        <w:t>3</w:t>
      </w:r>
      <w:r w:rsidRPr="293D3C50">
        <w:rPr>
          <w:rFonts w:ascii="Segoe UI" w:hAnsi="Segoe UI" w:cs="Segoe UI"/>
        </w:rPr>
        <w:t>-</w:t>
      </w:r>
      <w:r w:rsidR="456DC587" w:rsidRPr="293D3C50">
        <w:rPr>
          <w:rFonts w:ascii="Segoe UI" w:hAnsi="Segoe UI" w:cs="Segoe UI"/>
        </w:rPr>
        <w:t>9</w:t>
      </w:r>
      <w:r w:rsidRPr="293D3C50">
        <w:rPr>
          <w:rFonts w:ascii="Segoe UI" w:hAnsi="Segoe UI" w:cs="Segoe UI"/>
        </w:rPr>
        <w:t xml:space="preserve"> summarizes the</w:t>
      </w:r>
      <w:r w:rsidR="02D8B00A" w:rsidRPr="293D3C50">
        <w:rPr>
          <w:rFonts w:ascii="Segoe UI" w:hAnsi="Segoe UI" w:cs="Segoe UI"/>
        </w:rPr>
        <w:t xml:space="preserve"> qualitative</w:t>
      </w:r>
      <w:r w:rsidRPr="293D3C50">
        <w:rPr>
          <w:rFonts w:ascii="Segoe UI" w:hAnsi="Segoe UI" w:cs="Segoe UI"/>
        </w:rPr>
        <w:t xml:space="preserve"> </w:t>
      </w:r>
      <w:r w:rsidR="769BF7EB" w:rsidRPr="293D3C50">
        <w:rPr>
          <w:rFonts w:ascii="Segoe UI" w:hAnsi="Segoe UI" w:cs="Segoe UI"/>
        </w:rPr>
        <w:t>costs</w:t>
      </w:r>
      <w:r w:rsidR="5C4B2EB5" w:rsidRPr="293D3C50">
        <w:rPr>
          <w:rFonts w:ascii="Segoe UI" w:hAnsi="Segoe UI" w:cs="Segoe UI"/>
        </w:rPr>
        <w:t>,</w:t>
      </w:r>
      <w:r w:rsidR="769BF7EB" w:rsidRPr="293D3C50">
        <w:rPr>
          <w:rFonts w:ascii="Segoe UI" w:hAnsi="Segoe UI" w:cs="Segoe UI"/>
        </w:rPr>
        <w:t xml:space="preserve"> </w:t>
      </w:r>
      <w:r w:rsidRPr="293D3C50">
        <w:rPr>
          <w:rFonts w:ascii="Segoe UI" w:hAnsi="Segoe UI" w:cs="Segoe UI"/>
        </w:rPr>
        <w:t>benefits</w:t>
      </w:r>
      <w:r w:rsidR="1B2C07A8" w:rsidRPr="293D3C50">
        <w:rPr>
          <w:rFonts w:ascii="Segoe UI" w:hAnsi="Segoe UI" w:cs="Segoe UI"/>
        </w:rPr>
        <w:t>,</w:t>
      </w:r>
      <w:r w:rsidR="02D8B00A" w:rsidRPr="293D3C50">
        <w:rPr>
          <w:rFonts w:ascii="Segoe UI" w:hAnsi="Segoe UI" w:cs="Segoe UI"/>
        </w:rPr>
        <w:t xml:space="preserve"> </w:t>
      </w:r>
      <w:r w:rsidR="193C6965" w:rsidRPr="293D3C50">
        <w:rPr>
          <w:rFonts w:ascii="Segoe UI" w:hAnsi="Segoe UI" w:cs="Segoe UI"/>
        </w:rPr>
        <w:t>and</w:t>
      </w:r>
      <w:r w:rsidR="02D8B00A" w:rsidRPr="293D3C50">
        <w:rPr>
          <w:rFonts w:ascii="Segoe UI" w:hAnsi="Segoe UI" w:cs="Segoe UI"/>
        </w:rPr>
        <w:t xml:space="preserve"> </w:t>
      </w:r>
      <w:r w:rsidRPr="293D3C50">
        <w:rPr>
          <w:rFonts w:ascii="Segoe UI" w:hAnsi="Segoe UI" w:cs="Segoe UI"/>
        </w:rPr>
        <w:t xml:space="preserve">other impacts of the </w:t>
      </w:r>
      <w:r w:rsidR="000F20DC">
        <w:rPr>
          <w:rFonts w:ascii="Segoe UI" w:hAnsi="Segoe UI" w:cs="Segoe UI"/>
        </w:rPr>
        <w:t>Final</w:t>
      </w:r>
      <w:r w:rsidR="000F20DC" w:rsidRPr="293D3C50">
        <w:rPr>
          <w:rFonts w:ascii="Segoe UI" w:hAnsi="Segoe UI" w:cs="Segoe UI"/>
        </w:rPr>
        <w:t xml:space="preserve"> </w:t>
      </w:r>
      <w:r w:rsidR="61FC3187" w:rsidRPr="293D3C50">
        <w:rPr>
          <w:rFonts w:ascii="Segoe UI" w:hAnsi="Segoe UI" w:cs="Segoe UI"/>
        </w:rPr>
        <w:t>Patent Fee Schedule</w:t>
      </w:r>
      <w:r w:rsidRPr="293D3C50">
        <w:rPr>
          <w:rFonts w:ascii="Segoe UI" w:hAnsi="Segoe UI" w:cs="Segoe UI"/>
        </w:rPr>
        <w:t xml:space="preserve"> (Alternative 1).</w:t>
      </w:r>
      <w:r w:rsidR="45CD739F" w:rsidRPr="293D3C50">
        <w:rPr>
          <w:rFonts w:ascii="Segoe UI" w:hAnsi="Segoe UI" w:cs="Segoe UI"/>
        </w:rPr>
        <w:t xml:space="preserve"> </w:t>
      </w:r>
      <w:r w:rsidRPr="293D3C50">
        <w:rPr>
          <w:rFonts w:ascii="Segoe UI" w:hAnsi="Segoe UI" w:cs="Segoe UI"/>
        </w:rPr>
        <w:t xml:space="preserve">Overall, </w:t>
      </w:r>
      <w:r w:rsidR="7C5937D8" w:rsidRPr="293D3C50">
        <w:rPr>
          <w:rFonts w:ascii="Segoe UI" w:hAnsi="Segoe UI" w:cs="Segoe UI"/>
        </w:rPr>
        <w:t>th</w:t>
      </w:r>
      <w:r w:rsidR="14008AB9" w:rsidRPr="293D3C50">
        <w:rPr>
          <w:rFonts w:ascii="Segoe UI" w:hAnsi="Segoe UI" w:cs="Segoe UI"/>
        </w:rPr>
        <w:t>e</w:t>
      </w:r>
      <w:r w:rsidR="7C5937D8" w:rsidRPr="293D3C50">
        <w:rPr>
          <w:rFonts w:ascii="Segoe UI" w:hAnsi="Segoe UI" w:cs="Segoe UI"/>
        </w:rPr>
        <w:t xml:space="preserve"> </w:t>
      </w:r>
      <w:r w:rsidR="000F20DC">
        <w:rPr>
          <w:rFonts w:ascii="Segoe UI" w:hAnsi="Segoe UI" w:cs="Segoe UI"/>
        </w:rPr>
        <w:t>Final</w:t>
      </w:r>
      <w:r w:rsidR="000F20DC" w:rsidRPr="293D3C50">
        <w:rPr>
          <w:rFonts w:ascii="Segoe UI" w:hAnsi="Segoe UI" w:cs="Segoe UI"/>
        </w:rPr>
        <w:t xml:space="preserve"> </w:t>
      </w:r>
      <w:r w:rsidR="43089480" w:rsidRPr="293D3C50">
        <w:rPr>
          <w:rFonts w:ascii="Segoe UI" w:hAnsi="Segoe UI" w:cs="Segoe UI"/>
        </w:rPr>
        <w:t xml:space="preserve">Patent </w:t>
      </w:r>
      <w:r w:rsidR="76EF3392" w:rsidRPr="293D3C50">
        <w:rPr>
          <w:rFonts w:ascii="Segoe UI" w:hAnsi="Segoe UI" w:cs="Segoe UI"/>
        </w:rPr>
        <w:t>Fee Schedule</w:t>
      </w:r>
      <w:r w:rsidRPr="293D3C50">
        <w:rPr>
          <w:rFonts w:ascii="Segoe UI" w:hAnsi="Segoe UI" w:cs="Segoe UI"/>
        </w:rPr>
        <w:t xml:space="preserve"> has </w:t>
      </w:r>
      <w:r w:rsidR="7BFF95DC" w:rsidRPr="293D3C50">
        <w:rPr>
          <w:rFonts w:ascii="Segoe UI" w:hAnsi="Segoe UI" w:cs="Segoe UI"/>
        </w:rPr>
        <w:t xml:space="preserve">significant </w:t>
      </w:r>
      <w:r w:rsidR="5355A0D3" w:rsidRPr="293D3C50">
        <w:rPr>
          <w:rFonts w:ascii="Segoe UI" w:hAnsi="Segoe UI" w:cs="Segoe UI"/>
        </w:rPr>
        <w:t xml:space="preserve">qualitative </w:t>
      </w:r>
      <w:r w:rsidRPr="293D3C50">
        <w:rPr>
          <w:rFonts w:ascii="Segoe UI" w:hAnsi="Segoe UI" w:cs="Segoe UI"/>
        </w:rPr>
        <w:t xml:space="preserve">benefits to patent applicants, patent holders, other patent stakeholders, and society, with </w:t>
      </w:r>
      <w:r w:rsidR="21B3F730" w:rsidRPr="293D3C50">
        <w:rPr>
          <w:rFonts w:ascii="Segoe UI" w:hAnsi="Segoe UI" w:cs="Segoe UI"/>
        </w:rPr>
        <w:t xml:space="preserve">no identified </w:t>
      </w:r>
      <w:r w:rsidR="02D8B00A" w:rsidRPr="293D3C50">
        <w:rPr>
          <w:rFonts w:ascii="Segoe UI" w:hAnsi="Segoe UI" w:cs="Segoe UI"/>
        </w:rPr>
        <w:t xml:space="preserve">qualitative </w:t>
      </w:r>
      <w:r w:rsidRPr="293D3C50">
        <w:rPr>
          <w:rFonts w:ascii="Segoe UI" w:hAnsi="Segoe UI" w:cs="Segoe UI"/>
        </w:rPr>
        <w:t>costs.</w:t>
      </w:r>
    </w:p>
    <w:p w14:paraId="5DDDF67B" w14:textId="77777777" w:rsidR="0053022C" w:rsidRPr="00CF6436" w:rsidRDefault="0053022C" w:rsidP="00CF6436">
      <w:pPr>
        <w:spacing w:after="200" w:line="360" w:lineRule="auto"/>
        <w:rPr>
          <w:rFonts w:ascii="Segoe UI" w:hAnsi="Segoe UI" w:cs="Segoe UI"/>
          <w:b/>
          <w:bCs/>
          <w:sz w:val="22"/>
          <w:szCs w:val="18"/>
        </w:rPr>
      </w:pPr>
    </w:p>
    <w:p w14:paraId="2745C638" w14:textId="75FE5A60" w:rsidR="00381F5C" w:rsidRPr="00CF6436" w:rsidRDefault="2B9C368D" w:rsidP="17CECF10">
      <w:pPr>
        <w:pStyle w:val="Caption"/>
        <w:keepNext/>
        <w:spacing w:line="360" w:lineRule="auto"/>
        <w:rPr>
          <w:rFonts w:ascii="Segoe UI" w:hAnsi="Segoe UI" w:cs="Segoe UI"/>
          <w:sz w:val="24"/>
          <w:szCs w:val="24"/>
        </w:rPr>
      </w:pPr>
      <w:r w:rsidRPr="17CECF10">
        <w:rPr>
          <w:rFonts w:ascii="Segoe UI" w:hAnsi="Segoe UI" w:cs="Segoe UI"/>
          <w:sz w:val="24"/>
          <w:szCs w:val="24"/>
        </w:rPr>
        <w:lastRenderedPageBreak/>
        <w:t xml:space="preserve">Table </w:t>
      </w:r>
      <w:r w:rsidR="218CC48A" w:rsidRPr="17CECF10">
        <w:rPr>
          <w:rFonts w:ascii="Segoe UI" w:hAnsi="Segoe UI" w:cs="Segoe UI"/>
          <w:sz w:val="24"/>
          <w:szCs w:val="24"/>
        </w:rPr>
        <w:t>3</w:t>
      </w:r>
      <w:r w:rsidR="3EA1F685" w:rsidRPr="17CECF10">
        <w:rPr>
          <w:rFonts w:ascii="Segoe UI" w:hAnsi="Segoe UI" w:cs="Segoe UI"/>
          <w:sz w:val="24"/>
          <w:szCs w:val="24"/>
        </w:rPr>
        <w:t>-</w:t>
      </w:r>
      <w:r w:rsidR="5FC10F52" w:rsidRPr="17CECF10">
        <w:rPr>
          <w:rFonts w:ascii="Segoe UI" w:hAnsi="Segoe UI" w:cs="Segoe UI"/>
          <w:sz w:val="24"/>
          <w:szCs w:val="24"/>
        </w:rPr>
        <w:t>9</w:t>
      </w:r>
    </w:p>
    <w:tbl>
      <w:tblPr>
        <w:tblStyle w:val="TableGrid11"/>
        <w:tblW w:w="0" w:type="auto"/>
        <w:tblLook w:val="04A0" w:firstRow="1" w:lastRow="0" w:firstColumn="1" w:lastColumn="0" w:noHBand="0" w:noVBand="1"/>
        <w:tblCaption w:val="Required OMB Summary Table"/>
        <w:tblDescription w:val="Per OMB requirements, provides a summary of costs and benefits with primary, minimum, and maximum estimates as well as citations to where in the document one can find more information."/>
      </w:tblPr>
      <w:tblGrid>
        <w:gridCol w:w="2389"/>
        <w:gridCol w:w="1658"/>
        <w:gridCol w:w="1583"/>
        <w:gridCol w:w="1586"/>
        <w:gridCol w:w="1688"/>
      </w:tblGrid>
      <w:tr w:rsidR="00381F5C" w:rsidRPr="005362C8" w14:paraId="43D4BB0E" w14:textId="77777777" w:rsidTr="17CECF10">
        <w:trPr>
          <w:cantSplit/>
          <w:tblHeader/>
        </w:trPr>
        <w:tc>
          <w:tcPr>
            <w:tcW w:w="89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9C831D6" w14:textId="0EF90D59" w:rsidR="00381F5C" w:rsidRPr="00F4704C" w:rsidRDefault="47809D90" w:rsidP="17CECF10">
            <w:pPr>
              <w:spacing w:before="120" w:line="240" w:lineRule="auto"/>
              <w:rPr>
                <w:rFonts w:ascii="Segoe UI" w:hAnsi="Segoe UI" w:cs="Segoe UI"/>
                <w:b/>
                <w:bCs/>
                <w:szCs w:val="24"/>
              </w:rPr>
            </w:pPr>
            <w:r w:rsidRPr="00F4704C">
              <w:rPr>
                <w:rFonts w:ascii="Segoe UI" w:hAnsi="Segoe UI" w:cs="Segoe UI"/>
                <w:b/>
                <w:bCs/>
                <w:sz w:val="22"/>
                <w:szCs w:val="22"/>
              </w:rPr>
              <w:t>Agency/Program Office:</w:t>
            </w:r>
            <w:r w:rsidR="73CE5D64" w:rsidRPr="00F4704C">
              <w:rPr>
                <w:rFonts w:ascii="Segoe UI" w:hAnsi="Segoe UI" w:cs="Segoe UI"/>
                <w:b/>
                <w:bCs/>
                <w:sz w:val="22"/>
                <w:szCs w:val="22"/>
              </w:rPr>
              <w:t xml:space="preserve"> </w:t>
            </w:r>
            <w:r w:rsidRPr="00F4704C">
              <w:rPr>
                <w:rFonts w:ascii="Segoe UI" w:hAnsi="Segoe UI" w:cs="Segoe UI"/>
                <w:b/>
                <w:bCs/>
                <w:sz w:val="22"/>
                <w:szCs w:val="22"/>
              </w:rPr>
              <w:t>United States Patent and Trademark Office</w:t>
            </w:r>
          </w:p>
          <w:p w14:paraId="002CB1FE" w14:textId="5C88EAF8" w:rsidR="00381F5C" w:rsidRPr="00F4704C" w:rsidRDefault="70756AD8" w:rsidP="17CECF10">
            <w:pPr>
              <w:spacing w:before="120" w:line="240" w:lineRule="auto"/>
              <w:rPr>
                <w:rFonts w:ascii="Segoe UI" w:hAnsi="Segoe UI" w:cs="Segoe UI"/>
                <w:b/>
                <w:bCs/>
                <w:szCs w:val="24"/>
              </w:rPr>
            </w:pPr>
            <w:r w:rsidRPr="00F4704C">
              <w:rPr>
                <w:rFonts w:ascii="Segoe UI" w:hAnsi="Segoe UI" w:cs="Segoe UI"/>
                <w:b/>
                <w:bCs/>
                <w:sz w:val="22"/>
                <w:szCs w:val="22"/>
              </w:rPr>
              <w:t>Rule Title:</w:t>
            </w:r>
            <w:r w:rsidR="22A95970" w:rsidRPr="00F4704C">
              <w:rPr>
                <w:rFonts w:ascii="Segoe UI" w:hAnsi="Segoe UI" w:cs="Segoe UI"/>
                <w:b/>
                <w:bCs/>
                <w:sz w:val="22"/>
                <w:szCs w:val="22"/>
              </w:rPr>
              <w:t xml:space="preserve"> </w:t>
            </w:r>
            <w:r w:rsidRPr="00F4704C">
              <w:rPr>
                <w:rFonts w:ascii="Segoe UI" w:hAnsi="Segoe UI" w:cs="Segoe UI"/>
                <w:b/>
                <w:bCs/>
                <w:sz w:val="22"/>
                <w:szCs w:val="22"/>
              </w:rPr>
              <w:t>Setting and Adjusting Patent Fees</w:t>
            </w:r>
            <w:r w:rsidR="42F3F0F0" w:rsidRPr="00F4704C">
              <w:rPr>
                <w:rFonts w:ascii="Segoe UI" w:hAnsi="Segoe UI" w:cs="Segoe UI"/>
                <w:b/>
                <w:bCs/>
                <w:sz w:val="22"/>
                <w:szCs w:val="22"/>
              </w:rPr>
              <w:t xml:space="preserve"> </w:t>
            </w:r>
            <w:r w:rsidR="4D872925" w:rsidRPr="00F4704C">
              <w:rPr>
                <w:rFonts w:ascii="Segoe UI" w:hAnsi="Segoe UI" w:cs="Segoe UI"/>
                <w:b/>
                <w:bCs/>
                <w:sz w:val="22"/>
                <w:szCs w:val="22"/>
              </w:rPr>
              <w:t>D</w:t>
            </w:r>
            <w:r w:rsidR="42F3F0F0" w:rsidRPr="00F4704C">
              <w:rPr>
                <w:rFonts w:ascii="Segoe UI" w:hAnsi="Segoe UI" w:cs="Segoe UI"/>
                <w:b/>
                <w:bCs/>
                <w:sz w:val="22"/>
                <w:szCs w:val="22"/>
              </w:rPr>
              <w:t>uring Fiscal Year 202</w:t>
            </w:r>
            <w:r w:rsidR="621AA1A1" w:rsidRPr="00F4704C">
              <w:rPr>
                <w:rFonts w:ascii="Segoe UI" w:hAnsi="Segoe UI" w:cs="Segoe UI"/>
                <w:b/>
                <w:bCs/>
                <w:sz w:val="22"/>
                <w:szCs w:val="22"/>
              </w:rPr>
              <w:t>5</w:t>
            </w:r>
          </w:p>
          <w:p w14:paraId="4DB5092E" w14:textId="1A5328AA" w:rsidR="00381F5C" w:rsidRPr="00F4704C" w:rsidRDefault="47809D90" w:rsidP="17CECF10">
            <w:pPr>
              <w:spacing w:before="120" w:line="240" w:lineRule="auto"/>
              <w:rPr>
                <w:rFonts w:ascii="Segoe UI" w:hAnsi="Segoe UI" w:cs="Segoe UI"/>
                <w:b/>
                <w:bCs/>
                <w:szCs w:val="24"/>
              </w:rPr>
            </w:pPr>
            <w:r w:rsidRPr="00F4704C">
              <w:rPr>
                <w:rFonts w:ascii="Segoe UI" w:hAnsi="Segoe UI" w:cs="Segoe UI"/>
                <w:b/>
                <w:bCs/>
                <w:sz w:val="22"/>
                <w:szCs w:val="22"/>
              </w:rPr>
              <w:t>RIN:</w:t>
            </w:r>
            <w:r w:rsidR="73CE5D64" w:rsidRPr="00F4704C">
              <w:rPr>
                <w:rFonts w:ascii="Segoe UI" w:hAnsi="Segoe UI" w:cs="Segoe UI"/>
                <w:b/>
                <w:bCs/>
                <w:sz w:val="22"/>
                <w:szCs w:val="22"/>
              </w:rPr>
              <w:t xml:space="preserve"> </w:t>
            </w:r>
            <w:r w:rsidR="07E813F0" w:rsidRPr="00F4704C">
              <w:rPr>
                <w:rFonts w:ascii="Segoe UI" w:hAnsi="Segoe UI" w:cs="Segoe UI"/>
                <w:b/>
                <w:bCs/>
                <w:sz w:val="22"/>
                <w:szCs w:val="22"/>
              </w:rPr>
              <w:t>0651-AD31</w:t>
            </w:r>
          </w:p>
          <w:p w14:paraId="352E147C" w14:textId="2A08D0BF" w:rsidR="00381F5C" w:rsidRPr="00F4704C" w:rsidRDefault="47809D90" w:rsidP="17CECF10">
            <w:pPr>
              <w:spacing w:before="120" w:line="240" w:lineRule="auto"/>
              <w:rPr>
                <w:rFonts w:ascii="Segoe UI" w:hAnsi="Segoe UI" w:cs="Segoe UI"/>
                <w:b/>
                <w:bCs/>
                <w:szCs w:val="24"/>
              </w:rPr>
            </w:pPr>
            <w:r w:rsidRPr="00F4704C">
              <w:rPr>
                <w:rFonts w:ascii="Segoe UI" w:hAnsi="Segoe UI" w:cs="Segoe UI"/>
                <w:b/>
                <w:bCs/>
                <w:sz w:val="22"/>
                <w:szCs w:val="22"/>
              </w:rPr>
              <w:t>Date:</w:t>
            </w:r>
            <w:r w:rsidR="4B0A9098" w:rsidRPr="00F4704C">
              <w:rPr>
                <w:rFonts w:ascii="Segoe UI" w:hAnsi="Segoe UI" w:cs="Segoe UI"/>
                <w:b/>
                <w:bCs/>
                <w:sz w:val="22"/>
                <w:szCs w:val="22"/>
              </w:rPr>
              <w:t xml:space="preserve"> </w:t>
            </w:r>
            <w:r w:rsidR="00F4704C" w:rsidRPr="00F4704C">
              <w:rPr>
                <w:rFonts w:ascii="Segoe UI" w:hAnsi="Segoe UI" w:cs="Segoe UI"/>
                <w:b/>
                <w:bCs/>
                <w:sz w:val="22"/>
                <w:szCs w:val="22"/>
              </w:rPr>
              <w:t>November 20, 2024</w:t>
            </w:r>
          </w:p>
        </w:tc>
      </w:tr>
      <w:tr w:rsidR="00381F5C" w:rsidRPr="005362C8" w14:paraId="46FC2B24" w14:textId="77777777" w:rsidTr="17CECF10">
        <w:trPr>
          <w:cantSplit/>
          <w:tblHeader/>
        </w:trPr>
        <w:tc>
          <w:tcPr>
            <w:tcW w:w="2389" w:type="dxa"/>
            <w:tcBorders>
              <w:top w:val="single" w:sz="4" w:space="0" w:color="auto"/>
              <w:left w:val="single" w:sz="4" w:space="0" w:color="auto"/>
              <w:bottom w:val="single" w:sz="4" w:space="0" w:color="auto"/>
              <w:right w:val="single" w:sz="4" w:space="0" w:color="auto"/>
            </w:tcBorders>
            <w:vAlign w:val="center"/>
            <w:hideMark/>
          </w:tcPr>
          <w:p w14:paraId="5318D20A" w14:textId="77777777" w:rsidR="00381F5C" w:rsidRPr="00F65FC8" w:rsidRDefault="47809D90" w:rsidP="17CECF10">
            <w:pPr>
              <w:spacing w:before="120" w:line="240" w:lineRule="auto"/>
              <w:jc w:val="center"/>
              <w:rPr>
                <w:rFonts w:ascii="Segoe UI" w:hAnsi="Segoe UI" w:cs="Segoe UI"/>
                <w:b/>
                <w:bCs/>
                <w:i/>
                <w:iCs/>
                <w:szCs w:val="24"/>
              </w:rPr>
            </w:pPr>
            <w:r w:rsidRPr="17CECF10">
              <w:rPr>
                <w:rFonts w:ascii="Segoe UI" w:hAnsi="Segoe UI" w:cs="Segoe UI"/>
                <w:b/>
                <w:bCs/>
                <w:i/>
                <w:iCs/>
                <w:sz w:val="22"/>
                <w:szCs w:val="22"/>
              </w:rPr>
              <w:t>Category</w:t>
            </w:r>
          </w:p>
        </w:tc>
        <w:tc>
          <w:tcPr>
            <w:tcW w:w="1658" w:type="dxa"/>
            <w:tcBorders>
              <w:top w:val="single" w:sz="4" w:space="0" w:color="auto"/>
              <w:left w:val="single" w:sz="4" w:space="0" w:color="auto"/>
              <w:bottom w:val="single" w:sz="4" w:space="0" w:color="auto"/>
              <w:right w:val="single" w:sz="4" w:space="0" w:color="auto"/>
            </w:tcBorders>
            <w:vAlign w:val="center"/>
            <w:hideMark/>
          </w:tcPr>
          <w:p w14:paraId="7A3EAE2F" w14:textId="4EB41440" w:rsidR="00381F5C" w:rsidRPr="005362C8" w:rsidRDefault="731E90D1" w:rsidP="17CECF10">
            <w:pPr>
              <w:spacing w:before="120" w:line="240" w:lineRule="auto"/>
              <w:jc w:val="center"/>
              <w:rPr>
                <w:rFonts w:ascii="Segoe UI" w:hAnsi="Segoe UI" w:cs="Segoe UI"/>
                <w:b/>
                <w:bCs/>
                <w:i/>
                <w:iCs/>
                <w:szCs w:val="24"/>
              </w:rPr>
            </w:pPr>
            <w:r w:rsidRPr="17CECF10">
              <w:rPr>
                <w:rFonts w:ascii="Segoe UI" w:hAnsi="Segoe UI" w:cs="Segoe UI"/>
                <w:b/>
                <w:bCs/>
                <w:i/>
                <w:iCs/>
                <w:sz w:val="22"/>
                <w:szCs w:val="22"/>
              </w:rPr>
              <w:t xml:space="preserve">Primary </w:t>
            </w:r>
            <w:r w:rsidR="152414A1" w:rsidRPr="17CECF10">
              <w:rPr>
                <w:rFonts w:ascii="Segoe UI" w:hAnsi="Segoe UI" w:cs="Segoe UI"/>
                <w:b/>
                <w:bCs/>
                <w:i/>
                <w:iCs/>
                <w:sz w:val="22"/>
                <w:szCs w:val="22"/>
              </w:rPr>
              <w:t>e</w:t>
            </w:r>
            <w:r w:rsidRPr="17CECF10">
              <w:rPr>
                <w:rFonts w:ascii="Segoe UI" w:hAnsi="Segoe UI" w:cs="Segoe UI"/>
                <w:b/>
                <w:bCs/>
                <w:i/>
                <w:iCs/>
                <w:sz w:val="22"/>
                <w:szCs w:val="22"/>
              </w:rPr>
              <w:t>stimate</w:t>
            </w:r>
          </w:p>
        </w:tc>
        <w:tc>
          <w:tcPr>
            <w:tcW w:w="1583" w:type="dxa"/>
            <w:tcBorders>
              <w:top w:val="single" w:sz="4" w:space="0" w:color="auto"/>
              <w:left w:val="single" w:sz="4" w:space="0" w:color="auto"/>
              <w:bottom w:val="single" w:sz="4" w:space="0" w:color="auto"/>
              <w:right w:val="single" w:sz="4" w:space="0" w:color="auto"/>
            </w:tcBorders>
            <w:vAlign w:val="center"/>
            <w:hideMark/>
          </w:tcPr>
          <w:p w14:paraId="51AD3822" w14:textId="6CBD8378" w:rsidR="00381F5C" w:rsidRPr="005362C8" w:rsidRDefault="731E90D1" w:rsidP="17CECF10">
            <w:pPr>
              <w:spacing w:before="120" w:line="240" w:lineRule="auto"/>
              <w:jc w:val="center"/>
              <w:rPr>
                <w:rFonts w:ascii="Segoe UI" w:hAnsi="Segoe UI" w:cs="Segoe UI"/>
                <w:b/>
                <w:bCs/>
                <w:i/>
                <w:iCs/>
                <w:szCs w:val="24"/>
              </w:rPr>
            </w:pPr>
            <w:r w:rsidRPr="17CECF10">
              <w:rPr>
                <w:rFonts w:ascii="Segoe UI" w:hAnsi="Segoe UI" w:cs="Segoe UI"/>
                <w:b/>
                <w:bCs/>
                <w:i/>
                <w:iCs/>
                <w:sz w:val="22"/>
                <w:szCs w:val="22"/>
              </w:rPr>
              <w:t xml:space="preserve">Minimum </w:t>
            </w:r>
            <w:r w:rsidR="51F45C35" w:rsidRPr="17CECF10">
              <w:rPr>
                <w:rFonts w:ascii="Segoe UI" w:hAnsi="Segoe UI" w:cs="Segoe UI"/>
                <w:b/>
                <w:bCs/>
                <w:i/>
                <w:iCs/>
                <w:sz w:val="22"/>
                <w:szCs w:val="22"/>
              </w:rPr>
              <w:t>e</w:t>
            </w:r>
            <w:r w:rsidRPr="17CECF10">
              <w:rPr>
                <w:rFonts w:ascii="Segoe UI" w:hAnsi="Segoe UI" w:cs="Segoe UI"/>
                <w:b/>
                <w:bCs/>
                <w:i/>
                <w:iCs/>
                <w:sz w:val="22"/>
                <w:szCs w:val="22"/>
              </w:rPr>
              <w:t>stimate</w:t>
            </w:r>
          </w:p>
        </w:tc>
        <w:tc>
          <w:tcPr>
            <w:tcW w:w="1586" w:type="dxa"/>
            <w:tcBorders>
              <w:top w:val="single" w:sz="4" w:space="0" w:color="auto"/>
              <w:left w:val="single" w:sz="4" w:space="0" w:color="auto"/>
              <w:bottom w:val="single" w:sz="4" w:space="0" w:color="auto"/>
              <w:right w:val="single" w:sz="4" w:space="0" w:color="auto"/>
            </w:tcBorders>
            <w:vAlign w:val="center"/>
            <w:hideMark/>
          </w:tcPr>
          <w:p w14:paraId="7D4F6250" w14:textId="288A8DD6" w:rsidR="00381F5C" w:rsidRPr="005362C8" w:rsidRDefault="731E90D1" w:rsidP="17CECF10">
            <w:pPr>
              <w:spacing w:before="120" w:line="240" w:lineRule="auto"/>
              <w:jc w:val="center"/>
              <w:rPr>
                <w:rFonts w:ascii="Segoe UI" w:hAnsi="Segoe UI" w:cs="Segoe UI"/>
                <w:b/>
                <w:bCs/>
                <w:i/>
                <w:iCs/>
                <w:szCs w:val="24"/>
              </w:rPr>
            </w:pPr>
            <w:r w:rsidRPr="17CECF10">
              <w:rPr>
                <w:rFonts w:ascii="Segoe UI" w:hAnsi="Segoe UI" w:cs="Segoe UI"/>
                <w:b/>
                <w:bCs/>
                <w:i/>
                <w:iCs/>
                <w:sz w:val="22"/>
                <w:szCs w:val="22"/>
              </w:rPr>
              <w:t xml:space="preserve">Maximum </w:t>
            </w:r>
            <w:r w:rsidR="4E684DA6" w:rsidRPr="17CECF10">
              <w:rPr>
                <w:rFonts w:ascii="Segoe UI" w:hAnsi="Segoe UI" w:cs="Segoe UI"/>
                <w:b/>
                <w:bCs/>
                <w:i/>
                <w:iCs/>
                <w:sz w:val="22"/>
                <w:szCs w:val="22"/>
              </w:rPr>
              <w:t>e</w:t>
            </w:r>
            <w:r w:rsidRPr="17CECF10">
              <w:rPr>
                <w:rFonts w:ascii="Segoe UI" w:hAnsi="Segoe UI" w:cs="Segoe UI"/>
                <w:b/>
                <w:bCs/>
                <w:i/>
                <w:iCs/>
                <w:sz w:val="22"/>
                <w:szCs w:val="22"/>
              </w:rPr>
              <w:t>stimate</w:t>
            </w:r>
          </w:p>
        </w:tc>
        <w:tc>
          <w:tcPr>
            <w:tcW w:w="1688" w:type="dxa"/>
            <w:tcBorders>
              <w:top w:val="single" w:sz="4" w:space="0" w:color="auto"/>
              <w:left w:val="single" w:sz="4" w:space="0" w:color="auto"/>
              <w:bottom w:val="single" w:sz="4" w:space="0" w:color="auto"/>
              <w:right w:val="single" w:sz="4" w:space="0" w:color="auto"/>
            </w:tcBorders>
            <w:vAlign w:val="center"/>
            <w:hideMark/>
          </w:tcPr>
          <w:p w14:paraId="697BA1D4" w14:textId="7085408F" w:rsidR="00381F5C" w:rsidRPr="005362C8" w:rsidRDefault="731E90D1" w:rsidP="17CECF10">
            <w:pPr>
              <w:spacing w:before="120" w:line="240" w:lineRule="auto"/>
              <w:jc w:val="center"/>
              <w:rPr>
                <w:rFonts w:ascii="Segoe UI" w:hAnsi="Segoe UI" w:cs="Segoe UI"/>
                <w:b/>
                <w:bCs/>
                <w:i/>
                <w:iCs/>
                <w:szCs w:val="24"/>
              </w:rPr>
            </w:pPr>
            <w:r w:rsidRPr="17CECF10">
              <w:rPr>
                <w:rFonts w:ascii="Segoe UI" w:hAnsi="Segoe UI" w:cs="Segoe UI"/>
                <w:b/>
                <w:bCs/>
                <w:i/>
                <w:iCs/>
                <w:sz w:val="22"/>
                <w:szCs w:val="22"/>
              </w:rPr>
              <w:t xml:space="preserve">Source </w:t>
            </w:r>
            <w:r w:rsidR="098499E8" w:rsidRPr="17CECF10">
              <w:rPr>
                <w:rFonts w:ascii="Segoe UI" w:hAnsi="Segoe UI" w:cs="Segoe UI"/>
                <w:b/>
                <w:bCs/>
                <w:i/>
                <w:iCs/>
                <w:sz w:val="22"/>
                <w:szCs w:val="22"/>
              </w:rPr>
              <w:t>c</w:t>
            </w:r>
            <w:r w:rsidRPr="17CECF10">
              <w:rPr>
                <w:rFonts w:ascii="Segoe UI" w:hAnsi="Segoe UI" w:cs="Segoe UI"/>
                <w:b/>
                <w:bCs/>
                <w:i/>
                <w:iCs/>
                <w:sz w:val="22"/>
                <w:szCs w:val="22"/>
              </w:rPr>
              <w:t>itation</w:t>
            </w:r>
          </w:p>
        </w:tc>
      </w:tr>
      <w:tr w:rsidR="00381F5C" w:rsidRPr="005362C8" w14:paraId="3C67C8C4" w14:textId="77777777" w:rsidTr="17CECF10">
        <w:trPr>
          <w:cantSplit/>
        </w:trPr>
        <w:tc>
          <w:tcPr>
            <w:tcW w:w="2389" w:type="dxa"/>
            <w:tcBorders>
              <w:top w:val="single" w:sz="4" w:space="0" w:color="auto"/>
              <w:left w:val="single" w:sz="4" w:space="0" w:color="auto"/>
              <w:bottom w:val="single" w:sz="4" w:space="0" w:color="auto"/>
              <w:right w:val="single" w:sz="4" w:space="0" w:color="auto"/>
            </w:tcBorders>
            <w:vAlign w:val="center"/>
          </w:tcPr>
          <w:p w14:paraId="530FD7D9" w14:textId="77777777" w:rsidR="00381F5C" w:rsidRPr="00777046" w:rsidRDefault="00381F5C" w:rsidP="17CECF10">
            <w:pPr>
              <w:spacing w:before="120" w:line="240" w:lineRule="auto"/>
              <w:jc w:val="center"/>
              <w:rPr>
                <w:rFonts w:ascii="Segoe UI" w:hAnsi="Segoe UI" w:cs="Segoe UI"/>
                <w:sz w:val="22"/>
                <w:szCs w:val="22"/>
              </w:rPr>
            </w:pPr>
          </w:p>
        </w:tc>
        <w:tc>
          <w:tcPr>
            <w:tcW w:w="4827" w:type="dxa"/>
            <w:gridSpan w:val="3"/>
            <w:tcBorders>
              <w:top w:val="single" w:sz="4" w:space="0" w:color="auto"/>
              <w:left w:val="single" w:sz="4" w:space="0" w:color="auto"/>
              <w:bottom w:val="single" w:sz="4" w:space="0" w:color="auto"/>
              <w:right w:val="single" w:sz="4" w:space="0" w:color="auto"/>
            </w:tcBorders>
            <w:vAlign w:val="center"/>
            <w:hideMark/>
          </w:tcPr>
          <w:p w14:paraId="21D87C85" w14:textId="2B4E758A" w:rsidR="00381F5C" w:rsidRPr="005362C8" w:rsidRDefault="51BE3675" w:rsidP="17CECF10">
            <w:pPr>
              <w:spacing w:before="120" w:line="240" w:lineRule="auto"/>
              <w:jc w:val="center"/>
              <w:rPr>
                <w:rFonts w:ascii="Segoe UI" w:hAnsi="Segoe UI" w:cs="Segoe UI"/>
                <w:b/>
                <w:bCs/>
                <w:i/>
                <w:iCs/>
                <w:szCs w:val="24"/>
              </w:rPr>
            </w:pPr>
            <w:r w:rsidRPr="17CECF10">
              <w:rPr>
                <w:rFonts w:ascii="Segoe UI" w:hAnsi="Segoe UI" w:cs="Segoe UI"/>
                <w:b/>
                <w:bCs/>
                <w:sz w:val="22"/>
                <w:szCs w:val="22"/>
              </w:rPr>
              <w:t>FY</w:t>
            </w:r>
            <w:r w:rsidR="05617D7D" w:rsidRPr="17CECF10">
              <w:rPr>
                <w:rFonts w:ascii="Segoe UI" w:hAnsi="Segoe UI" w:cs="Segoe UI"/>
                <w:b/>
                <w:bCs/>
                <w:sz w:val="22"/>
                <w:szCs w:val="22"/>
              </w:rPr>
              <w:t xml:space="preserve"> </w:t>
            </w:r>
            <w:r w:rsidR="1FA3AD34" w:rsidRPr="17CECF10">
              <w:rPr>
                <w:rFonts w:ascii="Segoe UI" w:hAnsi="Segoe UI" w:cs="Segoe UI"/>
                <w:b/>
                <w:bCs/>
                <w:sz w:val="22"/>
                <w:szCs w:val="22"/>
              </w:rPr>
              <w:t>202</w:t>
            </w:r>
            <w:r w:rsidR="40D1ABA2" w:rsidRPr="17CECF10">
              <w:rPr>
                <w:rFonts w:ascii="Segoe UI" w:hAnsi="Segoe UI" w:cs="Segoe UI"/>
                <w:b/>
                <w:bCs/>
                <w:sz w:val="22"/>
                <w:szCs w:val="22"/>
              </w:rPr>
              <w:t>5</w:t>
            </w:r>
            <w:r w:rsidR="37674C52" w:rsidRPr="17CECF10">
              <w:rPr>
                <w:rFonts w:ascii="Segoe UI" w:hAnsi="Segoe UI" w:cs="Segoe UI"/>
                <w:b/>
                <w:bCs/>
                <w:sz w:val="22"/>
                <w:szCs w:val="22"/>
              </w:rPr>
              <w:t>–</w:t>
            </w:r>
            <w:r w:rsidR="1FB6A216" w:rsidRPr="17CECF10">
              <w:rPr>
                <w:rFonts w:ascii="Segoe UI" w:hAnsi="Segoe UI" w:cs="Segoe UI"/>
                <w:b/>
                <w:bCs/>
                <w:sz w:val="22"/>
                <w:szCs w:val="22"/>
              </w:rPr>
              <w:t>202</w:t>
            </w:r>
            <w:r w:rsidR="40D1ABA2" w:rsidRPr="17CECF10">
              <w:rPr>
                <w:rFonts w:ascii="Segoe UI" w:hAnsi="Segoe UI" w:cs="Segoe UI"/>
                <w:b/>
                <w:bCs/>
                <w:sz w:val="22"/>
                <w:szCs w:val="22"/>
              </w:rPr>
              <w:t>9</w:t>
            </w:r>
          </w:p>
        </w:tc>
        <w:tc>
          <w:tcPr>
            <w:tcW w:w="1688" w:type="dxa"/>
            <w:tcBorders>
              <w:top w:val="single" w:sz="4" w:space="0" w:color="auto"/>
              <w:left w:val="single" w:sz="4" w:space="0" w:color="auto"/>
              <w:bottom w:val="single" w:sz="4" w:space="0" w:color="auto"/>
              <w:right w:val="single" w:sz="4" w:space="0" w:color="auto"/>
            </w:tcBorders>
            <w:vAlign w:val="center"/>
          </w:tcPr>
          <w:p w14:paraId="092DC83F" w14:textId="77777777" w:rsidR="00381F5C" w:rsidRPr="00777046" w:rsidRDefault="00381F5C" w:rsidP="17CECF10">
            <w:pPr>
              <w:spacing w:before="120" w:line="240" w:lineRule="auto"/>
              <w:jc w:val="center"/>
              <w:rPr>
                <w:rFonts w:ascii="Segoe UI" w:hAnsi="Segoe UI" w:cs="Segoe UI"/>
                <w:sz w:val="22"/>
                <w:szCs w:val="22"/>
              </w:rPr>
            </w:pPr>
          </w:p>
        </w:tc>
      </w:tr>
      <w:tr w:rsidR="00381F5C" w:rsidRPr="005362C8" w14:paraId="0263D025" w14:textId="77777777" w:rsidTr="17CECF10">
        <w:trPr>
          <w:cantSplit/>
        </w:trPr>
        <w:tc>
          <w:tcPr>
            <w:tcW w:w="8904" w:type="dxa"/>
            <w:gridSpan w:val="5"/>
            <w:tcBorders>
              <w:top w:val="single" w:sz="4" w:space="0" w:color="auto"/>
              <w:left w:val="single" w:sz="4" w:space="0" w:color="auto"/>
              <w:bottom w:val="single" w:sz="4" w:space="0" w:color="auto"/>
              <w:right w:val="single" w:sz="4" w:space="0" w:color="auto"/>
            </w:tcBorders>
            <w:vAlign w:val="center"/>
            <w:hideMark/>
          </w:tcPr>
          <w:p w14:paraId="748DE3A9" w14:textId="5CC8C3B7" w:rsidR="00381F5C" w:rsidRPr="00F65FC8" w:rsidRDefault="70756AD8" w:rsidP="17CECF10">
            <w:pPr>
              <w:spacing w:before="120" w:line="240" w:lineRule="auto"/>
              <w:rPr>
                <w:rFonts w:ascii="Segoe UI" w:hAnsi="Segoe UI" w:cs="Segoe UI"/>
                <w:szCs w:val="24"/>
              </w:rPr>
            </w:pPr>
            <w:r w:rsidRPr="17CECF10">
              <w:rPr>
                <w:rFonts w:ascii="Segoe UI" w:hAnsi="Segoe UI" w:cs="Segoe UI"/>
                <w:b/>
                <w:bCs/>
                <w:sz w:val="22"/>
                <w:szCs w:val="22"/>
              </w:rPr>
              <w:t xml:space="preserve">BENEFITS (see </w:t>
            </w:r>
            <w:r w:rsidR="1D47D887" w:rsidRPr="17CECF10">
              <w:rPr>
                <w:rFonts w:ascii="Segoe UI" w:hAnsi="Segoe UI" w:cs="Segoe UI"/>
                <w:b/>
                <w:bCs/>
                <w:sz w:val="22"/>
                <w:szCs w:val="22"/>
              </w:rPr>
              <w:t>S</w:t>
            </w:r>
            <w:r w:rsidRPr="17CECF10">
              <w:rPr>
                <w:rFonts w:ascii="Segoe UI" w:hAnsi="Segoe UI" w:cs="Segoe UI"/>
                <w:b/>
                <w:bCs/>
                <w:sz w:val="22"/>
                <w:szCs w:val="22"/>
              </w:rPr>
              <w:t xml:space="preserve">ection </w:t>
            </w:r>
            <w:r w:rsidR="5CEE8E7E" w:rsidRPr="17CECF10">
              <w:rPr>
                <w:rFonts w:ascii="Segoe UI" w:hAnsi="Segoe UI" w:cs="Segoe UI"/>
                <w:b/>
                <w:bCs/>
                <w:sz w:val="22"/>
                <w:szCs w:val="22"/>
              </w:rPr>
              <w:t>4</w:t>
            </w:r>
            <w:r w:rsidRPr="17CECF10">
              <w:rPr>
                <w:rFonts w:ascii="Segoe UI" w:hAnsi="Segoe UI" w:cs="Segoe UI"/>
                <w:b/>
                <w:bCs/>
                <w:sz w:val="22"/>
                <w:szCs w:val="22"/>
              </w:rPr>
              <w:t xml:space="preserve"> for a detailed explanation of </w:t>
            </w:r>
            <w:r w:rsidR="5CEE8E7E" w:rsidRPr="17CECF10">
              <w:rPr>
                <w:rFonts w:ascii="Segoe UI" w:hAnsi="Segoe UI" w:cs="Segoe UI"/>
                <w:b/>
                <w:bCs/>
                <w:sz w:val="22"/>
                <w:szCs w:val="22"/>
              </w:rPr>
              <w:t xml:space="preserve">the </w:t>
            </w:r>
            <w:r w:rsidRPr="17CECF10">
              <w:rPr>
                <w:rFonts w:ascii="Segoe UI" w:hAnsi="Segoe UI" w:cs="Segoe UI"/>
                <w:b/>
                <w:bCs/>
                <w:sz w:val="22"/>
                <w:szCs w:val="22"/>
              </w:rPr>
              <w:t>benefits</w:t>
            </w:r>
            <w:r w:rsidR="5CEE8E7E" w:rsidRPr="17CECF10">
              <w:rPr>
                <w:rFonts w:ascii="Segoe UI" w:hAnsi="Segoe UI" w:cs="Segoe UI"/>
                <w:b/>
                <w:bCs/>
                <w:sz w:val="22"/>
                <w:szCs w:val="22"/>
              </w:rPr>
              <w:t xml:space="preserve"> related to the </w:t>
            </w:r>
            <w:r w:rsidR="3BC40053" w:rsidRPr="17CECF10">
              <w:rPr>
                <w:rFonts w:ascii="Segoe UI" w:hAnsi="Segoe UI" w:cs="Segoe UI"/>
                <w:b/>
                <w:bCs/>
                <w:sz w:val="22"/>
                <w:szCs w:val="22"/>
              </w:rPr>
              <w:t>B</w:t>
            </w:r>
            <w:r w:rsidR="5CEE8E7E" w:rsidRPr="17CECF10">
              <w:rPr>
                <w:rFonts w:ascii="Segoe UI" w:hAnsi="Segoe UI" w:cs="Segoe UI"/>
                <w:b/>
                <w:bCs/>
                <w:sz w:val="22"/>
                <w:szCs w:val="22"/>
              </w:rPr>
              <w:t>aseline and alternatives</w:t>
            </w:r>
            <w:r w:rsidRPr="17CECF10">
              <w:rPr>
                <w:rFonts w:ascii="Segoe UI" w:hAnsi="Segoe UI" w:cs="Segoe UI"/>
                <w:b/>
                <w:bCs/>
                <w:sz w:val="22"/>
                <w:szCs w:val="22"/>
              </w:rPr>
              <w:t>)</w:t>
            </w:r>
          </w:p>
        </w:tc>
      </w:tr>
      <w:tr w:rsidR="00381F5C" w:rsidRPr="005362C8" w14:paraId="232D4E6A" w14:textId="77777777" w:rsidTr="17CECF10">
        <w:trPr>
          <w:cantSplit/>
          <w:trHeight w:val="3063"/>
        </w:trPr>
        <w:tc>
          <w:tcPr>
            <w:tcW w:w="2389" w:type="dxa"/>
            <w:tcBorders>
              <w:top w:val="single" w:sz="4" w:space="0" w:color="auto"/>
              <w:left w:val="single" w:sz="4" w:space="0" w:color="auto"/>
              <w:bottom w:val="single" w:sz="4" w:space="0" w:color="auto"/>
              <w:right w:val="single" w:sz="4" w:space="0" w:color="auto"/>
            </w:tcBorders>
            <w:vAlign w:val="center"/>
            <w:hideMark/>
          </w:tcPr>
          <w:p w14:paraId="4A34D7C2" w14:textId="0B078061" w:rsidR="00381F5C" w:rsidRPr="005362C8" w:rsidRDefault="51BE3675" w:rsidP="17CECF10">
            <w:pPr>
              <w:spacing w:before="120" w:line="240" w:lineRule="auto"/>
              <w:ind w:left="270"/>
              <w:rPr>
                <w:rFonts w:ascii="Segoe UI" w:hAnsi="Segoe UI" w:cs="Segoe UI"/>
                <w:szCs w:val="24"/>
              </w:rPr>
            </w:pPr>
            <w:r w:rsidRPr="17CECF10">
              <w:rPr>
                <w:rFonts w:ascii="Segoe UI" w:hAnsi="Segoe UI" w:cs="Segoe UI"/>
                <w:sz w:val="22"/>
                <w:szCs w:val="22"/>
              </w:rPr>
              <w:t xml:space="preserve">Incremental </w:t>
            </w:r>
            <w:r w:rsidR="3550F32A" w:rsidRPr="17CECF10">
              <w:rPr>
                <w:rFonts w:ascii="Segoe UI" w:hAnsi="Segoe UI" w:cs="Segoe UI"/>
                <w:sz w:val="22"/>
                <w:szCs w:val="22"/>
              </w:rPr>
              <w:t>u</w:t>
            </w:r>
            <w:r w:rsidRPr="17CECF10">
              <w:rPr>
                <w:rFonts w:ascii="Segoe UI" w:hAnsi="Segoe UI" w:cs="Segoe UI"/>
                <w:sz w:val="22"/>
                <w:szCs w:val="22"/>
              </w:rPr>
              <w:t>nquantified (</w:t>
            </w:r>
            <w:r w:rsidR="1D427F56" w:rsidRPr="17CECF10">
              <w:rPr>
                <w:rFonts w:ascii="Segoe UI" w:hAnsi="Segoe UI" w:cs="Segoe UI"/>
                <w:sz w:val="22"/>
                <w:szCs w:val="22"/>
              </w:rPr>
              <w:t>q</w:t>
            </w:r>
            <w:r w:rsidRPr="17CECF10">
              <w:rPr>
                <w:rFonts w:ascii="Segoe UI" w:hAnsi="Segoe UI" w:cs="Segoe UI"/>
                <w:sz w:val="22"/>
                <w:szCs w:val="22"/>
              </w:rPr>
              <w:t xml:space="preserve">ualitative) </w:t>
            </w:r>
            <w:r w:rsidR="51AEEBE0" w:rsidRPr="17CECF10">
              <w:rPr>
                <w:rFonts w:ascii="Segoe UI" w:hAnsi="Segoe UI" w:cs="Segoe UI"/>
                <w:sz w:val="22"/>
                <w:szCs w:val="22"/>
              </w:rPr>
              <w:t>b</w:t>
            </w:r>
            <w:r w:rsidRPr="17CECF10">
              <w:rPr>
                <w:rFonts w:ascii="Segoe UI" w:hAnsi="Segoe UI" w:cs="Segoe UI"/>
                <w:sz w:val="22"/>
                <w:szCs w:val="22"/>
              </w:rPr>
              <w:t>enefits</w:t>
            </w:r>
          </w:p>
        </w:tc>
        <w:tc>
          <w:tcPr>
            <w:tcW w:w="4827" w:type="dxa"/>
            <w:gridSpan w:val="3"/>
            <w:tcBorders>
              <w:top w:val="single" w:sz="4" w:space="0" w:color="auto"/>
              <w:left w:val="single" w:sz="4" w:space="0" w:color="auto"/>
              <w:bottom w:val="single" w:sz="4" w:space="0" w:color="auto"/>
              <w:right w:val="single" w:sz="4" w:space="0" w:color="auto"/>
            </w:tcBorders>
            <w:vAlign w:val="center"/>
            <w:hideMark/>
          </w:tcPr>
          <w:p w14:paraId="68460FC8" w14:textId="0F7A5E1F" w:rsidR="00381F5C" w:rsidRPr="00F65FC8" w:rsidRDefault="7E3376CB" w:rsidP="17CECF10">
            <w:pPr>
              <w:spacing w:before="120" w:line="240" w:lineRule="auto"/>
              <w:rPr>
                <w:rFonts w:ascii="Segoe UI" w:hAnsi="Segoe UI" w:cs="Segoe UI"/>
                <w:szCs w:val="24"/>
              </w:rPr>
            </w:pPr>
            <w:r w:rsidRPr="17CECF10">
              <w:rPr>
                <w:rFonts w:ascii="Segoe UI" w:hAnsi="Segoe UI" w:cs="Segoe UI"/>
                <w:sz w:val="22"/>
                <w:szCs w:val="22"/>
              </w:rPr>
              <w:t xml:space="preserve">The </w:t>
            </w:r>
            <w:r w:rsidR="497A267A" w:rsidRPr="17CECF10">
              <w:rPr>
                <w:rFonts w:ascii="Segoe UI" w:hAnsi="Segoe UI" w:cs="Segoe UI"/>
                <w:sz w:val="22"/>
                <w:szCs w:val="22"/>
              </w:rPr>
              <w:t>F</w:t>
            </w:r>
            <w:r w:rsidR="66F0689C" w:rsidRPr="17CECF10">
              <w:rPr>
                <w:rFonts w:ascii="Segoe UI" w:hAnsi="Segoe UI" w:cs="Segoe UI"/>
                <w:sz w:val="22"/>
                <w:szCs w:val="22"/>
              </w:rPr>
              <w:t>i</w:t>
            </w:r>
            <w:r w:rsidR="497A267A" w:rsidRPr="17CECF10">
              <w:rPr>
                <w:rFonts w:ascii="Segoe UI" w:hAnsi="Segoe UI" w:cs="Segoe UI"/>
                <w:sz w:val="22"/>
                <w:szCs w:val="22"/>
              </w:rPr>
              <w:t>nal</w:t>
            </w:r>
            <w:r w:rsidR="34BE41D1" w:rsidRPr="17CECF10">
              <w:rPr>
                <w:rFonts w:ascii="Segoe UI" w:hAnsi="Segoe UI" w:cs="Segoe UI"/>
                <w:sz w:val="22"/>
                <w:szCs w:val="22"/>
              </w:rPr>
              <w:t xml:space="preserve"> </w:t>
            </w:r>
            <w:r w:rsidR="23F12A71" w:rsidRPr="17CECF10">
              <w:rPr>
                <w:rFonts w:ascii="Segoe UI" w:hAnsi="Segoe UI" w:cs="Segoe UI"/>
                <w:sz w:val="22"/>
                <w:szCs w:val="22"/>
              </w:rPr>
              <w:t xml:space="preserve">Patent </w:t>
            </w:r>
            <w:r w:rsidR="34BE41D1" w:rsidRPr="17CECF10">
              <w:rPr>
                <w:rFonts w:ascii="Segoe UI" w:hAnsi="Segoe UI" w:cs="Segoe UI"/>
                <w:sz w:val="22"/>
                <w:szCs w:val="22"/>
              </w:rPr>
              <w:t>Fee Schedule</w:t>
            </w:r>
            <w:r w:rsidRPr="17CECF10">
              <w:rPr>
                <w:rFonts w:ascii="Segoe UI" w:hAnsi="Segoe UI" w:cs="Segoe UI"/>
                <w:sz w:val="22"/>
                <w:szCs w:val="22"/>
              </w:rPr>
              <w:t xml:space="preserve"> allows for </w:t>
            </w:r>
            <w:r w:rsidR="184A5311" w:rsidRPr="17CECF10">
              <w:rPr>
                <w:rFonts w:ascii="Segoe UI" w:hAnsi="Segoe UI" w:cs="Segoe UI"/>
                <w:sz w:val="22"/>
                <w:szCs w:val="22"/>
              </w:rPr>
              <w:t xml:space="preserve">reduced barriers to innovation, cultivating access and inclusion in the IP ecosystem; and delivering timely, </w:t>
            </w:r>
            <w:r w:rsidR="05D9C626" w:rsidRPr="17CECF10">
              <w:rPr>
                <w:rFonts w:ascii="Segoe UI" w:hAnsi="Segoe UI" w:cs="Segoe UI"/>
                <w:sz w:val="22"/>
                <w:szCs w:val="22"/>
              </w:rPr>
              <w:t>efficient</w:t>
            </w:r>
            <w:r w:rsidR="184A5311" w:rsidRPr="17CECF10">
              <w:rPr>
                <w:rFonts w:ascii="Segoe UI" w:hAnsi="Segoe UI" w:cs="Segoe UI"/>
                <w:sz w:val="22"/>
                <w:szCs w:val="22"/>
              </w:rPr>
              <w:t xml:space="preserve"> services through optimizing </w:t>
            </w:r>
            <w:r w:rsidR="2C49F653" w:rsidRPr="17CECF10">
              <w:rPr>
                <w:rFonts w:ascii="Segoe UI" w:hAnsi="Segoe UI" w:cs="Segoe UI"/>
                <w:sz w:val="22"/>
                <w:szCs w:val="22"/>
              </w:rPr>
              <w:t>USPTO</w:t>
            </w:r>
            <w:r w:rsidR="184A5311" w:rsidRPr="17CECF10">
              <w:rPr>
                <w:rFonts w:ascii="Segoe UI" w:hAnsi="Segoe UI" w:cs="Segoe UI"/>
                <w:sz w:val="22"/>
                <w:szCs w:val="22"/>
              </w:rPr>
              <w:t xml:space="preserve"> technology, practices, policies, and rules</w:t>
            </w:r>
            <w:r w:rsidR="63964F3B" w:rsidRPr="17CECF10">
              <w:rPr>
                <w:rFonts w:ascii="Segoe UI" w:hAnsi="Segoe UI" w:cs="Segoe UI"/>
                <w:sz w:val="22"/>
                <w:szCs w:val="22"/>
              </w:rPr>
              <w:t>.</w:t>
            </w:r>
            <w:r w:rsidR="22A95970" w:rsidRPr="17CECF10">
              <w:rPr>
                <w:rFonts w:ascii="Segoe UI" w:hAnsi="Segoe UI" w:cs="Segoe UI"/>
                <w:sz w:val="22"/>
                <w:szCs w:val="22"/>
              </w:rPr>
              <w:t xml:space="preserve"> </w:t>
            </w:r>
            <w:r w:rsidR="6D07DC78" w:rsidRPr="17CECF10">
              <w:rPr>
                <w:rFonts w:ascii="Segoe UI" w:hAnsi="Segoe UI" w:cs="Segoe UI"/>
                <w:sz w:val="22"/>
                <w:szCs w:val="22"/>
              </w:rPr>
              <w:t xml:space="preserve">The fees from the </w:t>
            </w:r>
            <w:r w:rsidR="497A267A" w:rsidRPr="17CECF10">
              <w:rPr>
                <w:rFonts w:ascii="Segoe UI" w:hAnsi="Segoe UI" w:cs="Segoe UI"/>
                <w:sz w:val="22"/>
                <w:szCs w:val="22"/>
              </w:rPr>
              <w:t>Final</w:t>
            </w:r>
            <w:r w:rsidR="6D07DC78" w:rsidRPr="17CECF10">
              <w:rPr>
                <w:rFonts w:ascii="Segoe UI" w:hAnsi="Segoe UI" w:cs="Segoe UI"/>
                <w:sz w:val="22"/>
                <w:szCs w:val="22"/>
              </w:rPr>
              <w:t xml:space="preserve"> </w:t>
            </w:r>
            <w:r w:rsidR="2C49F653" w:rsidRPr="17CECF10">
              <w:rPr>
                <w:rFonts w:ascii="Segoe UI" w:hAnsi="Segoe UI" w:cs="Segoe UI"/>
                <w:sz w:val="22"/>
                <w:szCs w:val="22"/>
              </w:rPr>
              <w:t>Patent F</w:t>
            </w:r>
            <w:r w:rsidR="6D07DC78" w:rsidRPr="17CECF10">
              <w:rPr>
                <w:rFonts w:ascii="Segoe UI" w:hAnsi="Segoe UI" w:cs="Segoe UI"/>
                <w:sz w:val="22"/>
                <w:szCs w:val="22"/>
              </w:rPr>
              <w:t xml:space="preserve">ee </w:t>
            </w:r>
            <w:r w:rsidR="2C49F653" w:rsidRPr="17CECF10">
              <w:rPr>
                <w:rFonts w:ascii="Segoe UI" w:hAnsi="Segoe UI" w:cs="Segoe UI"/>
                <w:sz w:val="22"/>
                <w:szCs w:val="22"/>
              </w:rPr>
              <w:t>S</w:t>
            </w:r>
            <w:r w:rsidR="6D07DC78" w:rsidRPr="17CECF10">
              <w:rPr>
                <w:rFonts w:ascii="Segoe UI" w:hAnsi="Segoe UI" w:cs="Segoe UI"/>
                <w:sz w:val="22"/>
                <w:szCs w:val="22"/>
              </w:rPr>
              <w:t>chedule help to promote c</w:t>
            </w:r>
            <w:r w:rsidR="184A5311" w:rsidRPr="17CECF10">
              <w:rPr>
                <w:rFonts w:ascii="Segoe UI" w:hAnsi="Segoe UI" w:cs="Segoe UI"/>
                <w:sz w:val="22"/>
                <w:szCs w:val="22"/>
              </w:rPr>
              <w:t xml:space="preserve">lear, enforceable patents </w:t>
            </w:r>
            <w:r w:rsidR="6D07DC78" w:rsidRPr="17CECF10">
              <w:rPr>
                <w:rFonts w:ascii="Segoe UI" w:hAnsi="Segoe UI" w:cs="Segoe UI"/>
                <w:sz w:val="22"/>
                <w:szCs w:val="22"/>
              </w:rPr>
              <w:t xml:space="preserve">that </w:t>
            </w:r>
            <w:r w:rsidR="184A5311" w:rsidRPr="17CECF10">
              <w:rPr>
                <w:rFonts w:ascii="Segoe UI" w:hAnsi="Segoe UI" w:cs="Segoe UI"/>
                <w:sz w:val="22"/>
                <w:szCs w:val="22"/>
              </w:rPr>
              <w:t xml:space="preserve">are essential to economic growth, global competitiveness, and </w:t>
            </w:r>
            <w:r w:rsidR="2C49F653" w:rsidRPr="17CECF10">
              <w:rPr>
                <w:rFonts w:ascii="Segoe UI" w:hAnsi="Segoe UI" w:cs="Segoe UI"/>
                <w:sz w:val="22"/>
                <w:szCs w:val="22"/>
              </w:rPr>
              <w:t xml:space="preserve">the promotion of </w:t>
            </w:r>
            <w:r w:rsidR="184A5311" w:rsidRPr="17CECF10">
              <w:rPr>
                <w:rFonts w:ascii="Segoe UI" w:hAnsi="Segoe UI" w:cs="Segoe UI"/>
                <w:sz w:val="22"/>
                <w:szCs w:val="22"/>
              </w:rPr>
              <w:t xml:space="preserve">innovation. </w:t>
            </w:r>
            <w:r w:rsidR="70756AD8" w:rsidRPr="17CECF10">
              <w:rPr>
                <w:rFonts w:ascii="Segoe UI" w:hAnsi="Segoe UI" w:cs="Segoe UI"/>
                <w:sz w:val="22"/>
                <w:szCs w:val="22"/>
              </w:rPr>
              <w:t xml:space="preserve">The fee schedule design is also improved over the </w:t>
            </w:r>
            <w:r w:rsidR="5AFD138E" w:rsidRPr="17CECF10">
              <w:rPr>
                <w:rFonts w:ascii="Segoe UI" w:hAnsi="Segoe UI" w:cs="Segoe UI"/>
                <w:sz w:val="22"/>
                <w:szCs w:val="22"/>
              </w:rPr>
              <w:t>current</w:t>
            </w:r>
            <w:r w:rsidR="70756AD8" w:rsidRPr="17CECF10">
              <w:rPr>
                <w:rFonts w:ascii="Segoe UI" w:hAnsi="Segoe UI" w:cs="Segoe UI"/>
                <w:sz w:val="22"/>
                <w:szCs w:val="22"/>
              </w:rPr>
              <w:t xml:space="preserve"> fee schedule to better support key </w:t>
            </w:r>
            <w:r w:rsidR="33DC2B76" w:rsidRPr="17CECF10">
              <w:rPr>
                <w:rFonts w:ascii="Segoe UI" w:hAnsi="Segoe UI" w:cs="Segoe UI"/>
                <w:sz w:val="22"/>
                <w:szCs w:val="22"/>
              </w:rPr>
              <w:t>policy factors</w:t>
            </w:r>
            <w:r w:rsidR="70756AD8" w:rsidRPr="17CECF10">
              <w:rPr>
                <w:rFonts w:ascii="Segoe UI" w:hAnsi="Segoe UI" w:cs="Segoe UI"/>
                <w:sz w:val="22"/>
                <w:szCs w:val="22"/>
              </w:rPr>
              <w:t>.</w:t>
            </w:r>
          </w:p>
        </w:tc>
        <w:tc>
          <w:tcPr>
            <w:tcW w:w="1688" w:type="dxa"/>
            <w:tcBorders>
              <w:top w:val="single" w:sz="4" w:space="0" w:color="auto"/>
              <w:left w:val="single" w:sz="4" w:space="0" w:color="auto"/>
              <w:bottom w:val="single" w:sz="4" w:space="0" w:color="auto"/>
              <w:right w:val="single" w:sz="4" w:space="0" w:color="auto"/>
            </w:tcBorders>
            <w:vAlign w:val="center"/>
            <w:hideMark/>
          </w:tcPr>
          <w:p w14:paraId="62D8687C" w14:textId="06A09C97" w:rsidR="00381F5C" w:rsidRPr="00F65FC8" w:rsidRDefault="65DCBF28" w:rsidP="17CECF10">
            <w:pPr>
              <w:spacing w:before="120" w:line="240" w:lineRule="auto"/>
              <w:jc w:val="center"/>
              <w:rPr>
                <w:rFonts w:ascii="Segoe UI" w:hAnsi="Segoe UI" w:cs="Segoe UI"/>
                <w:szCs w:val="24"/>
              </w:rPr>
            </w:pPr>
            <w:r w:rsidRPr="17CECF10">
              <w:rPr>
                <w:rFonts w:ascii="Segoe UI" w:hAnsi="Segoe UI" w:cs="Segoe UI"/>
                <w:sz w:val="22"/>
                <w:szCs w:val="22"/>
              </w:rPr>
              <w:t>RIA Section 4</w:t>
            </w:r>
          </w:p>
        </w:tc>
      </w:tr>
      <w:tr w:rsidR="00381F5C" w:rsidRPr="005362C8" w14:paraId="7A951DC5" w14:textId="77777777" w:rsidTr="17CECF10">
        <w:trPr>
          <w:cantSplit/>
        </w:trPr>
        <w:tc>
          <w:tcPr>
            <w:tcW w:w="8904" w:type="dxa"/>
            <w:gridSpan w:val="5"/>
            <w:tcBorders>
              <w:top w:val="single" w:sz="4" w:space="0" w:color="auto"/>
              <w:left w:val="single" w:sz="4" w:space="0" w:color="auto"/>
              <w:bottom w:val="single" w:sz="4" w:space="0" w:color="auto"/>
              <w:right w:val="single" w:sz="4" w:space="0" w:color="auto"/>
            </w:tcBorders>
            <w:vAlign w:val="center"/>
            <w:hideMark/>
          </w:tcPr>
          <w:p w14:paraId="1C260B88" w14:textId="5E8F0E6C" w:rsidR="00381F5C" w:rsidRPr="00F65FC8" w:rsidRDefault="70756AD8" w:rsidP="17CECF10">
            <w:pPr>
              <w:spacing w:before="120" w:line="240" w:lineRule="auto"/>
              <w:rPr>
                <w:rFonts w:ascii="Segoe UI" w:hAnsi="Segoe UI" w:cs="Segoe UI"/>
                <w:szCs w:val="24"/>
              </w:rPr>
            </w:pPr>
            <w:r w:rsidRPr="17CECF10">
              <w:rPr>
                <w:rFonts w:ascii="Segoe UI" w:hAnsi="Segoe UI" w:cs="Segoe UI"/>
                <w:b/>
                <w:bCs/>
                <w:sz w:val="22"/>
                <w:szCs w:val="22"/>
              </w:rPr>
              <w:t>COSTS (</w:t>
            </w:r>
            <w:r w:rsidR="5CEE8E7E" w:rsidRPr="17CECF10">
              <w:rPr>
                <w:rFonts w:ascii="Segoe UI" w:hAnsi="Segoe UI" w:cs="Segoe UI"/>
                <w:b/>
                <w:bCs/>
                <w:sz w:val="22"/>
                <w:szCs w:val="22"/>
              </w:rPr>
              <w:t xml:space="preserve">see </w:t>
            </w:r>
            <w:r w:rsidR="1BFD4D01" w:rsidRPr="17CECF10">
              <w:rPr>
                <w:rFonts w:ascii="Segoe UI" w:hAnsi="Segoe UI" w:cs="Segoe UI"/>
                <w:b/>
                <w:bCs/>
                <w:sz w:val="22"/>
                <w:szCs w:val="22"/>
              </w:rPr>
              <w:t>S</w:t>
            </w:r>
            <w:r w:rsidR="5CEE8E7E" w:rsidRPr="17CECF10">
              <w:rPr>
                <w:rFonts w:ascii="Segoe UI" w:hAnsi="Segoe UI" w:cs="Segoe UI"/>
                <w:b/>
                <w:bCs/>
                <w:sz w:val="22"/>
                <w:szCs w:val="22"/>
              </w:rPr>
              <w:t xml:space="preserve">ection 4 for a detailed explanation of the costs related to the </w:t>
            </w:r>
            <w:r w:rsidR="3BC40053" w:rsidRPr="17CECF10">
              <w:rPr>
                <w:rFonts w:ascii="Segoe UI" w:hAnsi="Segoe UI" w:cs="Segoe UI"/>
                <w:b/>
                <w:bCs/>
                <w:sz w:val="22"/>
                <w:szCs w:val="22"/>
              </w:rPr>
              <w:t>B</w:t>
            </w:r>
            <w:r w:rsidR="5CEE8E7E" w:rsidRPr="17CECF10">
              <w:rPr>
                <w:rFonts w:ascii="Segoe UI" w:hAnsi="Segoe UI" w:cs="Segoe UI"/>
                <w:b/>
                <w:bCs/>
                <w:sz w:val="22"/>
                <w:szCs w:val="22"/>
              </w:rPr>
              <w:t>aseline and alternatives</w:t>
            </w:r>
            <w:r w:rsidRPr="17CECF10">
              <w:rPr>
                <w:rFonts w:ascii="Segoe UI" w:hAnsi="Segoe UI" w:cs="Segoe UI"/>
                <w:b/>
                <w:bCs/>
                <w:sz w:val="22"/>
                <w:szCs w:val="22"/>
              </w:rPr>
              <w:t>)</w:t>
            </w:r>
          </w:p>
        </w:tc>
      </w:tr>
      <w:tr w:rsidR="009C3988" w:rsidRPr="005362C8" w14:paraId="13C558B3" w14:textId="77777777" w:rsidTr="17CECF10">
        <w:trPr>
          <w:cantSplit/>
          <w:trHeight w:val="1830"/>
        </w:trPr>
        <w:tc>
          <w:tcPr>
            <w:tcW w:w="2389" w:type="dxa"/>
            <w:tcBorders>
              <w:top w:val="single" w:sz="4" w:space="0" w:color="auto"/>
              <w:left w:val="single" w:sz="4" w:space="0" w:color="auto"/>
              <w:bottom w:val="single" w:sz="4" w:space="0" w:color="auto"/>
              <w:right w:val="single" w:sz="4" w:space="0" w:color="auto"/>
            </w:tcBorders>
            <w:vAlign w:val="center"/>
            <w:hideMark/>
          </w:tcPr>
          <w:p w14:paraId="45A405B4" w14:textId="1A5AD5D9" w:rsidR="009C3988" w:rsidRPr="005362C8" w:rsidRDefault="4569335A" w:rsidP="17CECF10">
            <w:pPr>
              <w:spacing w:before="120" w:line="240" w:lineRule="auto"/>
              <w:ind w:left="270"/>
              <w:rPr>
                <w:rFonts w:ascii="Segoe UI" w:hAnsi="Segoe UI" w:cs="Segoe UI"/>
                <w:szCs w:val="24"/>
              </w:rPr>
            </w:pPr>
            <w:r w:rsidRPr="17CECF10">
              <w:rPr>
                <w:rFonts w:ascii="Segoe UI" w:hAnsi="Segoe UI" w:cs="Segoe UI"/>
                <w:sz w:val="22"/>
                <w:szCs w:val="22"/>
              </w:rPr>
              <w:t xml:space="preserve">Incremental </w:t>
            </w:r>
            <w:r w:rsidR="24A5E4A0" w:rsidRPr="17CECF10">
              <w:rPr>
                <w:rFonts w:ascii="Segoe UI" w:hAnsi="Segoe UI" w:cs="Segoe UI"/>
                <w:sz w:val="22"/>
                <w:szCs w:val="22"/>
              </w:rPr>
              <w:t>u</w:t>
            </w:r>
            <w:r w:rsidRPr="17CECF10">
              <w:rPr>
                <w:rFonts w:ascii="Segoe UI" w:hAnsi="Segoe UI" w:cs="Segoe UI"/>
                <w:sz w:val="22"/>
                <w:szCs w:val="22"/>
              </w:rPr>
              <w:t>nquantified (</w:t>
            </w:r>
            <w:r w:rsidR="6C783C62" w:rsidRPr="17CECF10">
              <w:rPr>
                <w:rFonts w:ascii="Segoe UI" w:hAnsi="Segoe UI" w:cs="Segoe UI"/>
                <w:sz w:val="22"/>
                <w:szCs w:val="22"/>
              </w:rPr>
              <w:t>q</w:t>
            </w:r>
            <w:r w:rsidRPr="17CECF10">
              <w:rPr>
                <w:rFonts w:ascii="Segoe UI" w:hAnsi="Segoe UI" w:cs="Segoe UI"/>
                <w:sz w:val="22"/>
                <w:szCs w:val="22"/>
              </w:rPr>
              <w:t xml:space="preserve">ualitative) </w:t>
            </w:r>
            <w:r w:rsidR="3BC40053" w:rsidRPr="17CECF10">
              <w:rPr>
                <w:rFonts w:ascii="Segoe UI" w:hAnsi="Segoe UI" w:cs="Segoe UI"/>
                <w:sz w:val="22"/>
                <w:szCs w:val="22"/>
              </w:rPr>
              <w:t>c</w:t>
            </w:r>
            <w:r w:rsidRPr="17CECF10">
              <w:rPr>
                <w:rFonts w:ascii="Segoe UI" w:hAnsi="Segoe UI" w:cs="Segoe UI"/>
                <w:sz w:val="22"/>
                <w:szCs w:val="22"/>
              </w:rPr>
              <w:t>osts</w:t>
            </w:r>
          </w:p>
        </w:tc>
        <w:tc>
          <w:tcPr>
            <w:tcW w:w="4827" w:type="dxa"/>
            <w:gridSpan w:val="3"/>
            <w:tcBorders>
              <w:top w:val="single" w:sz="4" w:space="0" w:color="auto"/>
              <w:left w:val="single" w:sz="4" w:space="0" w:color="auto"/>
              <w:bottom w:val="single" w:sz="4" w:space="0" w:color="auto"/>
              <w:right w:val="single" w:sz="4" w:space="0" w:color="auto"/>
            </w:tcBorders>
            <w:vAlign w:val="center"/>
            <w:hideMark/>
          </w:tcPr>
          <w:p w14:paraId="407B9D09" w14:textId="5317555C" w:rsidR="009C3988" w:rsidRPr="00F65FC8" w:rsidRDefault="6B0A7A7D" w:rsidP="17CECF10">
            <w:pPr>
              <w:spacing w:before="120" w:line="240" w:lineRule="auto"/>
              <w:rPr>
                <w:rFonts w:ascii="Segoe UI" w:hAnsi="Segoe UI" w:cs="Segoe UI"/>
                <w:szCs w:val="24"/>
              </w:rPr>
            </w:pPr>
            <w:r w:rsidRPr="17CECF10">
              <w:rPr>
                <w:rFonts w:ascii="Segoe UI" w:hAnsi="Segoe UI" w:cs="Segoe UI"/>
                <w:sz w:val="22"/>
                <w:szCs w:val="22"/>
              </w:rPr>
              <w:t xml:space="preserve">The </w:t>
            </w:r>
            <w:r w:rsidR="04673FCB" w:rsidRPr="17CECF10">
              <w:rPr>
                <w:rFonts w:ascii="Segoe UI" w:hAnsi="Segoe UI" w:cs="Segoe UI"/>
                <w:sz w:val="22"/>
                <w:szCs w:val="22"/>
              </w:rPr>
              <w:t>USPTO</w:t>
            </w:r>
            <w:r w:rsidRPr="17CECF10">
              <w:rPr>
                <w:rFonts w:ascii="Segoe UI" w:hAnsi="Segoe UI" w:cs="Segoe UI"/>
                <w:sz w:val="22"/>
                <w:szCs w:val="22"/>
              </w:rPr>
              <w:t xml:space="preserve"> does not anticipate that the </w:t>
            </w:r>
            <w:r w:rsidR="497A267A" w:rsidRPr="17CECF10">
              <w:rPr>
                <w:rFonts w:ascii="Segoe UI" w:hAnsi="Segoe UI" w:cs="Segoe UI"/>
                <w:sz w:val="22"/>
                <w:szCs w:val="22"/>
              </w:rPr>
              <w:t>Final</w:t>
            </w:r>
            <w:r w:rsidR="47BD89E2" w:rsidRPr="17CECF10">
              <w:rPr>
                <w:rFonts w:ascii="Segoe UI" w:hAnsi="Segoe UI" w:cs="Segoe UI"/>
                <w:sz w:val="22"/>
                <w:szCs w:val="22"/>
              </w:rPr>
              <w:t xml:space="preserve"> </w:t>
            </w:r>
            <w:r w:rsidR="23F12A71" w:rsidRPr="17CECF10">
              <w:rPr>
                <w:rFonts w:ascii="Segoe UI" w:hAnsi="Segoe UI" w:cs="Segoe UI"/>
                <w:sz w:val="22"/>
                <w:szCs w:val="22"/>
              </w:rPr>
              <w:t xml:space="preserve">Patent </w:t>
            </w:r>
            <w:r w:rsidR="47BD89E2" w:rsidRPr="17CECF10">
              <w:rPr>
                <w:rFonts w:ascii="Segoe UI" w:hAnsi="Segoe UI" w:cs="Segoe UI"/>
                <w:sz w:val="22"/>
                <w:szCs w:val="22"/>
              </w:rPr>
              <w:t>Fee Schedule</w:t>
            </w:r>
            <w:r w:rsidRPr="17CECF10">
              <w:rPr>
                <w:rFonts w:ascii="Segoe UI" w:hAnsi="Segoe UI" w:cs="Segoe UI"/>
                <w:sz w:val="22"/>
                <w:szCs w:val="22"/>
              </w:rPr>
              <w:t xml:space="preserve"> will increase compliance costs for users to obtain USPTO services.</w:t>
            </w:r>
          </w:p>
        </w:tc>
        <w:tc>
          <w:tcPr>
            <w:tcW w:w="1688" w:type="dxa"/>
            <w:tcBorders>
              <w:top w:val="single" w:sz="4" w:space="0" w:color="auto"/>
              <w:left w:val="single" w:sz="4" w:space="0" w:color="auto"/>
              <w:bottom w:val="single" w:sz="4" w:space="0" w:color="auto"/>
              <w:right w:val="single" w:sz="4" w:space="0" w:color="auto"/>
            </w:tcBorders>
            <w:vAlign w:val="center"/>
            <w:hideMark/>
          </w:tcPr>
          <w:p w14:paraId="61444985" w14:textId="782EC38B" w:rsidR="009C3988" w:rsidRPr="00F65FC8" w:rsidRDefault="3D75FB4B" w:rsidP="17CECF10">
            <w:pPr>
              <w:spacing w:before="120" w:line="240" w:lineRule="auto"/>
              <w:jc w:val="center"/>
              <w:rPr>
                <w:rFonts w:ascii="Segoe UI" w:hAnsi="Segoe UI" w:cs="Segoe UI"/>
                <w:szCs w:val="24"/>
              </w:rPr>
            </w:pPr>
            <w:r w:rsidRPr="17CECF10">
              <w:rPr>
                <w:rFonts w:ascii="Segoe UI" w:hAnsi="Segoe UI" w:cs="Segoe UI"/>
                <w:sz w:val="22"/>
                <w:szCs w:val="22"/>
              </w:rPr>
              <w:t xml:space="preserve">RIA Section </w:t>
            </w:r>
            <w:r w:rsidR="0A628AD0" w:rsidRPr="17CECF10">
              <w:rPr>
                <w:rFonts w:ascii="Segoe UI" w:hAnsi="Segoe UI" w:cs="Segoe UI"/>
                <w:sz w:val="22"/>
                <w:szCs w:val="22"/>
              </w:rPr>
              <w:t>4</w:t>
            </w:r>
          </w:p>
        </w:tc>
      </w:tr>
      <w:tr w:rsidR="00381F5C" w:rsidRPr="005362C8" w14:paraId="34E85C71" w14:textId="77777777" w:rsidTr="17CECF10">
        <w:trPr>
          <w:cantSplit/>
        </w:trPr>
        <w:tc>
          <w:tcPr>
            <w:tcW w:w="8904" w:type="dxa"/>
            <w:gridSpan w:val="5"/>
            <w:tcBorders>
              <w:top w:val="single" w:sz="4" w:space="0" w:color="auto"/>
              <w:left w:val="single" w:sz="4" w:space="0" w:color="auto"/>
              <w:bottom w:val="single" w:sz="4" w:space="0" w:color="auto"/>
              <w:right w:val="single" w:sz="4" w:space="0" w:color="auto"/>
            </w:tcBorders>
            <w:vAlign w:val="center"/>
            <w:hideMark/>
          </w:tcPr>
          <w:p w14:paraId="14E8754A" w14:textId="33BF2B5C" w:rsidR="00381F5C" w:rsidRPr="00F65FC8" w:rsidRDefault="70756AD8" w:rsidP="17CECF10">
            <w:pPr>
              <w:spacing w:before="120" w:line="240" w:lineRule="auto"/>
              <w:rPr>
                <w:rFonts w:ascii="Segoe UI" w:hAnsi="Segoe UI" w:cs="Segoe UI"/>
                <w:szCs w:val="24"/>
              </w:rPr>
            </w:pPr>
            <w:r w:rsidRPr="17CECF10">
              <w:rPr>
                <w:rFonts w:ascii="Segoe UI" w:hAnsi="Segoe UI" w:cs="Segoe UI"/>
                <w:b/>
                <w:bCs/>
                <w:sz w:val="22"/>
                <w:szCs w:val="22"/>
              </w:rPr>
              <w:t xml:space="preserve">TRANSFERS (see </w:t>
            </w:r>
            <w:r w:rsidR="1BFD4D01" w:rsidRPr="17CECF10">
              <w:rPr>
                <w:rFonts w:ascii="Segoe UI" w:hAnsi="Segoe UI" w:cs="Segoe UI"/>
                <w:b/>
                <w:bCs/>
                <w:sz w:val="22"/>
                <w:szCs w:val="22"/>
              </w:rPr>
              <w:t>S</w:t>
            </w:r>
            <w:r w:rsidRPr="17CECF10">
              <w:rPr>
                <w:rFonts w:ascii="Segoe UI" w:hAnsi="Segoe UI" w:cs="Segoe UI"/>
                <w:b/>
                <w:bCs/>
                <w:sz w:val="22"/>
                <w:szCs w:val="22"/>
              </w:rPr>
              <w:t>ection 3 for a detailed explanation)</w:t>
            </w:r>
          </w:p>
        </w:tc>
      </w:tr>
      <w:tr w:rsidR="00381F5C" w:rsidRPr="005362C8" w14:paraId="29044773" w14:textId="77777777" w:rsidTr="17CECF10">
        <w:trPr>
          <w:cantSplit/>
        </w:trPr>
        <w:tc>
          <w:tcPr>
            <w:tcW w:w="2389" w:type="dxa"/>
            <w:tcBorders>
              <w:top w:val="single" w:sz="4" w:space="0" w:color="auto"/>
              <w:left w:val="single" w:sz="4" w:space="0" w:color="auto"/>
              <w:bottom w:val="single" w:sz="4" w:space="0" w:color="auto"/>
              <w:right w:val="single" w:sz="4" w:space="0" w:color="auto"/>
            </w:tcBorders>
            <w:vAlign w:val="center"/>
            <w:hideMark/>
          </w:tcPr>
          <w:p w14:paraId="512F3C9B" w14:textId="4260251A" w:rsidR="00381F5C" w:rsidRPr="005362C8" w:rsidRDefault="51BE3675" w:rsidP="17CECF10">
            <w:pPr>
              <w:spacing w:before="120" w:line="240" w:lineRule="auto"/>
              <w:ind w:left="270"/>
              <w:rPr>
                <w:rFonts w:ascii="Segoe UI" w:hAnsi="Segoe UI" w:cs="Segoe UI"/>
                <w:szCs w:val="24"/>
              </w:rPr>
            </w:pPr>
            <w:r w:rsidRPr="17CECF10">
              <w:rPr>
                <w:rFonts w:ascii="Segoe UI" w:hAnsi="Segoe UI" w:cs="Segoe UI"/>
                <w:sz w:val="22"/>
                <w:szCs w:val="22"/>
              </w:rPr>
              <w:t xml:space="preserve">Total </w:t>
            </w:r>
            <w:r w:rsidR="1FA8BD92" w:rsidRPr="17CECF10">
              <w:rPr>
                <w:rFonts w:ascii="Segoe UI" w:hAnsi="Segoe UI" w:cs="Segoe UI"/>
                <w:sz w:val="22"/>
                <w:szCs w:val="22"/>
              </w:rPr>
              <w:t>m</w:t>
            </w:r>
            <w:r w:rsidRPr="17CECF10">
              <w:rPr>
                <w:rFonts w:ascii="Segoe UI" w:hAnsi="Segoe UI" w:cs="Segoe UI"/>
                <w:sz w:val="22"/>
                <w:szCs w:val="22"/>
              </w:rPr>
              <w:t xml:space="preserve">onetized </w:t>
            </w:r>
            <w:r w:rsidR="1F3F0FA4" w:rsidRPr="17CECF10">
              <w:rPr>
                <w:rFonts w:ascii="Segoe UI" w:hAnsi="Segoe UI" w:cs="Segoe UI"/>
                <w:sz w:val="22"/>
                <w:szCs w:val="22"/>
              </w:rPr>
              <w:t>t</w:t>
            </w:r>
            <w:r w:rsidRPr="17CECF10">
              <w:rPr>
                <w:rFonts w:ascii="Segoe UI" w:hAnsi="Segoe UI" w:cs="Segoe UI"/>
                <w:sz w:val="22"/>
                <w:szCs w:val="22"/>
              </w:rPr>
              <w:t>ransfers:</w:t>
            </w:r>
            <w:r w:rsidR="00B3A38A" w:rsidRPr="17CECF10">
              <w:rPr>
                <w:rFonts w:ascii="Segoe UI" w:hAnsi="Segoe UI" w:cs="Segoe UI"/>
                <w:sz w:val="22"/>
                <w:szCs w:val="22"/>
              </w:rPr>
              <w:t xml:space="preserve"> </w:t>
            </w:r>
            <w:r w:rsidRPr="17CECF10">
              <w:rPr>
                <w:rFonts w:ascii="Segoe UI" w:hAnsi="Segoe UI" w:cs="Segoe UI"/>
                <w:sz w:val="22"/>
                <w:szCs w:val="22"/>
              </w:rPr>
              <w:t>“On Budget”</w:t>
            </w:r>
          </w:p>
        </w:tc>
        <w:tc>
          <w:tcPr>
            <w:tcW w:w="1658" w:type="dxa"/>
            <w:tcBorders>
              <w:top w:val="single" w:sz="4" w:space="0" w:color="auto"/>
              <w:left w:val="single" w:sz="4" w:space="0" w:color="auto"/>
              <w:bottom w:val="single" w:sz="4" w:space="0" w:color="auto"/>
              <w:right w:val="single" w:sz="4" w:space="0" w:color="auto"/>
            </w:tcBorders>
            <w:vAlign w:val="center"/>
          </w:tcPr>
          <w:p w14:paraId="1C34F32F" w14:textId="53FB8CEE" w:rsidR="00381F5C" w:rsidRPr="000F20DC" w:rsidRDefault="6553F714" w:rsidP="17CECF10">
            <w:pPr>
              <w:spacing w:before="120" w:line="240" w:lineRule="auto"/>
              <w:jc w:val="center"/>
              <w:rPr>
                <w:rFonts w:ascii="Segoe UI" w:hAnsi="Segoe UI" w:cs="Segoe UI"/>
                <w:szCs w:val="24"/>
              </w:rPr>
            </w:pPr>
            <w:r w:rsidRPr="17CECF10">
              <w:rPr>
                <w:rFonts w:ascii="Segoe UI" w:hAnsi="Segoe UI" w:cs="Segoe UI"/>
                <w:sz w:val="22"/>
                <w:szCs w:val="22"/>
              </w:rPr>
              <w:t>$</w:t>
            </w:r>
            <w:r w:rsidR="312ABF8D" w:rsidRPr="17CECF10">
              <w:rPr>
                <w:rFonts w:ascii="Segoe UI" w:hAnsi="Segoe UI" w:cs="Segoe UI"/>
                <w:sz w:val="22"/>
                <w:szCs w:val="22"/>
              </w:rPr>
              <w:t>1,</w:t>
            </w:r>
            <w:r w:rsidR="0E299E09" w:rsidRPr="17CECF10">
              <w:rPr>
                <w:rFonts w:ascii="Segoe UI" w:hAnsi="Segoe UI" w:cs="Segoe UI"/>
                <w:sz w:val="22"/>
                <w:szCs w:val="22"/>
              </w:rPr>
              <w:t>759</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366202A1" w14:textId="4B32CFE0" w:rsidR="00381F5C" w:rsidRPr="000F20DC" w:rsidRDefault="6553F714" w:rsidP="17CECF10">
            <w:pPr>
              <w:spacing w:before="120" w:line="240" w:lineRule="auto"/>
              <w:jc w:val="center"/>
              <w:rPr>
                <w:rFonts w:ascii="Segoe UI" w:hAnsi="Segoe UI" w:cs="Segoe UI"/>
                <w:szCs w:val="24"/>
              </w:rPr>
            </w:pPr>
            <w:r w:rsidRPr="17CECF10">
              <w:rPr>
                <w:rFonts w:ascii="Segoe UI" w:hAnsi="Segoe UI" w:cs="Segoe UI"/>
                <w:sz w:val="22"/>
                <w:szCs w:val="22"/>
              </w:rPr>
              <w:t>$</w:t>
            </w:r>
            <w:r w:rsidR="0E299E09" w:rsidRPr="17CECF10">
              <w:rPr>
                <w:rFonts w:ascii="Segoe UI" w:hAnsi="Segoe UI" w:cs="Segoe UI"/>
                <w:sz w:val="22"/>
                <w:szCs w:val="22"/>
              </w:rPr>
              <w:t>1</w:t>
            </w:r>
            <w:r w:rsidR="243AE578" w:rsidRPr="17CECF10">
              <w:rPr>
                <w:rFonts w:ascii="Segoe UI" w:hAnsi="Segoe UI" w:cs="Segoe UI"/>
                <w:sz w:val="22"/>
                <w:szCs w:val="22"/>
              </w:rPr>
              <w:t>,</w:t>
            </w:r>
            <w:r w:rsidR="0E299E09" w:rsidRPr="17CECF10">
              <w:rPr>
                <w:rFonts w:ascii="Segoe UI" w:hAnsi="Segoe UI" w:cs="Segoe UI"/>
                <w:sz w:val="22"/>
                <w:szCs w:val="22"/>
              </w:rPr>
              <w:t>847</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14:paraId="690BA8F0" w14:textId="2C6EE108" w:rsidR="00381F5C" w:rsidRPr="000F20DC" w:rsidRDefault="6AAF52D1" w:rsidP="17CECF10">
            <w:pPr>
              <w:spacing w:before="120" w:line="240" w:lineRule="auto"/>
              <w:jc w:val="center"/>
              <w:rPr>
                <w:rFonts w:ascii="Segoe UI" w:hAnsi="Segoe UI" w:cs="Segoe UI"/>
                <w:szCs w:val="24"/>
              </w:rPr>
            </w:pPr>
            <w:r w:rsidRPr="17CECF10">
              <w:rPr>
                <w:rFonts w:ascii="Segoe UI" w:hAnsi="Segoe UI" w:cs="Segoe UI"/>
                <w:sz w:val="22"/>
                <w:szCs w:val="22"/>
              </w:rPr>
              <w:t>$</w:t>
            </w:r>
            <w:r w:rsidR="0E299E09" w:rsidRPr="17CECF10">
              <w:rPr>
                <w:rFonts w:ascii="Segoe UI" w:hAnsi="Segoe UI" w:cs="Segoe UI"/>
                <w:sz w:val="22"/>
                <w:szCs w:val="22"/>
              </w:rPr>
              <w:t>1</w:t>
            </w:r>
            <w:r w:rsidR="243AE578" w:rsidRPr="17CECF10">
              <w:rPr>
                <w:rFonts w:ascii="Segoe UI" w:hAnsi="Segoe UI" w:cs="Segoe UI"/>
                <w:sz w:val="22"/>
                <w:szCs w:val="22"/>
              </w:rPr>
              <w:t>,</w:t>
            </w:r>
            <w:r w:rsidR="0E299E09" w:rsidRPr="17CECF10">
              <w:rPr>
                <w:rFonts w:ascii="Segoe UI" w:hAnsi="Segoe UI" w:cs="Segoe UI"/>
                <w:sz w:val="22"/>
                <w:szCs w:val="22"/>
              </w:rPr>
              <w:t>935</w:t>
            </w:r>
          </w:p>
        </w:tc>
        <w:tc>
          <w:tcPr>
            <w:tcW w:w="1688" w:type="dxa"/>
            <w:tcBorders>
              <w:top w:val="single" w:sz="4" w:space="0" w:color="auto"/>
              <w:left w:val="single" w:sz="4" w:space="0" w:color="auto"/>
              <w:bottom w:val="single" w:sz="4" w:space="0" w:color="auto"/>
              <w:right w:val="single" w:sz="4" w:space="0" w:color="auto"/>
            </w:tcBorders>
            <w:vAlign w:val="center"/>
            <w:hideMark/>
          </w:tcPr>
          <w:p w14:paraId="7F5CDFD7" w14:textId="1ED4F1B1" w:rsidR="00381F5C" w:rsidRPr="00F65FC8" w:rsidRDefault="47809D90" w:rsidP="17CECF10">
            <w:pPr>
              <w:spacing w:before="120" w:line="240" w:lineRule="auto"/>
              <w:jc w:val="center"/>
              <w:rPr>
                <w:rFonts w:ascii="Segoe UI" w:hAnsi="Segoe UI" w:cs="Segoe UI"/>
                <w:szCs w:val="24"/>
              </w:rPr>
            </w:pPr>
            <w:r w:rsidRPr="17CECF10">
              <w:rPr>
                <w:rFonts w:ascii="Segoe UI" w:hAnsi="Segoe UI" w:cs="Segoe UI"/>
                <w:sz w:val="22"/>
                <w:szCs w:val="22"/>
              </w:rPr>
              <w:t xml:space="preserve">RIA Section </w:t>
            </w:r>
            <w:r w:rsidR="0A628AD0" w:rsidRPr="17CECF10">
              <w:rPr>
                <w:rFonts w:ascii="Segoe UI" w:hAnsi="Segoe UI" w:cs="Segoe UI"/>
                <w:sz w:val="22"/>
                <w:szCs w:val="22"/>
              </w:rPr>
              <w:t>3</w:t>
            </w:r>
          </w:p>
        </w:tc>
      </w:tr>
      <w:tr w:rsidR="00381F5C" w:rsidRPr="005362C8" w14:paraId="7F1A1D2C" w14:textId="77777777" w:rsidTr="17CECF10">
        <w:trPr>
          <w:cantSplit/>
        </w:trPr>
        <w:tc>
          <w:tcPr>
            <w:tcW w:w="2389" w:type="dxa"/>
            <w:tcBorders>
              <w:top w:val="single" w:sz="4" w:space="0" w:color="auto"/>
              <w:left w:val="single" w:sz="4" w:space="0" w:color="auto"/>
              <w:bottom w:val="single" w:sz="4" w:space="0" w:color="auto"/>
              <w:right w:val="single" w:sz="4" w:space="0" w:color="auto"/>
            </w:tcBorders>
            <w:vAlign w:val="center"/>
            <w:hideMark/>
          </w:tcPr>
          <w:p w14:paraId="2435C27F" w14:textId="71C45742" w:rsidR="00381F5C" w:rsidRPr="005362C8" w:rsidRDefault="51BE3675" w:rsidP="17CECF10">
            <w:pPr>
              <w:spacing w:before="120" w:line="240" w:lineRule="auto"/>
              <w:ind w:left="270"/>
              <w:rPr>
                <w:rFonts w:ascii="Segoe UI" w:hAnsi="Segoe UI" w:cs="Segoe UI"/>
                <w:szCs w:val="24"/>
              </w:rPr>
            </w:pPr>
            <w:r w:rsidRPr="17CECF10">
              <w:rPr>
                <w:rFonts w:ascii="Segoe UI" w:hAnsi="Segoe UI" w:cs="Segoe UI"/>
                <w:sz w:val="22"/>
                <w:szCs w:val="22"/>
              </w:rPr>
              <w:t xml:space="preserve">From </w:t>
            </w:r>
            <w:r w:rsidR="680F7B6E" w:rsidRPr="17CECF10">
              <w:rPr>
                <w:rFonts w:ascii="Segoe UI" w:hAnsi="Segoe UI" w:cs="Segoe UI"/>
                <w:sz w:val="22"/>
                <w:szCs w:val="22"/>
              </w:rPr>
              <w:t>w</w:t>
            </w:r>
            <w:r w:rsidRPr="17CECF10">
              <w:rPr>
                <w:rFonts w:ascii="Segoe UI" w:hAnsi="Segoe UI" w:cs="Segoe UI"/>
                <w:sz w:val="22"/>
                <w:szCs w:val="22"/>
              </w:rPr>
              <w:t xml:space="preserve">hom to </w:t>
            </w:r>
            <w:r w:rsidR="18C21A30" w:rsidRPr="17CECF10">
              <w:rPr>
                <w:rFonts w:ascii="Segoe UI" w:hAnsi="Segoe UI" w:cs="Segoe UI"/>
                <w:sz w:val="22"/>
                <w:szCs w:val="22"/>
              </w:rPr>
              <w:t>w</w:t>
            </w:r>
            <w:r w:rsidRPr="17CECF10">
              <w:rPr>
                <w:rFonts w:ascii="Segoe UI" w:hAnsi="Segoe UI" w:cs="Segoe UI"/>
                <w:sz w:val="22"/>
                <w:szCs w:val="22"/>
              </w:rPr>
              <w:t>hom</w:t>
            </w:r>
          </w:p>
        </w:tc>
        <w:tc>
          <w:tcPr>
            <w:tcW w:w="4827" w:type="dxa"/>
            <w:gridSpan w:val="3"/>
            <w:tcBorders>
              <w:top w:val="single" w:sz="4" w:space="0" w:color="auto"/>
              <w:left w:val="single" w:sz="4" w:space="0" w:color="auto"/>
              <w:bottom w:val="single" w:sz="4" w:space="0" w:color="auto"/>
              <w:right w:val="single" w:sz="4" w:space="0" w:color="auto"/>
            </w:tcBorders>
            <w:vAlign w:val="center"/>
            <w:hideMark/>
          </w:tcPr>
          <w:p w14:paraId="3D73530F" w14:textId="4A0B8A86" w:rsidR="00381F5C" w:rsidRPr="00F65FC8" w:rsidRDefault="47809D90" w:rsidP="17CECF10">
            <w:pPr>
              <w:spacing w:before="120" w:line="240" w:lineRule="auto"/>
              <w:rPr>
                <w:rFonts w:ascii="Segoe UI" w:hAnsi="Segoe UI" w:cs="Segoe UI"/>
                <w:szCs w:val="24"/>
              </w:rPr>
            </w:pPr>
            <w:r w:rsidRPr="17CECF10">
              <w:rPr>
                <w:rFonts w:ascii="Segoe UI" w:hAnsi="Segoe UI" w:cs="Segoe UI"/>
                <w:sz w:val="22"/>
                <w:szCs w:val="22"/>
              </w:rPr>
              <w:t xml:space="preserve">From patent applicants and </w:t>
            </w:r>
            <w:r w:rsidR="3D75FB4B" w:rsidRPr="17CECF10">
              <w:rPr>
                <w:rFonts w:ascii="Segoe UI" w:hAnsi="Segoe UI" w:cs="Segoe UI"/>
                <w:sz w:val="22"/>
                <w:szCs w:val="22"/>
              </w:rPr>
              <w:t xml:space="preserve">patent </w:t>
            </w:r>
            <w:r w:rsidRPr="17CECF10">
              <w:rPr>
                <w:rFonts w:ascii="Segoe UI" w:hAnsi="Segoe UI" w:cs="Segoe UI"/>
                <w:sz w:val="22"/>
                <w:szCs w:val="22"/>
              </w:rPr>
              <w:t xml:space="preserve">owners to the U.S. </w:t>
            </w:r>
            <w:r w:rsidR="043B4051" w:rsidRPr="17CECF10">
              <w:rPr>
                <w:rFonts w:ascii="Segoe UI" w:hAnsi="Segoe UI" w:cs="Segoe UI"/>
                <w:sz w:val="22"/>
                <w:szCs w:val="22"/>
              </w:rPr>
              <w:t>g</w:t>
            </w:r>
            <w:r w:rsidRPr="17CECF10">
              <w:rPr>
                <w:rFonts w:ascii="Segoe UI" w:hAnsi="Segoe UI" w:cs="Segoe UI"/>
                <w:sz w:val="22"/>
                <w:szCs w:val="22"/>
              </w:rPr>
              <w:t>overnment</w:t>
            </w:r>
          </w:p>
        </w:tc>
        <w:tc>
          <w:tcPr>
            <w:tcW w:w="1688" w:type="dxa"/>
            <w:tcBorders>
              <w:top w:val="single" w:sz="4" w:space="0" w:color="auto"/>
              <w:left w:val="single" w:sz="4" w:space="0" w:color="auto"/>
              <w:bottom w:val="single" w:sz="4" w:space="0" w:color="auto"/>
              <w:right w:val="single" w:sz="4" w:space="0" w:color="auto"/>
            </w:tcBorders>
            <w:vAlign w:val="center"/>
          </w:tcPr>
          <w:p w14:paraId="0C4646E3" w14:textId="77777777" w:rsidR="00381F5C" w:rsidRPr="00777046" w:rsidRDefault="00381F5C" w:rsidP="17CECF10">
            <w:pPr>
              <w:spacing w:before="120" w:line="240" w:lineRule="auto"/>
              <w:jc w:val="center"/>
              <w:rPr>
                <w:rFonts w:ascii="Segoe UI" w:hAnsi="Segoe UI" w:cs="Segoe UI"/>
                <w:sz w:val="22"/>
                <w:szCs w:val="22"/>
              </w:rPr>
            </w:pPr>
          </w:p>
        </w:tc>
      </w:tr>
      <w:tr w:rsidR="00381F5C" w:rsidRPr="005362C8" w14:paraId="0CFFDEF8" w14:textId="77777777" w:rsidTr="17CECF10">
        <w:trPr>
          <w:cantSplit/>
          <w:trHeight w:val="512"/>
        </w:trPr>
        <w:tc>
          <w:tcPr>
            <w:tcW w:w="8904" w:type="dxa"/>
            <w:gridSpan w:val="5"/>
            <w:tcBorders>
              <w:top w:val="nil"/>
              <w:left w:val="single" w:sz="4" w:space="0" w:color="auto"/>
              <w:bottom w:val="single" w:sz="4" w:space="0" w:color="auto"/>
              <w:right w:val="single" w:sz="4" w:space="0" w:color="auto"/>
            </w:tcBorders>
            <w:vAlign w:val="center"/>
            <w:hideMark/>
          </w:tcPr>
          <w:p w14:paraId="27DE0F5B" w14:textId="6A1773D8" w:rsidR="00381F5C" w:rsidRPr="00F65FC8" w:rsidRDefault="6BFFB4D1" w:rsidP="17CECF10">
            <w:pPr>
              <w:spacing w:line="240" w:lineRule="auto"/>
              <w:jc w:val="center"/>
              <w:rPr>
                <w:rFonts w:ascii="Segoe UI" w:hAnsi="Segoe UI" w:cs="Segoe UI"/>
                <w:b/>
                <w:bCs/>
                <w:szCs w:val="24"/>
              </w:rPr>
            </w:pPr>
            <w:r w:rsidRPr="17CECF10">
              <w:rPr>
                <w:rFonts w:ascii="Segoe UI" w:hAnsi="Segoe UI" w:cs="Segoe UI"/>
                <w:b/>
                <w:bCs/>
                <w:sz w:val="22"/>
                <w:szCs w:val="22"/>
              </w:rPr>
              <w:t xml:space="preserve">Other </w:t>
            </w:r>
            <w:r w:rsidR="6B95719D" w:rsidRPr="17CECF10">
              <w:rPr>
                <w:rFonts w:ascii="Segoe UI" w:hAnsi="Segoe UI" w:cs="Segoe UI"/>
                <w:b/>
                <w:bCs/>
                <w:sz w:val="22"/>
                <w:szCs w:val="22"/>
              </w:rPr>
              <w:t>i</w:t>
            </w:r>
            <w:r w:rsidRPr="17CECF10">
              <w:rPr>
                <w:rFonts w:ascii="Segoe UI" w:hAnsi="Segoe UI" w:cs="Segoe UI"/>
                <w:b/>
                <w:bCs/>
                <w:sz w:val="22"/>
                <w:szCs w:val="22"/>
              </w:rPr>
              <w:t>mpacts</w:t>
            </w:r>
          </w:p>
        </w:tc>
      </w:tr>
      <w:tr w:rsidR="00381F5C" w:rsidRPr="005362C8" w14:paraId="5C8E9214" w14:textId="77777777" w:rsidTr="17CECF10">
        <w:trPr>
          <w:cantSplit/>
        </w:trPr>
        <w:tc>
          <w:tcPr>
            <w:tcW w:w="2389" w:type="dxa"/>
            <w:tcBorders>
              <w:top w:val="single" w:sz="4" w:space="0" w:color="auto"/>
              <w:left w:val="single" w:sz="4" w:space="0" w:color="auto"/>
              <w:bottom w:val="single" w:sz="4" w:space="0" w:color="auto"/>
              <w:right w:val="single" w:sz="4" w:space="0" w:color="auto"/>
            </w:tcBorders>
            <w:vAlign w:val="center"/>
            <w:hideMark/>
          </w:tcPr>
          <w:p w14:paraId="4F197974" w14:textId="77777777" w:rsidR="00381F5C" w:rsidRPr="00F65FC8" w:rsidRDefault="47809D90" w:rsidP="17CECF10">
            <w:pPr>
              <w:spacing w:before="120" w:line="240" w:lineRule="auto"/>
              <w:jc w:val="center"/>
              <w:rPr>
                <w:rFonts w:ascii="Segoe UI" w:hAnsi="Segoe UI" w:cs="Segoe UI"/>
                <w:b/>
                <w:bCs/>
                <w:i/>
                <w:iCs/>
                <w:szCs w:val="24"/>
              </w:rPr>
            </w:pPr>
            <w:r w:rsidRPr="17CECF10">
              <w:rPr>
                <w:rFonts w:ascii="Segoe UI" w:hAnsi="Segoe UI" w:cs="Segoe UI"/>
                <w:b/>
                <w:bCs/>
                <w:i/>
                <w:iCs/>
                <w:sz w:val="22"/>
                <w:szCs w:val="22"/>
              </w:rPr>
              <w:lastRenderedPageBreak/>
              <w:t>Category</w:t>
            </w:r>
          </w:p>
        </w:tc>
        <w:tc>
          <w:tcPr>
            <w:tcW w:w="4827" w:type="dxa"/>
            <w:gridSpan w:val="3"/>
            <w:tcBorders>
              <w:top w:val="single" w:sz="4" w:space="0" w:color="auto"/>
              <w:left w:val="single" w:sz="4" w:space="0" w:color="auto"/>
              <w:bottom w:val="single" w:sz="4" w:space="0" w:color="auto"/>
              <w:right w:val="single" w:sz="4" w:space="0" w:color="auto"/>
            </w:tcBorders>
            <w:vAlign w:val="center"/>
            <w:hideMark/>
          </w:tcPr>
          <w:p w14:paraId="1F553B2C" w14:textId="77777777" w:rsidR="00381F5C" w:rsidRPr="00F65FC8" w:rsidRDefault="47809D90" w:rsidP="17CECF10">
            <w:pPr>
              <w:spacing w:before="120" w:line="240" w:lineRule="auto"/>
              <w:jc w:val="center"/>
              <w:rPr>
                <w:rFonts w:ascii="Segoe UI" w:hAnsi="Segoe UI" w:cs="Segoe UI"/>
                <w:b/>
                <w:bCs/>
                <w:i/>
                <w:iCs/>
                <w:szCs w:val="24"/>
              </w:rPr>
            </w:pPr>
            <w:r w:rsidRPr="17CECF10">
              <w:rPr>
                <w:rFonts w:ascii="Segoe UI" w:hAnsi="Segoe UI" w:cs="Segoe UI"/>
                <w:b/>
                <w:bCs/>
                <w:i/>
                <w:iCs/>
                <w:sz w:val="22"/>
                <w:szCs w:val="22"/>
              </w:rPr>
              <w:t>Effects</w:t>
            </w:r>
          </w:p>
        </w:tc>
        <w:tc>
          <w:tcPr>
            <w:tcW w:w="1688" w:type="dxa"/>
            <w:tcBorders>
              <w:top w:val="single" w:sz="4" w:space="0" w:color="auto"/>
              <w:left w:val="single" w:sz="4" w:space="0" w:color="auto"/>
              <w:bottom w:val="single" w:sz="4" w:space="0" w:color="auto"/>
              <w:right w:val="single" w:sz="4" w:space="0" w:color="auto"/>
            </w:tcBorders>
            <w:vAlign w:val="center"/>
            <w:hideMark/>
          </w:tcPr>
          <w:p w14:paraId="23CBCD45" w14:textId="4E4D65A4" w:rsidR="00381F5C" w:rsidRPr="00F65FC8" w:rsidRDefault="6BFFB4D1" w:rsidP="17CECF10">
            <w:pPr>
              <w:spacing w:before="120" w:line="240" w:lineRule="auto"/>
              <w:jc w:val="center"/>
              <w:rPr>
                <w:rFonts w:ascii="Segoe UI" w:hAnsi="Segoe UI" w:cs="Segoe UI"/>
                <w:b/>
                <w:bCs/>
                <w:i/>
                <w:iCs/>
                <w:szCs w:val="24"/>
              </w:rPr>
            </w:pPr>
            <w:r w:rsidRPr="17CECF10">
              <w:rPr>
                <w:rFonts w:ascii="Segoe UI" w:hAnsi="Segoe UI" w:cs="Segoe UI"/>
                <w:b/>
                <w:bCs/>
                <w:i/>
                <w:iCs/>
                <w:sz w:val="22"/>
                <w:szCs w:val="22"/>
              </w:rPr>
              <w:t xml:space="preserve">Source </w:t>
            </w:r>
            <w:r w:rsidR="78C9C25C" w:rsidRPr="17CECF10">
              <w:rPr>
                <w:rFonts w:ascii="Segoe UI" w:hAnsi="Segoe UI" w:cs="Segoe UI"/>
                <w:b/>
                <w:bCs/>
                <w:i/>
                <w:iCs/>
                <w:sz w:val="22"/>
                <w:szCs w:val="22"/>
              </w:rPr>
              <w:t>c</w:t>
            </w:r>
            <w:r w:rsidR="760CF4F4" w:rsidRPr="17CECF10">
              <w:rPr>
                <w:rFonts w:ascii="Segoe UI" w:hAnsi="Segoe UI" w:cs="Segoe UI"/>
                <w:b/>
                <w:bCs/>
                <w:i/>
                <w:iCs/>
                <w:sz w:val="22"/>
                <w:szCs w:val="22"/>
              </w:rPr>
              <w:t>i</w:t>
            </w:r>
            <w:r w:rsidRPr="17CECF10">
              <w:rPr>
                <w:rFonts w:ascii="Segoe UI" w:hAnsi="Segoe UI" w:cs="Segoe UI"/>
                <w:b/>
                <w:bCs/>
                <w:i/>
                <w:iCs/>
                <w:sz w:val="22"/>
                <w:szCs w:val="22"/>
              </w:rPr>
              <w:t>tation</w:t>
            </w:r>
          </w:p>
        </w:tc>
      </w:tr>
      <w:tr w:rsidR="00381F5C" w:rsidRPr="005362C8" w14:paraId="4C5DD5C3" w14:textId="77777777" w:rsidTr="17CECF10">
        <w:trPr>
          <w:cantSplit/>
        </w:trPr>
        <w:tc>
          <w:tcPr>
            <w:tcW w:w="2389" w:type="dxa"/>
            <w:tcBorders>
              <w:top w:val="single" w:sz="4" w:space="0" w:color="auto"/>
              <w:left w:val="single" w:sz="4" w:space="0" w:color="auto"/>
              <w:bottom w:val="single" w:sz="4" w:space="0" w:color="auto"/>
              <w:right w:val="single" w:sz="4" w:space="0" w:color="auto"/>
            </w:tcBorders>
            <w:vAlign w:val="center"/>
            <w:hideMark/>
          </w:tcPr>
          <w:p w14:paraId="6486E414" w14:textId="29A25A3F" w:rsidR="00381F5C" w:rsidRPr="005362C8" w:rsidRDefault="51BE3675" w:rsidP="17CECF10">
            <w:pPr>
              <w:spacing w:before="120" w:line="240" w:lineRule="auto"/>
              <w:rPr>
                <w:rFonts w:ascii="Segoe UI" w:hAnsi="Segoe UI" w:cs="Segoe UI"/>
                <w:szCs w:val="24"/>
              </w:rPr>
            </w:pPr>
            <w:r w:rsidRPr="17CECF10">
              <w:rPr>
                <w:rFonts w:ascii="Segoe UI" w:hAnsi="Segoe UI" w:cs="Segoe UI"/>
                <w:sz w:val="22"/>
                <w:szCs w:val="22"/>
              </w:rPr>
              <w:t xml:space="preserve">Effects on </w:t>
            </w:r>
            <w:r w:rsidR="4ACE4619" w:rsidRPr="17CECF10">
              <w:rPr>
                <w:rFonts w:ascii="Segoe UI" w:hAnsi="Segoe UI" w:cs="Segoe UI"/>
                <w:sz w:val="22"/>
                <w:szCs w:val="22"/>
              </w:rPr>
              <w:t>s</w:t>
            </w:r>
            <w:r w:rsidRPr="17CECF10">
              <w:rPr>
                <w:rFonts w:ascii="Segoe UI" w:hAnsi="Segoe UI" w:cs="Segoe UI"/>
                <w:sz w:val="22"/>
                <w:szCs w:val="22"/>
              </w:rPr>
              <w:t xml:space="preserve">tate, </w:t>
            </w:r>
            <w:r w:rsidR="5B912899" w:rsidRPr="17CECF10">
              <w:rPr>
                <w:rFonts w:ascii="Segoe UI" w:hAnsi="Segoe UI" w:cs="Segoe UI"/>
                <w:sz w:val="22"/>
                <w:szCs w:val="22"/>
              </w:rPr>
              <w:t>l</w:t>
            </w:r>
            <w:r w:rsidRPr="17CECF10">
              <w:rPr>
                <w:rFonts w:ascii="Segoe UI" w:hAnsi="Segoe UI" w:cs="Segoe UI"/>
                <w:sz w:val="22"/>
                <w:szCs w:val="22"/>
              </w:rPr>
              <w:t xml:space="preserve">ocal, and/or </w:t>
            </w:r>
            <w:r w:rsidR="29713825" w:rsidRPr="17CECF10">
              <w:rPr>
                <w:rFonts w:ascii="Segoe UI" w:hAnsi="Segoe UI" w:cs="Segoe UI"/>
                <w:sz w:val="22"/>
                <w:szCs w:val="22"/>
              </w:rPr>
              <w:t>t</w:t>
            </w:r>
            <w:r w:rsidRPr="17CECF10">
              <w:rPr>
                <w:rFonts w:ascii="Segoe UI" w:hAnsi="Segoe UI" w:cs="Segoe UI"/>
                <w:sz w:val="22"/>
                <w:szCs w:val="22"/>
              </w:rPr>
              <w:t xml:space="preserve">ribal </w:t>
            </w:r>
            <w:r w:rsidR="3A09A387" w:rsidRPr="17CECF10">
              <w:rPr>
                <w:rFonts w:ascii="Segoe UI" w:hAnsi="Segoe UI" w:cs="Segoe UI"/>
                <w:sz w:val="22"/>
                <w:szCs w:val="22"/>
              </w:rPr>
              <w:t>g</w:t>
            </w:r>
            <w:r w:rsidRPr="17CECF10">
              <w:rPr>
                <w:rFonts w:ascii="Segoe UI" w:hAnsi="Segoe UI" w:cs="Segoe UI"/>
                <w:sz w:val="22"/>
                <w:szCs w:val="22"/>
              </w:rPr>
              <w:t>overnments</w:t>
            </w:r>
          </w:p>
        </w:tc>
        <w:tc>
          <w:tcPr>
            <w:tcW w:w="4827" w:type="dxa"/>
            <w:gridSpan w:val="3"/>
            <w:tcBorders>
              <w:top w:val="single" w:sz="4" w:space="0" w:color="auto"/>
              <w:left w:val="single" w:sz="4" w:space="0" w:color="auto"/>
              <w:bottom w:val="single" w:sz="4" w:space="0" w:color="auto"/>
              <w:right w:val="single" w:sz="4" w:space="0" w:color="auto"/>
            </w:tcBorders>
            <w:vAlign w:val="center"/>
            <w:hideMark/>
          </w:tcPr>
          <w:p w14:paraId="25E8B2CD" w14:textId="77777777" w:rsidR="00381F5C" w:rsidRPr="00F65FC8" w:rsidRDefault="47809D90" w:rsidP="17CECF10">
            <w:pPr>
              <w:spacing w:before="120" w:line="240" w:lineRule="auto"/>
              <w:jc w:val="center"/>
              <w:rPr>
                <w:rFonts w:ascii="Segoe UI" w:hAnsi="Segoe UI" w:cs="Segoe UI"/>
                <w:szCs w:val="24"/>
              </w:rPr>
            </w:pPr>
            <w:r w:rsidRPr="17CECF10">
              <w:rPr>
                <w:rFonts w:ascii="Segoe UI" w:hAnsi="Segoe UI" w:cs="Segoe UI"/>
                <w:sz w:val="22"/>
                <w:szCs w:val="22"/>
              </w:rPr>
              <w:t>n/a</w:t>
            </w:r>
          </w:p>
        </w:tc>
        <w:tc>
          <w:tcPr>
            <w:tcW w:w="1688" w:type="dxa"/>
            <w:tcBorders>
              <w:top w:val="single" w:sz="4" w:space="0" w:color="auto"/>
              <w:left w:val="single" w:sz="4" w:space="0" w:color="auto"/>
              <w:bottom w:val="single" w:sz="4" w:space="0" w:color="auto"/>
              <w:right w:val="single" w:sz="4" w:space="0" w:color="auto"/>
            </w:tcBorders>
            <w:vAlign w:val="center"/>
          </w:tcPr>
          <w:p w14:paraId="6B202CA6" w14:textId="77777777" w:rsidR="00381F5C" w:rsidRPr="00F65FC8" w:rsidRDefault="47809D90" w:rsidP="17CECF10">
            <w:pPr>
              <w:spacing w:before="120" w:line="240" w:lineRule="auto"/>
              <w:jc w:val="center"/>
              <w:rPr>
                <w:rFonts w:ascii="Segoe UI" w:hAnsi="Segoe UI" w:cs="Segoe UI"/>
                <w:szCs w:val="24"/>
              </w:rPr>
            </w:pPr>
            <w:r w:rsidRPr="17CECF10">
              <w:rPr>
                <w:rFonts w:ascii="Segoe UI" w:hAnsi="Segoe UI" w:cs="Segoe UI"/>
                <w:sz w:val="22"/>
                <w:szCs w:val="22"/>
              </w:rPr>
              <w:t>n/a</w:t>
            </w:r>
          </w:p>
        </w:tc>
      </w:tr>
      <w:tr w:rsidR="00381F5C" w:rsidRPr="005362C8" w14:paraId="6CAE3BD2" w14:textId="77777777" w:rsidTr="17CECF10">
        <w:trPr>
          <w:cantSplit/>
        </w:trPr>
        <w:tc>
          <w:tcPr>
            <w:tcW w:w="2389" w:type="dxa"/>
            <w:tcBorders>
              <w:top w:val="single" w:sz="4" w:space="0" w:color="auto"/>
              <w:left w:val="single" w:sz="4" w:space="0" w:color="auto"/>
              <w:bottom w:val="single" w:sz="4" w:space="0" w:color="auto"/>
              <w:right w:val="single" w:sz="4" w:space="0" w:color="auto"/>
            </w:tcBorders>
            <w:vAlign w:val="center"/>
            <w:hideMark/>
          </w:tcPr>
          <w:p w14:paraId="46DE849D" w14:textId="2C2C27A4" w:rsidR="00381F5C" w:rsidRPr="005362C8" w:rsidRDefault="51BE3675" w:rsidP="17CECF10">
            <w:pPr>
              <w:spacing w:before="120" w:line="240" w:lineRule="auto"/>
              <w:rPr>
                <w:rFonts w:ascii="Segoe UI" w:hAnsi="Segoe UI" w:cs="Segoe UI"/>
                <w:szCs w:val="24"/>
              </w:rPr>
            </w:pPr>
            <w:r w:rsidRPr="17CECF10">
              <w:rPr>
                <w:rFonts w:ascii="Segoe UI" w:hAnsi="Segoe UI" w:cs="Segoe UI"/>
                <w:sz w:val="22"/>
                <w:szCs w:val="22"/>
              </w:rPr>
              <w:t xml:space="preserve">Effects on </w:t>
            </w:r>
            <w:r w:rsidR="2050F932" w:rsidRPr="17CECF10">
              <w:rPr>
                <w:rFonts w:ascii="Segoe UI" w:hAnsi="Segoe UI" w:cs="Segoe UI"/>
                <w:sz w:val="22"/>
                <w:szCs w:val="22"/>
              </w:rPr>
              <w:t>s</w:t>
            </w:r>
            <w:r w:rsidRPr="17CECF10">
              <w:rPr>
                <w:rFonts w:ascii="Segoe UI" w:hAnsi="Segoe UI" w:cs="Segoe UI"/>
                <w:sz w:val="22"/>
                <w:szCs w:val="22"/>
              </w:rPr>
              <w:t xml:space="preserve">mall </w:t>
            </w:r>
            <w:r w:rsidR="1E0F5A1D" w:rsidRPr="17CECF10">
              <w:rPr>
                <w:rFonts w:ascii="Segoe UI" w:hAnsi="Segoe UI" w:cs="Segoe UI"/>
                <w:sz w:val="22"/>
                <w:szCs w:val="22"/>
              </w:rPr>
              <w:t>b</w:t>
            </w:r>
            <w:r w:rsidRPr="17CECF10">
              <w:rPr>
                <w:rFonts w:ascii="Segoe UI" w:hAnsi="Segoe UI" w:cs="Segoe UI"/>
                <w:sz w:val="22"/>
                <w:szCs w:val="22"/>
              </w:rPr>
              <w:t>usinesses</w:t>
            </w:r>
          </w:p>
        </w:tc>
        <w:tc>
          <w:tcPr>
            <w:tcW w:w="4827" w:type="dxa"/>
            <w:gridSpan w:val="3"/>
            <w:tcBorders>
              <w:top w:val="single" w:sz="4" w:space="0" w:color="auto"/>
              <w:left w:val="single" w:sz="4" w:space="0" w:color="auto"/>
              <w:bottom w:val="single" w:sz="4" w:space="0" w:color="auto"/>
              <w:right w:val="single" w:sz="4" w:space="0" w:color="auto"/>
            </w:tcBorders>
            <w:vAlign w:val="center"/>
            <w:hideMark/>
          </w:tcPr>
          <w:p w14:paraId="61924EA7" w14:textId="1E2E98ED" w:rsidR="00381F5C" w:rsidRPr="00F65FC8" w:rsidRDefault="70756AD8" w:rsidP="17CECF10">
            <w:pPr>
              <w:spacing w:before="120" w:line="240" w:lineRule="auto"/>
              <w:rPr>
                <w:rFonts w:ascii="Segoe UI" w:hAnsi="Segoe UI" w:cs="Segoe UI"/>
                <w:szCs w:val="24"/>
              </w:rPr>
            </w:pPr>
            <w:r w:rsidRPr="17CECF10">
              <w:rPr>
                <w:rFonts w:ascii="Segoe UI" w:hAnsi="Segoe UI" w:cs="Segoe UI"/>
                <w:sz w:val="22"/>
                <w:szCs w:val="22"/>
              </w:rPr>
              <w:t>Changes in patent fees can affect further innovation and commercialization by small entities.</w:t>
            </w:r>
            <w:r w:rsidR="22A95970" w:rsidRPr="17CECF10">
              <w:rPr>
                <w:rFonts w:ascii="Segoe UI" w:hAnsi="Segoe UI" w:cs="Segoe UI"/>
                <w:sz w:val="22"/>
                <w:szCs w:val="22"/>
              </w:rPr>
              <w:t xml:space="preserve"> </w:t>
            </w:r>
            <w:r w:rsidRPr="17CECF10">
              <w:rPr>
                <w:rFonts w:ascii="Segoe UI" w:hAnsi="Segoe UI" w:cs="Segoe UI"/>
                <w:sz w:val="22"/>
                <w:szCs w:val="22"/>
              </w:rPr>
              <w:t>The patent fee schedule includes discounts for small and micro entities for certain fees.</w:t>
            </w:r>
            <w:r w:rsidR="22A95970" w:rsidRPr="17CECF10">
              <w:rPr>
                <w:rFonts w:ascii="Segoe UI" w:hAnsi="Segoe UI" w:cs="Segoe UI"/>
                <w:sz w:val="22"/>
                <w:szCs w:val="22"/>
              </w:rPr>
              <w:t xml:space="preserve"> </w:t>
            </w:r>
            <w:r w:rsidRPr="17CECF10">
              <w:rPr>
                <w:rFonts w:ascii="Segoe UI" w:hAnsi="Segoe UI" w:cs="Segoe UI"/>
                <w:sz w:val="22"/>
                <w:szCs w:val="22"/>
              </w:rPr>
              <w:t xml:space="preserve">The estimated impact on small businesses is addressed in the </w:t>
            </w:r>
            <w:r w:rsidR="4C16DC27" w:rsidRPr="17CECF10">
              <w:rPr>
                <w:rFonts w:ascii="Segoe UI" w:hAnsi="Segoe UI" w:cs="Segoe UI"/>
                <w:sz w:val="22"/>
                <w:szCs w:val="22"/>
              </w:rPr>
              <w:t>IRFA</w:t>
            </w:r>
            <w:r w:rsidRPr="17CECF10">
              <w:rPr>
                <w:rFonts w:ascii="Segoe UI" w:hAnsi="Segoe UI" w:cs="Segoe UI"/>
                <w:sz w:val="22"/>
                <w:szCs w:val="22"/>
              </w:rPr>
              <w:t>.</w:t>
            </w:r>
          </w:p>
        </w:tc>
        <w:tc>
          <w:tcPr>
            <w:tcW w:w="1688" w:type="dxa"/>
            <w:tcBorders>
              <w:top w:val="single" w:sz="4" w:space="0" w:color="auto"/>
              <w:left w:val="single" w:sz="4" w:space="0" w:color="auto"/>
              <w:bottom w:val="single" w:sz="4" w:space="0" w:color="auto"/>
              <w:right w:val="single" w:sz="4" w:space="0" w:color="auto"/>
            </w:tcBorders>
            <w:vAlign w:val="center"/>
            <w:hideMark/>
          </w:tcPr>
          <w:p w14:paraId="44E051C8" w14:textId="2BB12C77" w:rsidR="00381F5C" w:rsidRPr="00F65FC8" w:rsidRDefault="008DBDCF" w:rsidP="17CECF10">
            <w:pPr>
              <w:spacing w:before="120" w:line="240" w:lineRule="auto"/>
              <w:jc w:val="center"/>
              <w:rPr>
                <w:rFonts w:ascii="Segoe UI" w:hAnsi="Segoe UI" w:cs="Segoe UI"/>
                <w:szCs w:val="24"/>
              </w:rPr>
            </w:pPr>
            <w:r w:rsidRPr="17CECF10">
              <w:rPr>
                <w:rFonts w:ascii="Segoe UI" w:hAnsi="Segoe UI" w:cs="Segoe UI"/>
                <w:sz w:val="22"/>
                <w:szCs w:val="22"/>
              </w:rPr>
              <w:t>I</w:t>
            </w:r>
            <w:r w:rsidR="70756AD8" w:rsidRPr="17CECF10">
              <w:rPr>
                <w:rFonts w:ascii="Segoe UI" w:hAnsi="Segoe UI" w:cs="Segoe UI"/>
                <w:sz w:val="22"/>
                <w:szCs w:val="22"/>
              </w:rPr>
              <w:t>RFA</w:t>
            </w:r>
          </w:p>
        </w:tc>
      </w:tr>
      <w:tr w:rsidR="00381F5C" w:rsidRPr="005362C8" w14:paraId="37024F10" w14:textId="77777777" w:rsidTr="17CECF10">
        <w:trPr>
          <w:cantSplit/>
        </w:trPr>
        <w:tc>
          <w:tcPr>
            <w:tcW w:w="2389" w:type="dxa"/>
            <w:tcBorders>
              <w:top w:val="single" w:sz="4" w:space="0" w:color="auto"/>
              <w:left w:val="single" w:sz="4" w:space="0" w:color="auto"/>
              <w:bottom w:val="single" w:sz="4" w:space="0" w:color="auto"/>
              <w:right w:val="single" w:sz="4" w:space="0" w:color="auto"/>
            </w:tcBorders>
            <w:vAlign w:val="center"/>
            <w:hideMark/>
          </w:tcPr>
          <w:p w14:paraId="7339E325" w14:textId="64CE3487" w:rsidR="00381F5C" w:rsidRPr="005362C8" w:rsidRDefault="51BE3675" w:rsidP="17CECF10">
            <w:pPr>
              <w:spacing w:before="120" w:line="240" w:lineRule="auto"/>
              <w:rPr>
                <w:rFonts w:ascii="Segoe UI" w:hAnsi="Segoe UI" w:cs="Segoe UI"/>
                <w:szCs w:val="24"/>
              </w:rPr>
            </w:pPr>
            <w:r w:rsidRPr="17CECF10">
              <w:rPr>
                <w:rFonts w:ascii="Segoe UI" w:hAnsi="Segoe UI" w:cs="Segoe UI"/>
                <w:sz w:val="22"/>
                <w:szCs w:val="22"/>
              </w:rPr>
              <w:t xml:space="preserve">Effects on </w:t>
            </w:r>
            <w:r w:rsidR="6622EEB5" w:rsidRPr="17CECF10">
              <w:rPr>
                <w:rFonts w:ascii="Segoe UI" w:hAnsi="Segoe UI" w:cs="Segoe UI"/>
                <w:sz w:val="22"/>
                <w:szCs w:val="22"/>
              </w:rPr>
              <w:t>g</w:t>
            </w:r>
            <w:r w:rsidRPr="17CECF10">
              <w:rPr>
                <w:rFonts w:ascii="Segoe UI" w:hAnsi="Segoe UI" w:cs="Segoe UI"/>
                <w:sz w:val="22"/>
                <w:szCs w:val="22"/>
              </w:rPr>
              <w:t>rowth</w:t>
            </w:r>
          </w:p>
        </w:tc>
        <w:tc>
          <w:tcPr>
            <w:tcW w:w="4827" w:type="dxa"/>
            <w:gridSpan w:val="3"/>
            <w:tcBorders>
              <w:top w:val="single" w:sz="4" w:space="0" w:color="auto"/>
              <w:left w:val="single" w:sz="4" w:space="0" w:color="auto"/>
              <w:bottom w:val="single" w:sz="4" w:space="0" w:color="auto"/>
              <w:right w:val="single" w:sz="4" w:space="0" w:color="auto"/>
            </w:tcBorders>
            <w:vAlign w:val="center"/>
            <w:hideMark/>
          </w:tcPr>
          <w:p w14:paraId="0ECBE606" w14:textId="2259AA8B" w:rsidR="00381F5C" w:rsidRPr="00F65FC8" w:rsidRDefault="70756AD8" w:rsidP="17CECF10">
            <w:pPr>
              <w:spacing w:before="120" w:line="240" w:lineRule="auto"/>
              <w:rPr>
                <w:rFonts w:ascii="Segoe UI" w:hAnsi="Segoe UI" w:cs="Segoe UI"/>
                <w:szCs w:val="24"/>
              </w:rPr>
            </w:pPr>
            <w:r w:rsidRPr="17CECF10">
              <w:rPr>
                <w:rFonts w:ascii="Segoe UI" w:hAnsi="Segoe UI" w:cs="Segoe UI"/>
                <w:sz w:val="22"/>
                <w:szCs w:val="22"/>
              </w:rPr>
              <w:t>The impact of patent fee changes on fostering innovation, which helps drive economic growth, was an important factor in this analysis.</w:t>
            </w:r>
            <w:r w:rsidR="22A95970" w:rsidRPr="17CECF10">
              <w:rPr>
                <w:rFonts w:ascii="Segoe UI" w:hAnsi="Segoe UI" w:cs="Segoe UI"/>
                <w:sz w:val="22"/>
                <w:szCs w:val="22"/>
              </w:rPr>
              <w:t xml:space="preserve"> </w:t>
            </w:r>
            <w:r w:rsidRPr="17CECF10">
              <w:rPr>
                <w:rFonts w:ascii="Segoe UI" w:hAnsi="Segoe UI" w:cs="Segoe UI"/>
                <w:sz w:val="22"/>
                <w:szCs w:val="22"/>
              </w:rPr>
              <w:t xml:space="preserve">The </w:t>
            </w:r>
            <w:r w:rsidR="497A267A" w:rsidRPr="17CECF10">
              <w:rPr>
                <w:rFonts w:ascii="Segoe UI" w:hAnsi="Segoe UI" w:cs="Segoe UI"/>
                <w:sz w:val="22"/>
                <w:szCs w:val="22"/>
              </w:rPr>
              <w:t>Final</w:t>
            </w:r>
            <w:r w:rsidR="3C4C71F3" w:rsidRPr="17CECF10">
              <w:rPr>
                <w:rFonts w:ascii="Segoe UI" w:hAnsi="Segoe UI" w:cs="Segoe UI"/>
                <w:sz w:val="22"/>
                <w:szCs w:val="22"/>
              </w:rPr>
              <w:t xml:space="preserve"> Patent</w:t>
            </w:r>
            <w:r w:rsidR="34BE41D1" w:rsidRPr="17CECF10">
              <w:rPr>
                <w:rFonts w:ascii="Segoe UI" w:hAnsi="Segoe UI" w:cs="Segoe UI"/>
                <w:sz w:val="22"/>
                <w:szCs w:val="22"/>
              </w:rPr>
              <w:t xml:space="preserve"> Fee Schedule</w:t>
            </w:r>
            <w:r w:rsidR="6B0A7A7D" w:rsidRPr="17CECF10">
              <w:rPr>
                <w:rFonts w:ascii="Segoe UI" w:hAnsi="Segoe UI" w:cs="Segoe UI"/>
                <w:sz w:val="22"/>
                <w:szCs w:val="22"/>
              </w:rPr>
              <w:t xml:space="preserve"> is expected to produce the revenue needed </w:t>
            </w:r>
            <w:r w:rsidR="3C4C71F3" w:rsidRPr="17CECF10">
              <w:rPr>
                <w:rFonts w:ascii="Segoe UI" w:hAnsi="Segoe UI" w:cs="Segoe UI"/>
                <w:sz w:val="22"/>
                <w:szCs w:val="22"/>
              </w:rPr>
              <w:t xml:space="preserve">for the USPTO </w:t>
            </w:r>
            <w:r w:rsidR="6B0A7A7D" w:rsidRPr="17CECF10">
              <w:rPr>
                <w:rFonts w:ascii="Segoe UI" w:hAnsi="Segoe UI" w:cs="Segoe UI"/>
                <w:sz w:val="22"/>
                <w:szCs w:val="22"/>
              </w:rPr>
              <w:t>to achieve the strategic priorities encompassed in</w:t>
            </w:r>
            <w:r w:rsidR="3C4C71F3" w:rsidRPr="17CECF10">
              <w:rPr>
                <w:rFonts w:ascii="Segoe UI" w:hAnsi="Segoe UI" w:cs="Segoe UI"/>
                <w:sz w:val="22"/>
                <w:szCs w:val="22"/>
              </w:rPr>
              <w:t xml:space="preserve"> its</w:t>
            </w:r>
            <w:r w:rsidR="6B0A7A7D" w:rsidRPr="17CECF10">
              <w:rPr>
                <w:rFonts w:ascii="Segoe UI" w:hAnsi="Segoe UI" w:cs="Segoe UI"/>
                <w:sz w:val="22"/>
                <w:szCs w:val="22"/>
              </w:rPr>
              <w:t xml:space="preserve"> Strategic Plan</w:t>
            </w:r>
            <w:r w:rsidR="3C4C71F3" w:rsidRPr="17CECF10">
              <w:rPr>
                <w:rFonts w:ascii="Segoe UI" w:hAnsi="Segoe UI" w:cs="Segoe UI"/>
                <w:sz w:val="22"/>
                <w:szCs w:val="22"/>
              </w:rPr>
              <w:t>,</w:t>
            </w:r>
            <w:r w:rsidR="7E3EE3F6" w:rsidRPr="17CECF10">
              <w:rPr>
                <w:rFonts w:ascii="Segoe UI" w:hAnsi="Segoe UI" w:cs="Segoe UI"/>
                <w:sz w:val="22"/>
                <w:szCs w:val="22"/>
              </w:rPr>
              <w:t xml:space="preserve"> including providing enhanced access and support to innovators, creators, entrepreneurs, and brand owners across the country.</w:t>
            </w:r>
          </w:p>
        </w:tc>
        <w:tc>
          <w:tcPr>
            <w:tcW w:w="1688" w:type="dxa"/>
            <w:tcBorders>
              <w:top w:val="single" w:sz="4" w:space="0" w:color="auto"/>
              <w:left w:val="single" w:sz="4" w:space="0" w:color="auto"/>
              <w:bottom w:val="single" w:sz="4" w:space="0" w:color="auto"/>
              <w:right w:val="single" w:sz="4" w:space="0" w:color="auto"/>
            </w:tcBorders>
            <w:vAlign w:val="center"/>
            <w:hideMark/>
          </w:tcPr>
          <w:p w14:paraId="3F443717" w14:textId="77777777" w:rsidR="00381F5C" w:rsidRPr="00F65FC8" w:rsidRDefault="47809D90" w:rsidP="17CECF10">
            <w:pPr>
              <w:keepNext/>
              <w:spacing w:before="120" w:line="240" w:lineRule="auto"/>
              <w:jc w:val="center"/>
              <w:rPr>
                <w:rFonts w:ascii="Segoe UI" w:hAnsi="Segoe UI" w:cs="Segoe UI"/>
                <w:szCs w:val="24"/>
              </w:rPr>
            </w:pPr>
            <w:r w:rsidRPr="17CECF10">
              <w:rPr>
                <w:rFonts w:ascii="Segoe UI" w:hAnsi="Segoe UI" w:cs="Segoe UI"/>
                <w:sz w:val="22"/>
                <w:szCs w:val="22"/>
              </w:rPr>
              <w:t>RIA</w:t>
            </w:r>
          </w:p>
        </w:tc>
      </w:tr>
    </w:tbl>
    <w:p w14:paraId="6E9FED41" w14:textId="77777777" w:rsidR="002E6AD3" w:rsidRPr="00CF6436" w:rsidRDefault="002E6AD3" w:rsidP="00CF6436">
      <w:pPr>
        <w:spacing w:line="360" w:lineRule="auto"/>
        <w:rPr>
          <w:rFonts w:ascii="Segoe UI" w:hAnsi="Segoe UI" w:cs="Segoe UI"/>
        </w:rPr>
      </w:pPr>
    </w:p>
    <w:p w14:paraId="115A9505" w14:textId="7FCE8480" w:rsidR="009C3988" w:rsidRPr="00CF6436" w:rsidRDefault="3EC9CFF3" w:rsidP="293D3C50">
      <w:pPr>
        <w:spacing w:line="360" w:lineRule="auto"/>
        <w:ind w:firstLine="450"/>
        <w:rPr>
          <w:rFonts w:ascii="Segoe UI" w:hAnsi="Segoe UI" w:cs="Segoe UI"/>
        </w:rPr>
      </w:pPr>
      <w:r w:rsidRPr="293D3C50">
        <w:rPr>
          <w:rFonts w:ascii="Segoe UI" w:hAnsi="Segoe UI" w:cs="Segoe UI"/>
        </w:rPr>
        <w:t>Q</w:t>
      </w:r>
      <w:r w:rsidR="106488F5" w:rsidRPr="293D3C50">
        <w:rPr>
          <w:rFonts w:ascii="Segoe UI" w:hAnsi="Segoe UI" w:cs="Segoe UI"/>
        </w:rPr>
        <w:t xml:space="preserve">ualitative </w:t>
      </w:r>
      <w:r w:rsidR="53DBD5EE" w:rsidRPr="293D3C50">
        <w:rPr>
          <w:rFonts w:ascii="Segoe UI" w:hAnsi="Segoe UI" w:cs="Segoe UI"/>
        </w:rPr>
        <w:t>benefit</w:t>
      </w:r>
      <w:r w:rsidR="106488F5" w:rsidRPr="293D3C50">
        <w:rPr>
          <w:rFonts w:ascii="Segoe UI" w:hAnsi="Segoe UI" w:cs="Segoe UI"/>
        </w:rPr>
        <w:t>s</w:t>
      </w:r>
      <w:r w:rsidR="53DBD5EE" w:rsidRPr="293D3C50">
        <w:rPr>
          <w:rFonts w:ascii="Segoe UI" w:hAnsi="Segoe UI" w:cs="Segoe UI"/>
        </w:rPr>
        <w:t xml:space="preserve"> of the </w:t>
      </w:r>
      <w:r w:rsidR="000F20DC">
        <w:rPr>
          <w:rFonts w:ascii="Segoe UI" w:hAnsi="Segoe UI" w:cs="Segoe UI"/>
        </w:rPr>
        <w:t>Final</w:t>
      </w:r>
      <w:r w:rsidR="26D1F763" w:rsidRPr="293D3C50">
        <w:rPr>
          <w:rFonts w:ascii="Segoe UI" w:hAnsi="Segoe UI" w:cs="Segoe UI"/>
        </w:rPr>
        <w:t xml:space="preserve"> </w:t>
      </w:r>
      <w:r w:rsidR="20C542FD" w:rsidRPr="293D3C50">
        <w:rPr>
          <w:rFonts w:ascii="Segoe UI" w:hAnsi="Segoe UI" w:cs="Segoe UI"/>
        </w:rPr>
        <w:t xml:space="preserve">Patent </w:t>
      </w:r>
      <w:r w:rsidR="2F6F6D12" w:rsidRPr="293D3C50">
        <w:rPr>
          <w:rFonts w:ascii="Segoe UI" w:hAnsi="Segoe UI" w:cs="Segoe UI"/>
        </w:rPr>
        <w:t>F</w:t>
      </w:r>
      <w:r w:rsidR="53DBD5EE" w:rsidRPr="293D3C50">
        <w:rPr>
          <w:rFonts w:ascii="Segoe UI" w:hAnsi="Segoe UI" w:cs="Segoe UI"/>
        </w:rPr>
        <w:t xml:space="preserve">ee </w:t>
      </w:r>
      <w:r w:rsidR="2F6F6D12" w:rsidRPr="293D3C50">
        <w:rPr>
          <w:rFonts w:ascii="Segoe UI" w:hAnsi="Segoe UI" w:cs="Segoe UI"/>
        </w:rPr>
        <w:t>S</w:t>
      </w:r>
      <w:r w:rsidR="53DBD5EE" w:rsidRPr="293D3C50">
        <w:rPr>
          <w:rFonts w:ascii="Segoe UI" w:hAnsi="Segoe UI" w:cs="Segoe UI"/>
        </w:rPr>
        <w:t xml:space="preserve">chedule (Alternative 1) </w:t>
      </w:r>
      <w:r w:rsidR="221BA516" w:rsidRPr="293D3C50">
        <w:rPr>
          <w:rFonts w:ascii="Segoe UI" w:hAnsi="Segoe UI" w:cs="Segoe UI"/>
        </w:rPr>
        <w:t xml:space="preserve">are </w:t>
      </w:r>
      <w:r w:rsidR="106488F5" w:rsidRPr="293D3C50">
        <w:rPr>
          <w:rFonts w:ascii="Segoe UI" w:hAnsi="Segoe UI" w:cs="Segoe UI"/>
        </w:rPr>
        <w:t>(</w:t>
      </w:r>
      <w:r w:rsidR="221BA516" w:rsidRPr="293D3C50">
        <w:rPr>
          <w:rFonts w:ascii="Segoe UI" w:hAnsi="Segoe UI" w:cs="Segoe UI"/>
        </w:rPr>
        <w:t>1</w:t>
      </w:r>
      <w:r w:rsidR="106488F5" w:rsidRPr="293D3C50">
        <w:rPr>
          <w:rFonts w:ascii="Segoe UI" w:hAnsi="Segoe UI" w:cs="Segoe UI"/>
        </w:rPr>
        <w:t>)</w:t>
      </w:r>
      <w:r w:rsidRPr="293D3C50">
        <w:rPr>
          <w:rFonts w:ascii="Segoe UI" w:hAnsi="Segoe UI" w:cs="Segoe UI"/>
        </w:rPr>
        <w:t xml:space="preserve"> </w:t>
      </w:r>
      <w:r w:rsidR="106488F5" w:rsidRPr="293D3C50">
        <w:rPr>
          <w:rFonts w:ascii="Segoe UI" w:hAnsi="Segoe UI" w:cs="Segoe UI"/>
        </w:rPr>
        <w:t xml:space="preserve">improvements in the design of the fee schedule </w:t>
      </w:r>
      <w:r w:rsidR="2192A769" w:rsidRPr="293D3C50">
        <w:rPr>
          <w:rFonts w:ascii="Segoe UI" w:hAnsi="Segoe UI" w:cs="Segoe UI"/>
        </w:rPr>
        <w:t xml:space="preserve">in alignment with </w:t>
      </w:r>
      <w:r w:rsidR="106488F5" w:rsidRPr="293D3C50">
        <w:rPr>
          <w:rFonts w:ascii="Segoe UI" w:hAnsi="Segoe UI" w:cs="Segoe UI"/>
        </w:rPr>
        <w:t xml:space="preserve">key </w:t>
      </w:r>
      <w:r w:rsidR="7CA41D68" w:rsidRPr="293D3C50">
        <w:rPr>
          <w:rFonts w:ascii="Segoe UI" w:hAnsi="Segoe UI" w:cs="Segoe UI"/>
        </w:rPr>
        <w:t>policy factors</w:t>
      </w:r>
      <w:r w:rsidR="2192A769" w:rsidRPr="293D3C50">
        <w:rPr>
          <w:rFonts w:ascii="Segoe UI" w:hAnsi="Segoe UI" w:cs="Segoe UI"/>
        </w:rPr>
        <w:t>;</w:t>
      </w:r>
      <w:r w:rsidR="7F7A7F5E" w:rsidRPr="293D3C50">
        <w:rPr>
          <w:rFonts w:ascii="Segoe UI" w:hAnsi="Segoe UI" w:cs="Segoe UI"/>
        </w:rPr>
        <w:t xml:space="preserve"> and (2) </w:t>
      </w:r>
      <w:r w:rsidR="1D1CF5D7" w:rsidRPr="293D3C50">
        <w:rPr>
          <w:rFonts w:ascii="Segoe UI" w:hAnsi="Segoe UI" w:cs="Segoe UI"/>
        </w:rPr>
        <w:t xml:space="preserve">securing sufficient aggregate revenue to </w:t>
      </w:r>
      <w:r w:rsidR="2B9A4026" w:rsidRPr="293D3C50">
        <w:rPr>
          <w:rFonts w:ascii="Segoe UI" w:hAnsi="Segoe UI" w:cs="Segoe UI"/>
        </w:rPr>
        <w:t>re</w:t>
      </w:r>
      <w:r w:rsidR="1D1CF5D7" w:rsidRPr="293D3C50">
        <w:rPr>
          <w:rFonts w:ascii="Segoe UI" w:hAnsi="Segoe UI" w:cs="Segoe UI"/>
        </w:rPr>
        <w:t>cover aggregate costs.</w:t>
      </w:r>
    </w:p>
    <w:p w14:paraId="1B3ADB41" w14:textId="2222A877" w:rsidR="00701408" w:rsidRPr="00CF6436" w:rsidRDefault="34C494D4" w:rsidP="293D3C50">
      <w:pPr>
        <w:spacing w:line="360" w:lineRule="auto"/>
        <w:ind w:firstLine="450"/>
        <w:rPr>
          <w:rFonts w:ascii="Segoe UI" w:hAnsi="Segoe UI" w:cs="Segoe UI"/>
        </w:rPr>
      </w:pPr>
      <w:r w:rsidRPr="293D3C50">
        <w:rPr>
          <w:rFonts w:ascii="Segoe UI" w:hAnsi="Segoe UI" w:cs="Segoe UI"/>
        </w:rPr>
        <w:t xml:space="preserve">As to the first benefit, the </w:t>
      </w:r>
      <w:r w:rsidR="000F20DC">
        <w:rPr>
          <w:rFonts w:ascii="Segoe UI" w:hAnsi="Segoe UI" w:cs="Segoe UI"/>
        </w:rPr>
        <w:t>Final</w:t>
      </w:r>
      <w:r w:rsidR="36AED27C" w:rsidRPr="293D3C50">
        <w:rPr>
          <w:rFonts w:ascii="Segoe UI" w:hAnsi="Segoe UI" w:cs="Segoe UI"/>
        </w:rPr>
        <w:t xml:space="preserve"> </w:t>
      </w:r>
      <w:r w:rsidR="1B4D1632" w:rsidRPr="293D3C50">
        <w:rPr>
          <w:rFonts w:ascii="Segoe UI" w:hAnsi="Segoe UI" w:cs="Segoe UI"/>
        </w:rPr>
        <w:t xml:space="preserve">Patent </w:t>
      </w:r>
      <w:r w:rsidR="36AED27C" w:rsidRPr="293D3C50">
        <w:rPr>
          <w:rFonts w:ascii="Segoe UI" w:hAnsi="Segoe UI" w:cs="Segoe UI"/>
        </w:rPr>
        <w:t>Fee Schedule</w:t>
      </w:r>
      <w:r w:rsidRPr="293D3C50">
        <w:rPr>
          <w:rFonts w:ascii="Segoe UI" w:hAnsi="Segoe UI" w:cs="Segoe UI"/>
        </w:rPr>
        <w:t xml:space="preserve"> (Alternative 1) includes several changes that would better achieve </w:t>
      </w:r>
      <w:r w:rsidR="5A4F3E8D" w:rsidRPr="293D3C50">
        <w:rPr>
          <w:rFonts w:ascii="Segoe UI" w:hAnsi="Segoe UI" w:cs="Segoe UI"/>
        </w:rPr>
        <w:t xml:space="preserve">fee setting </w:t>
      </w:r>
      <w:r w:rsidRPr="293D3C50">
        <w:rPr>
          <w:rFonts w:ascii="Segoe UI" w:hAnsi="Segoe UI" w:cs="Segoe UI"/>
        </w:rPr>
        <w:t>policy</w:t>
      </w:r>
      <w:r w:rsidR="78CC248C" w:rsidRPr="293D3C50">
        <w:rPr>
          <w:rFonts w:ascii="Segoe UI" w:hAnsi="Segoe UI" w:cs="Segoe UI"/>
        </w:rPr>
        <w:t xml:space="preserve"> factors</w:t>
      </w:r>
      <w:r w:rsidRPr="293D3C50">
        <w:rPr>
          <w:rFonts w:ascii="Segoe UI" w:hAnsi="Segoe UI" w:cs="Segoe UI"/>
        </w:rPr>
        <w:t xml:space="preserve"> than the current fee schedule.</w:t>
      </w:r>
      <w:r w:rsidR="6457BB83" w:rsidRPr="293D3C50">
        <w:rPr>
          <w:rFonts w:ascii="Segoe UI" w:hAnsi="Segoe UI" w:cs="Segoe UI"/>
        </w:rPr>
        <w:t xml:space="preserve"> </w:t>
      </w:r>
      <w:r w:rsidRPr="293D3C50">
        <w:rPr>
          <w:rFonts w:ascii="Segoe UI" w:hAnsi="Segoe UI" w:cs="Segoe UI"/>
        </w:rPr>
        <w:t xml:space="preserve">Specifically, </w:t>
      </w:r>
      <w:r w:rsidR="0D4011D3" w:rsidRPr="293D3C50">
        <w:rPr>
          <w:rFonts w:ascii="Segoe UI" w:hAnsi="Segoe UI" w:cs="Segoe UI"/>
        </w:rPr>
        <w:t xml:space="preserve">rather than increasing all fees equally, </w:t>
      </w:r>
      <w:r w:rsidR="684620B3" w:rsidRPr="293D3C50">
        <w:rPr>
          <w:rFonts w:ascii="Segoe UI" w:hAnsi="Segoe UI" w:cs="Segoe UI"/>
        </w:rPr>
        <w:t xml:space="preserve">Alternative 1 </w:t>
      </w:r>
      <w:r w:rsidR="52C29F3A" w:rsidRPr="293D3C50">
        <w:rPr>
          <w:rFonts w:ascii="Segoe UI" w:hAnsi="Segoe UI" w:cs="Segoe UI"/>
        </w:rPr>
        <w:t>includes</w:t>
      </w:r>
      <w:r w:rsidR="684620B3" w:rsidRPr="293D3C50">
        <w:rPr>
          <w:rFonts w:ascii="Segoe UI" w:hAnsi="Segoe UI" w:cs="Segoe UI"/>
        </w:rPr>
        <w:t xml:space="preserve"> carefully targeted fee adjustments</w:t>
      </w:r>
      <w:r w:rsidR="2A8206A9" w:rsidRPr="293D3C50">
        <w:rPr>
          <w:rFonts w:ascii="Segoe UI" w:hAnsi="Segoe UI" w:cs="Segoe UI"/>
        </w:rPr>
        <w:t xml:space="preserve"> to facilitate effective administration of </w:t>
      </w:r>
      <w:r w:rsidR="2A8206A9" w:rsidRPr="293D3C50">
        <w:rPr>
          <w:rFonts w:ascii="Segoe UI" w:hAnsi="Segoe UI" w:cs="Segoe UI"/>
        </w:rPr>
        <w:lastRenderedPageBreak/>
        <w:t>the patent system.</w:t>
      </w:r>
      <w:r w:rsidR="4091FCF7" w:rsidRPr="293D3C50">
        <w:rPr>
          <w:rFonts w:ascii="Segoe UI" w:hAnsi="Segoe UI" w:cs="Segoe UI"/>
        </w:rPr>
        <w:t xml:space="preserve"> </w:t>
      </w:r>
      <w:r w:rsidR="38AD35C0" w:rsidRPr="293D3C50">
        <w:rPr>
          <w:rFonts w:ascii="Segoe UI" w:hAnsi="Segoe UI" w:cs="Segoe UI"/>
        </w:rPr>
        <w:t xml:space="preserve">Also, the </w:t>
      </w:r>
      <w:r w:rsidR="000F20DC">
        <w:rPr>
          <w:rFonts w:ascii="Segoe UI" w:hAnsi="Segoe UI" w:cs="Segoe UI"/>
        </w:rPr>
        <w:t>Final</w:t>
      </w:r>
      <w:r w:rsidR="38AD35C0" w:rsidRPr="293D3C50">
        <w:rPr>
          <w:rFonts w:ascii="Segoe UI" w:hAnsi="Segoe UI" w:cs="Segoe UI"/>
        </w:rPr>
        <w:t xml:space="preserve"> Patent Fee Schedule continues to foster innovation, competitiveness, and economic growth by keeping front-end fees below cost, maintaining low barriers to entry into the patent system</w:t>
      </w:r>
    </w:p>
    <w:p w14:paraId="02C80E2D" w14:textId="091781C0" w:rsidR="00A9123D" w:rsidRPr="0026097C" w:rsidDel="00BA3899" w:rsidRDefault="45A1F2AD" w:rsidP="293D3C50">
      <w:pPr>
        <w:spacing w:line="360" w:lineRule="auto"/>
        <w:ind w:firstLine="450"/>
        <w:rPr>
          <w:rFonts w:ascii="Segoe UI" w:hAnsi="Segoe UI" w:cs="Segoe UI"/>
          <w:color w:val="000000" w:themeColor="text1"/>
        </w:rPr>
      </w:pPr>
      <w:r w:rsidRPr="00FA636D">
        <w:rPr>
          <w:rFonts w:ascii="Segoe UI" w:hAnsi="Segoe UI" w:cs="Segoe UI"/>
        </w:rPr>
        <w:t>T</w:t>
      </w:r>
      <w:r w:rsidR="17A21FD2" w:rsidRPr="00FA636D">
        <w:rPr>
          <w:rFonts w:ascii="Segoe UI" w:hAnsi="Segoe UI" w:cs="Segoe UI"/>
        </w:rPr>
        <w:t>he</w:t>
      </w:r>
      <w:r w:rsidR="17A21FD2" w:rsidRPr="293D3C50">
        <w:rPr>
          <w:rFonts w:ascii="Segoe UI" w:hAnsi="Segoe UI" w:cs="Segoe UI"/>
        </w:rPr>
        <w:t xml:space="preserve"> </w:t>
      </w:r>
      <w:r w:rsidR="000F20DC">
        <w:rPr>
          <w:rFonts w:ascii="Segoe UI" w:hAnsi="Segoe UI" w:cs="Segoe UI"/>
        </w:rPr>
        <w:t>Final</w:t>
      </w:r>
      <w:r w:rsidR="0306E46D" w:rsidRPr="293D3C50">
        <w:rPr>
          <w:rFonts w:ascii="Segoe UI" w:hAnsi="Segoe UI" w:cs="Segoe UI"/>
        </w:rPr>
        <w:t xml:space="preserve"> </w:t>
      </w:r>
      <w:r w:rsidR="6D9EF5B2" w:rsidRPr="293D3C50">
        <w:rPr>
          <w:rFonts w:ascii="Segoe UI" w:hAnsi="Segoe UI" w:cs="Segoe UI"/>
        </w:rPr>
        <w:t xml:space="preserve">Patent </w:t>
      </w:r>
      <w:r w:rsidR="0306E46D" w:rsidRPr="293D3C50">
        <w:rPr>
          <w:rFonts w:ascii="Segoe UI" w:hAnsi="Segoe UI" w:cs="Segoe UI"/>
        </w:rPr>
        <w:t>Fee Schedule</w:t>
      </w:r>
      <w:r w:rsidR="17A21FD2" w:rsidRPr="293D3C50">
        <w:rPr>
          <w:rFonts w:ascii="Segoe UI" w:hAnsi="Segoe UI" w:cs="Segoe UI"/>
        </w:rPr>
        <w:t xml:space="preserve"> </w:t>
      </w:r>
      <w:r w:rsidRPr="293D3C50">
        <w:rPr>
          <w:rFonts w:ascii="Segoe UI" w:hAnsi="Segoe UI" w:cs="Segoe UI"/>
        </w:rPr>
        <w:t xml:space="preserve">also </w:t>
      </w:r>
      <w:r w:rsidR="17A21FD2" w:rsidRPr="293D3C50">
        <w:rPr>
          <w:rFonts w:ascii="Segoe UI" w:hAnsi="Segoe UI" w:cs="Segoe UI"/>
        </w:rPr>
        <w:t>fulfil</w:t>
      </w:r>
      <w:r w:rsidR="57F7FD60" w:rsidRPr="293D3C50">
        <w:rPr>
          <w:rFonts w:ascii="Segoe UI" w:hAnsi="Segoe UI" w:cs="Segoe UI"/>
        </w:rPr>
        <w:t>l</w:t>
      </w:r>
      <w:r w:rsidR="17A21FD2" w:rsidRPr="293D3C50">
        <w:rPr>
          <w:rFonts w:ascii="Segoe UI" w:hAnsi="Segoe UI" w:cs="Segoe UI"/>
        </w:rPr>
        <w:t>s the</w:t>
      </w:r>
      <w:r w:rsidR="11D911F7" w:rsidRPr="293D3C50">
        <w:rPr>
          <w:rFonts w:ascii="Segoe UI" w:hAnsi="Segoe UI" w:cs="Segoe UI"/>
        </w:rPr>
        <w:t xml:space="preserve"> </w:t>
      </w:r>
      <w:r w:rsidR="5B380BA6" w:rsidRPr="293D3C50">
        <w:rPr>
          <w:rFonts w:ascii="Segoe UI" w:hAnsi="Segoe UI" w:cs="Segoe UI"/>
        </w:rPr>
        <w:t xml:space="preserve">agency’s </w:t>
      </w:r>
      <w:r w:rsidR="11D911F7" w:rsidRPr="293D3C50">
        <w:rPr>
          <w:rFonts w:ascii="Segoe UI" w:hAnsi="Segoe UI" w:cs="Segoe UI"/>
        </w:rPr>
        <w:t>strategic objective</w:t>
      </w:r>
      <w:r w:rsidR="17A21FD2" w:rsidRPr="293D3C50">
        <w:rPr>
          <w:rFonts w:ascii="Segoe UI" w:hAnsi="Segoe UI" w:cs="Segoe UI"/>
        </w:rPr>
        <w:t xml:space="preserve"> </w:t>
      </w:r>
      <w:r w:rsidR="0C06A41E" w:rsidRPr="293D3C50">
        <w:rPr>
          <w:rFonts w:ascii="Segoe UI" w:hAnsi="Segoe UI" w:cs="Segoe UI"/>
        </w:rPr>
        <w:t>to successfully resource the mission</w:t>
      </w:r>
      <w:r w:rsidR="17A21FD2" w:rsidRPr="293D3C50">
        <w:rPr>
          <w:rFonts w:ascii="Segoe UI" w:hAnsi="Segoe UI" w:cs="Segoe UI"/>
        </w:rPr>
        <w:t xml:space="preserve"> by build</w:t>
      </w:r>
      <w:r w:rsidR="50E7DDC0" w:rsidRPr="293D3C50">
        <w:rPr>
          <w:rFonts w:ascii="Segoe UI" w:hAnsi="Segoe UI" w:cs="Segoe UI"/>
        </w:rPr>
        <w:t>ing</w:t>
      </w:r>
      <w:r w:rsidRPr="293D3C50">
        <w:rPr>
          <w:rFonts w:ascii="Segoe UI" w:hAnsi="Segoe UI" w:cs="Segoe UI"/>
        </w:rPr>
        <w:t xml:space="preserve"> </w:t>
      </w:r>
      <w:r w:rsidR="613D3A08" w:rsidRPr="293D3C50">
        <w:rPr>
          <w:rFonts w:ascii="Segoe UI" w:hAnsi="Segoe UI" w:cs="Segoe UI"/>
        </w:rPr>
        <w:t>the operating reserve balance</w:t>
      </w:r>
      <w:r w:rsidR="17A21FD2" w:rsidRPr="293D3C50">
        <w:rPr>
          <w:rFonts w:ascii="Segoe UI" w:hAnsi="Segoe UI" w:cs="Segoe UI"/>
        </w:rPr>
        <w:t xml:space="preserve"> </w:t>
      </w:r>
      <w:r w:rsidR="5CF46014" w:rsidRPr="293D3C50">
        <w:rPr>
          <w:rFonts w:ascii="Segoe UI" w:hAnsi="Segoe UI" w:cs="Segoe UI"/>
        </w:rPr>
        <w:t>t</w:t>
      </w:r>
      <w:r w:rsidR="45F0CA40" w:rsidRPr="293D3C50">
        <w:rPr>
          <w:rFonts w:ascii="Segoe UI" w:hAnsi="Segoe UI" w:cs="Segoe UI"/>
        </w:rPr>
        <w:t>o</w:t>
      </w:r>
      <w:r w:rsidR="17A21FD2" w:rsidRPr="293D3C50">
        <w:rPr>
          <w:rFonts w:ascii="Segoe UI" w:hAnsi="Segoe UI" w:cs="Segoe UI"/>
        </w:rPr>
        <w:t xml:space="preserve"> the optimal </w:t>
      </w:r>
      <w:r w:rsidR="5CF46014" w:rsidRPr="293D3C50">
        <w:rPr>
          <w:rFonts w:ascii="Segoe UI" w:hAnsi="Segoe UI" w:cs="Segoe UI"/>
        </w:rPr>
        <w:t xml:space="preserve">reserve </w:t>
      </w:r>
      <w:r w:rsidR="17A21FD2" w:rsidRPr="293D3C50">
        <w:rPr>
          <w:rFonts w:ascii="Segoe UI" w:hAnsi="Segoe UI" w:cs="Segoe UI"/>
        </w:rPr>
        <w:t>target</w:t>
      </w:r>
      <w:r w:rsidR="00FA636D" w:rsidRPr="00FA636D">
        <w:t xml:space="preserve"> </w:t>
      </w:r>
      <w:r w:rsidR="00FA636D">
        <w:rPr>
          <w:rFonts w:ascii="Segoe UI" w:hAnsi="Segoe UI" w:cs="Segoe UI"/>
        </w:rPr>
        <w:t>as</w:t>
      </w:r>
      <w:r w:rsidR="00FA636D" w:rsidRPr="00FA636D">
        <w:rPr>
          <w:rFonts w:ascii="Segoe UI" w:hAnsi="Segoe UI" w:cs="Segoe UI"/>
        </w:rPr>
        <w:t xml:space="preserve"> described in the FY 2025 Budget</w:t>
      </w:r>
      <w:r w:rsidR="34C29CCA" w:rsidRPr="293D3C50">
        <w:rPr>
          <w:rFonts w:ascii="Segoe UI" w:hAnsi="Segoe UI" w:cs="Segoe UI"/>
        </w:rPr>
        <w:t>.</w:t>
      </w:r>
      <w:r w:rsidR="1B256616" w:rsidRPr="293D3C50">
        <w:rPr>
          <w:rFonts w:ascii="Segoe UI" w:hAnsi="Segoe UI" w:cs="Segoe UI"/>
        </w:rPr>
        <w:t xml:space="preserve"> </w:t>
      </w:r>
      <w:r w:rsidR="34C29CCA" w:rsidRPr="293D3C50">
        <w:rPr>
          <w:rFonts w:ascii="Segoe UI" w:hAnsi="Segoe UI" w:cs="Segoe UI"/>
        </w:rPr>
        <w:t xml:space="preserve">In the </w:t>
      </w:r>
      <w:r w:rsidR="000F20DC">
        <w:rPr>
          <w:rFonts w:ascii="Segoe UI" w:hAnsi="Segoe UI" w:cs="Segoe UI"/>
        </w:rPr>
        <w:t>Final</w:t>
      </w:r>
      <w:r w:rsidR="0306E46D" w:rsidRPr="293D3C50">
        <w:rPr>
          <w:rFonts w:ascii="Segoe UI" w:hAnsi="Segoe UI" w:cs="Segoe UI"/>
        </w:rPr>
        <w:t xml:space="preserve"> </w:t>
      </w:r>
      <w:r w:rsidR="6D9EF5B2" w:rsidRPr="293D3C50">
        <w:rPr>
          <w:rFonts w:ascii="Segoe UI" w:hAnsi="Segoe UI" w:cs="Segoe UI"/>
        </w:rPr>
        <w:t xml:space="preserve">Patent </w:t>
      </w:r>
      <w:r w:rsidR="0306E46D" w:rsidRPr="293D3C50">
        <w:rPr>
          <w:rFonts w:ascii="Segoe UI" w:hAnsi="Segoe UI" w:cs="Segoe UI"/>
        </w:rPr>
        <w:t>Fee Schedule</w:t>
      </w:r>
      <w:r w:rsidR="34C29CCA" w:rsidRPr="293D3C50">
        <w:rPr>
          <w:rFonts w:ascii="Segoe UI" w:hAnsi="Segoe UI" w:cs="Segoe UI"/>
        </w:rPr>
        <w:t>, the</w:t>
      </w:r>
      <w:r w:rsidR="34C29CCA" w:rsidRPr="293D3C50">
        <w:rPr>
          <w:rFonts w:ascii="Segoe UI" w:hAnsi="Segoe UI" w:cs="Segoe UI"/>
          <w:color w:val="000000" w:themeColor="text1"/>
        </w:rPr>
        <w:t xml:space="preserve"> </w:t>
      </w:r>
      <w:r w:rsidR="5F26ECB2" w:rsidRPr="293D3C50">
        <w:rPr>
          <w:rFonts w:ascii="Segoe UI" w:hAnsi="Segoe UI" w:cs="Segoe UI"/>
          <w:color w:val="000000" w:themeColor="text1"/>
        </w:rPr>
        <w:t>USPTO is</w:t>
      </w:r>
      <w:r w:rsidR="34C29CCA" w:rsidRPr="293D3C50">
        <w:rPr>
          <w:rFonts w:ascii="Segoe UI" w:hAnsi="Segoe UI" w:cs="Segoe UI"/>
          <w:color w:val="000000" w:themeColor="text1"/>
        </w:rPr>
        <w:t xml:space="preserve"> focused on build</w:t>
      </w:r>
      <w:r w:rsidR="45F0CA40" w:rsidRPr="293D3C50">
        <w:rPr>
          <w:rFonts w:ascii="Segoe UI" w:hAnsi="Segoe UI" w:cs="Segoe UI"/>
          <w:color w:val="000000" w:themeColor="text1"/>
        </w:rPr>
        <w:t>ing</w:t>
      </w:r>
      <w:r w:rsidR="34C29CCA" w:rsidRPr="293D3C50">
        <w:rPr>
          <w:rFonts w:ascii="Segoe UI" w:hAnsi="Segoe UI" w:cs="Segoe UI"/>
          <w:color w:val="000000" w:themeColor="text1"/>
        </w:rPr>
        <w:t xml:space="preserve"> resiliency against financial shocks.</w:t>
      </w:r>
      <w:r w:rsidR="1B256616" w:rsidRPr="293D3C50">
        <w:rPr>
          <w:rFonts w:ascii="Segoe UI" w:hAnsi="Segoe UI" w:cs="Segoe UI"/>
          <w:color w:val="000000" w:themeColor="text1"/>
        </w:rPr>
        <w:t xml:space="preserve"> </w:t>
      </w:r>
      <w:r w:rsidR="34C29CCA" w:rsidRPr="293D3C50">
        <w:rPr>
          <w:rFonts w:ascii="Segoe UI" w:hAnsi="Segoe UI" w:cs="Segoe UI"/>
          <w:color w:val="000000" w:themeColor="text1"/>
        </w:rPr>
        <w:t>At optimal levels, the</w:t>
      </w:r>
      <w:r w:rsidR="153A070A" w:rsidRPr="293D3C50">
        <w:rPr>
          <w:rFonts w:ascii="Segoe UI" w:hAnsi="Segoe UI" w:cs="Segoe UI"/>
          <w:color w:val="000000" w:themeColor="text1"/>
        </w:rPr>
        <w:t xml:space="preserve"> operating </w:t>
      </w:r>
      <w:r w:rsidR="34C29CCA" w:rsidRPr="293D3C50">
        <w:rPr>
          <w:rFonts w:ascii="Segoe UI" w:hAnsi="Segoe UI" w:cs="Segoe UI"/>
          <w:color w:val="000000" w:themeColor="text1"/>
        </w:rPr>
        <w:t>reserve allow</w:t>
      </w:r>
      <w:r w:rsidR="45F0CA40" w:rsidRPr="293D3C50">
        <w:rPr>
          <w:rFonts w:ascii="Segoe UI" w:hAnsi="Segoe UI" w:cs="Segoe UI"/>
          <w:color w:val="000000" w:themeColor="text1"/>
        </w:rPr>
        <w:t>s</w:t>
      </w:r>
      <w:r w:rsidR="34C29CCA" w:rsidRPr="293D3C50">
        <w:rPr>
          <w:rFonts w:ascii="Segoe UI" w:hAnsi="Segoe UI" w:cs="Segoe UI"/>
          <w:color w:val="000000" w:themeColor="text1"/>
        </w:rPr>
        <w:t xml:space="preserve"> </w:t>
      </w:r>
      <w:r w:rsidR="5F26ECB2" w:rsidRPr="293D3C50">
        <w:rPr>
          <w:rFonts w:ascii="Segoe UI" w:hAnsi="Segoe UI" w:cs="Segoe UI"/>
          <w:color w:val="000000" w:themeColor="text1"/>
        </w:rPr>
        <w:t xml:space="preserve">operations </w:t>
      </w:r>
      <w:r w:rsidR="34C29CCA" w:rsidRPr="293D3C50">
        <w:rPr>
          <w:rFonts w:ascii="Segoe UI" w:hAnsi="Segoe UI" w:cs="Segoe UI"/>
          <w:color w:val="000000" w:themeColor="text1"/>
        </w:rPr>
        <w:t xml:space="preserve">to </w:t>
      </w:r>
      <w:r w:rsidR="5F26ECB2" w:rsidRPr="293D3C50">
        <w:rPr>
          <w:rFonts w:ascii="Segoe UI" w:hAnsi="Segoe UI" w:cs="Segoe UI"/>
          <w:color w:val="000000" w:themeColor="text1"/>
        </w:rPr>
        <w:t>continue</w:t>
      </w:r>
      <w:r w:rsidR="34C29CCA" w:rsidRPr="293D3C50">
        <w:rPr>
          <w:rFonts w:ascii="Segoe UI" w:hAnsi="Segoe UI" w:cs="Segoe UI"/>
          <w:color w:val="000000" w:themeColor="text1"/>
        </w:rPr>
        <w:t xml:space="preserve"> for three months in the event of interruptions in </w:t>
      </w:r>
      <w:r w:rsidR="24587E64" w:rsidRPr="293D3C50">
        <w:rPr>
          <w:rFonts w:ascii="Segoe UI" w:hAnsi="Segoe UI" w:cs="Segoe UI"/>
          <w:color w:val="000000" w:themeColor="text1"/>
        </w:rPr>
        <w:t>the</w:t>
      </w:r>
      <w:r w:rsidR="34C29CCA" w:rsidRPr="293D3C50">
        <w:rPr>
          <w:rFonts w:ascii="Segoe UI" w:hAnsi="Segoe UI" w:cs="Segoe UI"/>
          <w:color w:val="000000" w:themeColor="text1"/>
        </w:rPr>
        <w:t xml:space="preserve"> </w:t>
      </w:r>
      <w:r w:rsidR="5B380BA6" w:rsidRPr="293D3C50">
        <w:rPr>
          <w:rFonts w:ascii="Segoe UI" w:hAnsi="Segoe UI" w:cs="Segoe UI"/>
          <w:color w:val="000000" w:themeColor="text1"/>
        </w:rPr>
        <w:t xml:space="preserve">agency’s </w:t>
      </w:r>
      <w:r w:rsidR="34C29CCA" w:rsidRPr="293D3C50">
        <w:rPr>
          <w:rFonts w:ascii="Segoe UI" w:hAnsi="Segoe UI" w:cs="Segoe UI"/>
          <w:color w:val="000000" w:themeColor="text1"/>
        </w:rPr>
        <w:t>ability to access collected fees</w:t>
      </w:r>
      <w:r w:rsidR="331BA285" w:rsidRPr="293D3C50">
        <w:rPr>
          <w:rFonts w:ascii="Segoe UI" w:hAnsi="Segoe UI" w:cs="Segoe UI"/>
          <w:color w:val="000000" w:themeColor="text1"/>
        </w:rPr>
        <w:t>,</w:t>
      </w:r>
      <w:r w:rsidR="34C29CCA" w:rsidRPr="293D3C50">
        <w:rPr>
          <w:rFonts w:ascii="Segoe UI" w:hAnsi="Segoe UI" w:cs="Segoe UI"/>
          <w:color w:val="000000" w:themeColor="text1"/>
        </w:rPr>
        <w:t xml:space="preserve"> </w:t>
      </w:r>
      <w:r w:rsidR="5B380BA6" w:rsidRPr="293D3C50">
        <w:rPr>
          <w:rFonts w:ascii="Segoe UI" w:hAnsi="Segoe UI" w:cs="Segoe UI"/>
          <w:color w:val="000000" w:themeColor="text1"/>
        </w:rPr>
        <w:t xml:space="preserve">including a </w:t>
      </w:r>
      <w:r w:rsidR="37B136FB" w:rsidRPr="293D3C50">
        <w:rPr>
          <w:rFonts w:ascii="Segoe UI" w:hAnsi="Segoe UI" w:cs="Segoe UI"/>
          <w:color w:val="000000" w:themeColor="text1"/>
        </w:rPr>
        <w:t>lapse in appropriations (</w:t>
      </w:r>
      <w:r w:rsidR="37B136FB" w:rsidRPr="293D3C50">
        <w:rPr>
          <w:rFonts w:ascii="Segoe UI" w:hAnsi="Segoe UI" w:cs="Segoe UI"/>
          <w:i/>
          <w:iCs/>
          <w:color w:val="000000" w:themeColor="text1"/>
        </w:rPr>
        <w:t>i.e.</w:t>
      </w:r>
      <w:r w:rsidR="37B136FB" w:rsidRPr="293D3C50">
        <w:rPr>
          <w:rFonts w:ascii="Segoe UI" w:hAnsi="Segoe UI" w:cs="Segoe UI"/>
          <w:color w:val="000000" w:themeColor="text1"/>
        </w:rPr>
        <w:t xml:space="preserve">, </w:t>
      </w:r>
      <w:r w:rsidR="66A69A67" w:rsidRPr="293D3C50">
        <w:rPr>
          <w:rFonts w:ascii="Segoe UI" w:hAnsi="Segoe UI" w:cs="Segoe UI"/>
          <w:color w:val="000000" w:themeColor="text1"/>
        </w:rPr>
        <w:t>government shutdown</w:t>
      </w:r>
      <w:r w:rsidR="37B136FB" w:rsidRPr="293D3C50">
        <w:rPr>
          <w:rFonts w:ascii="Segoe UI" w:hAnsi="Segoe UI" w:cs="Segoe UI"/>
          <w:color w:val="000000" w:themeColor="text1"/>
        </w:rPr>
        <w:t>)</w:t>
      </w:r>
      <w:r w:rsidR="66A69A67" w:rsidRPr="293D3C50">
        <w:rPr>
          <w:rFonts w:ascii="Segoe UI" w:hAnsi="Segoe UI" w:cs="Segoe UI"/>
          <w:color w:val="000000" w:themeColor="text1"/>
        </w:rPr>
        <w:t>.</w:t>
      </w:r>
      <w:r w:rsidR="1B256616" w:rsidRPr="293D3C50">
        <w:rPr>
          <w:rFonts w:ascii="Segoe UI" w:hAnsi="Segoe UI" w:cs="Segoe UI"/>
          <w:color w:val="000000" w:themeColor="text1"/>
        </w:rPr>
        <w:t xml:space="preserve"> </w:t>
      </w:r>
      <w:r w:rsidR="1962BE52" w:rsidRPr="293D3C50">
        <w:rPr>
          <w:rFonts w:ascii="Segoe UI" w:hAnsi="Segoe UI" w:cs="Segoe UI"/>
          <w:color w:val="000000" w:themeColor="text1"/>
        </w:rPr>
        <w:t xml:space="preserve">In this </w:t>
      </w:r>
      <w:r w:rsidR="7480C8A0" w:rsidRPr="293D3C50">
        <w:rPr>
          <w:rFonts w:ascii="Segoe UI" w:hAnsi="Segoe UI" w:cs="Segoe UI"/>
          <w:color w:val="000000" w:themeColor="text1"/>
        </w:rPr>
        <w:t>a</w:t>
      </w:r>
      <w:r w:rsidR="1962BE52" w:rsidRPr="293D3C50">
        <w:rPr>
          <w:rFonts w:ascii="Segoe UI" w:hAnsi="Segoe UI" w:cs="Segoe UI"/>
          <w:color w:val="000000" w:themeColor="text1"/>
        </w:rPr>
        <w:t>lternative, the</w:t>
      </w:r>
      <w:r w:rsidRPr="293D3C50">
        <w:rPr>
          <w:rFonts w:ascii="Segoe UI" w:hAnsi="Segoe UI" w:cs="Segoe UI"/>
          <w:color w:val="000000" w:themeColor="text1"/>
        </w:rPr>
        <w:t xml:space="preserve"> </w:t>
      </w:r>
      <w:r w:rsidR="45F0CA40" w:rsidRPr="293D3C50">
        <w:rPr>
          <w:rFonts w:ascii="Segoe UI" w:hAnsi="Segoe UI" w:cs="Segoe UI"/>
          <w:color w:val="000000" w:themeColor="text1"/>
        </w:rPr>
        <w:t>optimal operating reserve level</w:t>
      </w:r>
      <w:r w:rsidR="4B063091" w:rsidRPr="293D3C50">
        <w:rPr>
          <w:rFonts w:ascii="Segoe UI" w:hAnsi="Segoe UI" w:cs="Segoe UI"/>
          <w:color w:val="000000" w:themeColor="text1"/>
        </w:rPr>
        <w:t>, to be</w:t>
      </w:r>
      <w:r w:rsidR="45F0CA40" w:rsidRPr="293D3C50">
        <w:rPr>
          <w:rFonts w:ascii="Segoe UI" w:hAnsi="Segoe UI" w:cs="Segoe UI"/>
          <w:color w:val="000000" w:themeColor="text1"/>
        </w:rPr>
        <w:t xml:space="preserve"> reached </w:t>
      </w:r>
      <w:r w:rsidR="4B063091" w:rsidRPr="293D3C50">
        <w:rPr>
          <w:rFonts w:ascii="Segoe UI" w:hAnsi="Segoe UI" w:cs="Segoe UI"/>
          <w:color w:val="000000" w:themeColor="text1"/>
        </w:rPr>
        <w:t xml:space="preserve">during </w:t>
      </w:r>
      <w:r w:rsidR="45F0CA40" w:rsidRPr="293D3C50">
        <w:rPr>
          <w:rFonts w:ascii="Segoe UI" w:hAnsi="Segoe UI" w:cs="Segoe UI"/>
          <w:color w:val="000000" w:themeColor="text1"/>
        </w:rPr>
        <w:t>FY</w:t>
      </w:r>
      <w:r w:rsidR="0B0E4C8E" w:rsidRPr="293D3C50">
        <w:rPr>
          <w:rFonts w:ascii="Segoe UI" w:hAnsi="Segoe UI" w:cs="Segoe UI"/>
          <w:color w:val="000000" w:themeColor="text1"/>
        </w:rPr>
        <w:t xml:space="preserve"> 2026 and</w:t>
      </w:r>
      <w:r w:rsidR="45F0CA40" w:rsidRPr="293D3C50">
        <w:rPr>
          <w:rFonts w:ascii="Segoe UI" w:hAnsi="Segoe UI" w:cs="Segoe UI"/>
          <w:color w:val="000000" w:themeColor="text1"/>
        </w:rPr>
        <w:t xml:space="preserve"> </w:t>
      </w:r>
      <w:r w:rsidR="4B063091" w:rsidRPr="293D3C50">
        <w:rPr>
          <w:rFonts w:ascii="Segoe UI" w:hAnsi="Segoe UI" w:cs="Segoe UI"/>
          <w:color w:val="000000" w:themeColor="text1"/>
        </w:rPr>
        <w:t xml:space="preserve">FY </w:t>
      </w:r>
      <w:r w:rsidR="45F0CA40" w:rsidRPr="293D3C50">
        <w:rPr>
          <w:rFonts w:ascii="Segoe UI" w:hAnsi="Segoe UI" w:cs="Segoe UI"/>
          <w:color w:val="000000" w:themeColor="text1"/>
        </w:rPr>
        <w:t>2027</w:t>
      </w:r>
      <w:r w:rsidR="4B063091" w:rsidRPr="293D3C50">
        <w:rPr>
          <w:rFonts w:ascii="Segoe UI" w:hAnsi="Segoe UI" w:cs="Segoe UI"/>
          <w:color w:val="000000" w:themeColor="text1"/>
        </w:rPr>
        <w:t>,</w:t>
      </w:r>
      <w:r w:rsidR="45F0CA40" w:rsidRPr="293D3C50">
        <w:rPr>
          <w:rFonts w:ascii="Segoe UI" w:hAnsi="Segoe UI" w:cs="Segoe UI"/>
          <w:color w:val="000000" w:themeColor="text1"/>
        </w:rPr>
        <w:t xml:space="preserve"> is</w:t>
      </w:r>
      <w:r w:rsidRPr="293D3C50">
        <w:rPr>
          <w:rFonts w:ascii="Segoe UI" w:hAnsi="Segoe UI" w:cs="Segoe UI"/>
          <w:color w:val="000000" w:themeColor="text1"/>
        </w:rPr>
        <w:t xml:space="preserve"> </w:t>
      </w:r>
      <w:r w:rsidR="1962BE52" w:rsidRPr="293D3C50">
        <w:rPr>
          <w:rFonts w:ascii="Segoe UI" w:hAnsi="Segoe UI" w:cs="Segoe UI"/>
          <w:color w:val="000000" w:themeColor="text1"/>
        </w:rPr>
        <w:t xml:space="preserve">then </w:t>
      </w:r>
      <w:r w:rsidRPr="293D3C50">
        <w:rPr>
          <w:rFonts w:ascii="Segoe UI" w:hAnsi="Segoe UI" w:cs="Segoe UI"/>
          <w:color w:val="000000" w:themeColor="text1"/>
        </w:rPr>
        <w:t>available</w:t>
      </w:r>
      <w:r w:rsidR="34C29CCA" w:rsidRPr="293D3C50">
        <w:rPr>
          <w:rFonts w:ascii="Segoe UI" w:hAnsi="Segoe UI" w:cs="Segoe UI"/>
          <w:color w:val="000000" w:themeColor="text1"/>
        </w:rPr>
        <w:t xml:space="preserve"> </w:t>
      </w:r>
      <w:r w:rsidR="45F0CA40" w:rsidRPr="293D3C50">
        <w:rPr>
          <w:rFonts w:ascii="Segoe UI" w:hAnsi="Segoe UI" w:cs="Segoe UI"/>
          <w:color w:val="000000" w:themeColor="text1"/>
        </w:rPr>
        <w:t xml:space="preserve">to </w:t>
      </w:r>
      <w:r w:rsidR="60176B64" w:rsidRPr="293D3C50">
        <w:rPr>
          <w:rFonts w:ascii="Segoe UI" w:hAnsi="Segoe UI" w:cs="Segoe UI"/>
          <w:color w:val="000000" w:themeColor="text1"/>
        </w:rPr>
        <w:t>supplement</w:t>
      </w:r>
      <w:r w:rsidR="45F0CA40" w:rsidRPr="293D3C50">
        <w:rPr>
          <w:rFonts w:ascii="Segoe UI" w:hAnsi="Segoe UI" w:cs="Segoe UI"/>
          <w:color w:val="000000" w:themeColor="text1"/>
        </w:rPr>
        <w:t xml:space="preserve"> anticipated </w:t>
      </w:r>
      <w:r w:rsidR="60176B64" w:rsidRPr="293D3C50">
        <w:rPr>
          <w:rFonts w:ascii="Segoe UI" w:hAnsi="Segoe UI" w:cs="Segoe UI"/>
          <w:color w:val="000000" w:themeColor="text1"/>
        </w:rPr>
        <w:t>fee collections</w:t>
      </w:r>
      <w:r w:rsidR="45F0CA40" w:rsidRPr="293D3C50">
        <w:rPr>
          <w:rFonts w:ascii="Segoe UI" w:hAnsi="Segoe UI" w:cs="Segoe UI"/>
          <w:color w:val="000000" w:themeColor="text1"/>
        </w:rPr>
        <w:t xml:space="preserve"> </w:t>
      </w:r>
      <w:r w:rsidR="4B063091" w:rsidRPr="293D3C50">
        <w:rPr>
          <w:rFonts w:ascii="Segoe UI" w:hAnsi="Segoe UI" w:cs="Segoe UI"/>
          <w:color w:val="000000" w:themeColor="text1"/>
        </w:rPr>
        <w:t xml:space="preserve">during </w:t>
      </w:r>
      <w:r w:rsidR="45F0CA40" w:rsidRPr="293D3C50">
        <w:rPr>
          <w:rFonts w:ascii="Segoe UI" w:hAnsi="Segoe UI" w:cs="Segoe UI"/>
          <w:color w:val="000000" w:themeColor="text1"/>
        </w:rPr>
        <w:t xml:space="preserve">FY 2028 and </w:t>
      </w:r>
      <w:r w:rsidR="4B063091" w:rsidRPr="293D3C50">
        <w:rPr>
          <w:rFonts w:ascii="Segoe UI" w:hAnsi="Segoe UI" w:cs="Segoe UI"/>
          <w:color w:val="000000" w:themeColor="text1"/>
        </w:rPr>
        <w:t xml:space="preserve">FY </w:t>
      </w:r>
      <w:r w:rsidR="45F0CA40" w:rsidRPr="293D3C50">
        <w:rPr>
          <w:rFonts w:ascii="Segoe UI" w:hAnsi="Segoe UI" w:cs="Segoe UI"/>
          <w:color w:val="000000" w:themeColor="text1"/>
        </w:rPr>
        <w:t>2029</w:t>
      </w:r>
      <w:r w:rsidR="34C29CCA" w:rsidRPr="293D3C50">
        <w:rPr>
          <w:rFonts w:ascii="Segoe UI" w:hAnsi="Segoe UI" w:cs="Segoe UI"/>
          <w:color w:val="000000" w:themeColor="text1"/>
        </w:rPr>
        <w:t>.</w:t>
      </w:r>
      <w:r w:rsidR="4B063091" w:rsidRPr="293D3C50">
        <w:rPr>
          <w:rFonts w:ascii="Segoe UI" w:hAnsi="Segoe UI" w:cs="Segoe UI"/>
        </w:rPr>
        <w:t xml:space="preserve"> </w:t>
      </w:r>
    </w:p>
    <w:p w14:paraId="5DB6AE66" w14:textId="1069C6A1" w:rsidR="00974F35" w:rsidRPr="00CF6436" w:rsidRDefault="4B063091" w:rsidP="293D3C50">
      <w:pPr>
        <w:spacing w:line="360" w:lineRule="auto"/>
        <w:ind w:firstLine="450"/>
        <w:rPr>
          <w:rFonts w:ascii="Segoe UI" w:hAnsi="Segoe UI" w:cs="Segoe UI"/>
        </w:rPr>
      </w:pPr>
      <w:r w:rsidRPr="293D3C50">
        <w:rPr>
          <w:rFonts w:ascii="Segoe UI" w:hAnsi="Segoe UI" w:cs="Segoe UI"/>
        </w:rPr>
        <w:t>The USPTO identified n</w:t>
      </w:r>
      <w:r w:rsidR="141FCA9B" w:rsidRPr="293D3C50">
        <w:rPr>
          <w:rFonts w:ascii="Segoe UI" w:hAnsi="Segoe UI" w:cs="Segoe UI"/>
        </w:rPr>
        <w:t xml:space="preserve">o qualitative costs </w:t>
      </w:r>
      <w:r w:rsidRPr="293D3C50">
        <w:rPr>
          <w:rFonts w:ascii="Segoe UI" w:hAnsi="Segoe UI" w:cs="Segoe UI"/>
        </w:rPr>
        <w:t xml:space="preserve">for </w:t>
      </w:r>
      <w:r w:rsidR="141FCA9B" w:rsidRPr="293D3C50">
        <w:rPr>
          <w:rFonts w:ascii="Segoe UI" w:hAnsi="Segoe UI" w:cs="Segoe UI"/>
        </w:rPr>
        <w:t xml:space="preserve">the </w:t>
      </w:r>
      <w:r w:rsidR="000F20DC">
        <w:rPr>
          <w:rFonts w:ascii="Segoe UI" w:hAnsi="Segoe UI" w:cs="Segoe UI"/>
        </w:rPr>
        <w:t>Final</w:t>
      </w:r>
      <w:r w:rsidR="141FCA9B" w:rsidRPr="293D3C50">
        <w:rPr>
          <w:rFonts w:ascii="Segoe UI" w:hAnsi="Segoe UI" w:cs="Segoe UI"/>
        </w:rPr>
        <w:t xml:space="preserve"> </w:t>
      </w:r>
      <w:r w:rsidR="20C542FD" w:rsidRPr="293D3C50">
        <w:rPr>
          <w:rFonts w:ascii="Segoe UI" w:hAnsi="Segoe UI" w:cs="Segoe UI"/>
        </w:rPr>
        <w:t xml:space="preserve">Patent </w:t>
      </w:r>
      <w:r w:rsidR="058BE5E1" w:rsidRPr="293D3C50">
        <w:rPr>
          <w:rFonts w:ascii="Segoe UI" w:hAnsi="Segoe UI" w:cs="Segoe UI"/>
        </w:rPr>
        <w:t>F</w:t>
      </w:r>
      <w:r w:rsidR="141FCA9B" w:rsidRPr="293D3C50">
        <w:rPr>
          <w:rFonts w:ascii="Segoe UI" w:hAnsi="Segoe UI" w:cs="Segoe UI"/>
        </w:rPr>
        <w:t xml:space="preserve">ee </w:t>
      </w:r>
      <w:r w:rsidR="058BE5E1" w:rsidRPr="293D3C50">
        <w:rPr>
          <w:rFonts w:ascii="Segoe UI" w:hAnsi="Segoe UI" w:cs="Segoe UI"/>
        </w:rPr>
        <w:t>S</w:t>
      </w:r>
      <w:r w:rsidR="141FCA9B" w:rsidRPr="293D3C50">
        <w:rPr>
          <w:rFonts w:ascii="Segoe UI" w:hAnsi="Segoe UI" w:cs="Segoe UI"/>
        </w:rPr>
        <w:t>chedule.</w:t>
      </w:r>
    </w:p>
    <w:p w14:paraId="26772652" w14:textId="220DDEB1" w:rsidR="00A9123D" w:rsidRPr="00CF6436" w:rsidRDefault="53DBD5EE" w:rsidP="293D3C50">
      <w:pPr>
        <w:spacing w:line="360" w:lineRule="auto"/>
        <w:ind w:firstLine="450"/>
        <w:rPr>
          <w:rFonts w:ascii="Segoe UI" w:hAnsi="Segoe UI" w:cs="Segoe UI"/>
        </w:rPr>
      </w:pPr>
      <w:r w:rsidRPr="293D3C50">
        <w:rPr>
          <w:rFonts w:ascii="Segoe UI" w:hAnsi="Segoe UI" w:cs="Segoe UI"/>
        </w:rPr>
        <w:t xml:space="preserve">The </w:t>
      </w:r>
      <w:r w:rsidR="141FCA9B" w:rsidRPr="293D3C50">
        <w:rPr>
          <w:rFonts w:ascii="Segoe UI" w:hAnsi="Segoe UI" w:cs="Segoe UI"/>
        </w:rPr>
        <w:t>transfers</w:t>
      </w:r>
      <w:r w:rsidR="1A13A0AB" w:rsidRPr="293D3C50">
        <w:rPr>
          <w:rFonts w:ascii="Segoe UI" w:hAnsi="Segoe UI" w:cs="Segoe UI"/>
        </w:rPr>
        <w:t xml:space="preserve"> identified in</w:t>
      </w:r>
      <w:r w:rsidRPr="293D3C50">
        <w:rPr>
          <w:rFonts w:ascii="Segoe UI" w:hAnsi="Segoe UI" w:cs="Segoe UI"/>
        </w:rPr>
        <w:t xml:space="preserve"> the </w:t>
      </w:r>
      <w:r w:rsidR="000F20DC">
        <w:rPr>
          <w:rFonts w:ascii="Segoe UI" w:hAnsi="Segoe UI" w:cs="Segoe UI"/>
        </w:rPr>
        <w:t>Final</w:t>
      </w:r>
      <w:r w:rsidR="6B95B53A" w:rsidRPr="293D3C50">
        <w:rPr>
          <w:rFonts w:ascii="Segoe UI" w:hAnsi="Segoe UI" w:cs="Segoe UI"/>
        </w:rPr>
        <w:t xml:space="preserve"> </w:t>
      </w:r>
      <w:r w:rsidR="20C542FD" w:rsidRPr="293D3C50">
        <w:rPr>
          <w:rFonts w:ascii="Segoe UI" w:hAnsi="Segoe UI" w:cs="Segoe UI"/>
        </w:rPr>
        <w:t xml:space="preserve">Patent </w:t>
      </w:r>
      <w:r w:rsidR="6B95B53A" w:rsidRPr="293D3C50">
        <w:rPr>
          <w:rFonts w:ascii="Segoe UI" w:hAnsi="Segoe UI" w:cs="Segoe UI"/>
        </w:rPr>
        <w:t>Fee Schedule</w:t>
      </w:r>
      <w:r w:rsidRPr="293D3C50">
        <w:rPr>
          <w:rFonts w:ascii="Segoe UI" w:hAnsi="Segoe UI" w:cs="Segoe UI"/>
        </w:rPr>
        <w:t xml:space="preserve"> </w:t>
      </w:r>
      <w:r w:rsidR="141FCA9B" w:rsidRPr="293D3C50">
        <w:rPr>
          <w:rFonts w:ascii="Segoe UI" w:hAnsi="Segoe UI" w:cs="Segoe UI"/>
        </w:rPr>
        <w:t xml:space="preserve">represent </w:t>
      </w:r>
      <w:r w:rsidR="4B063091" w:rsidRPr="293D3C50">
        <w:rPr>
          <w:rFonts w:ascii="Segoe UI" w:hAnsi="Segoe UI" w:cs="Segoe UI"/>
        </w:rPr>
        <w:t>an</w:t>
      </w:r>
      <w:r w:rsidR="1A13A0AB" w:rsidRPr="293D3C50">
        <w:rPr>
          <w:rFonts w:ascii="Segoe UI" w:hAnsi="Segoe UI" w:cs="Segoe UI"/>
        </w:rPr>
        <w:t xml:space="preserve"> aggregate increase in user fee payments</w:t>
      </w:r>
      <w:r w:rsidR="4C8E256D" w:rsidRPr="293D3C50">
        <w:rPr>
          <w:rFonts w:ascii="Segoe UI" w:hAnsi="Segoe UI" w:cs="Segoe UI"/>
        </w:rPr>
        <w:t>, which</w:t>
      </w:r>
      <w:r w:rsidRPr="293D3C50">
        <w:rPr>
          <w:rFonts w:ascii="Segoe UI" w:hAnsi="Segoe UI" w:cs="Segoe UI"/>
        </w:rPr>
        <w:t xml:space="preserve"> </w:t>
      </w:r>
      <w:r w:rsidR="4B063091" w:rsidRPr="293D3C50">
        <w:rPr>
          <w:rFonts w:ascii="Segoe UI" w:hAnsi="Segoe UI" w:cs="Segoe UI"/>
        </w:rPr>
        <w:t xml:space="preserve">the agency </w:t>
      </w:r>
      <w:r w:rsidR="106488F5" w:rsidRPr="293D3C50">
        <w:rPr>
          <w:rFonts w:ascii="Segoe UI" w:hAnsi="Segoe UI" w:cs="Segoe UI"/>
        </w:rPr>
        <w:t>expect</w:t>
      </w:r>
      <w:r w:rsidR="4B063091" w:rsidRPr="293D3C50">
        <w:rPr>
          <w:rFonts w:ascii="Segoe UI" w:hAnsi="Segoe UI" w:cs="Segoe UI"/>
        </w:rPr>
        <w:t>s</w:t>
      </w:r>
      <w:r w:rsidR="106488F5" w:rsidRPr="293D3C50">
        <w:rPr>
          <w:rFonts w:ascii="Segoe UI" w:hAnsi="Segoe UI" w:cs="Segoe UI"/>
        </w:rPr>
        <w:t xml:space="preserve"> to be </w:t>
      </w:r>
      <w:r w:rsidRPr="293D3C50">
        <w:rPr>
          <w:rFonts w:ascii="Segoe UI" w:hAnsi="Segoe UI" w:cs="Segoe UI"/>
        </w:rPr>
        <w:t>higher than the Baseline</w:t>
      </w:r>
      <w:r w:rsidR="540F5828" w:rsidRPr="293D3C50">
        <w:rPr>
          <w:rFonts w:ascii="Segoe UI" w:hAnsi="Segoe UI" w:cs="Segoe UI"/>
        </w:rPr>
        <w:t xml:space="preserve"> (</w:t>
      </w:r>
      <w:r w:rsidR="76433C53" w:rsidRPr="293D3C50">
        <w:rPr>
          <w:rFonts w:ascii="Segoe UI" w:hAnsi="Segoe UI" w:cs="Segoe UI"/>
        </w:rPr>
        <w:t xml:space="preserve">Alternative </w:t>
      </w:r>
      <w:r w:rsidR="1A13A0AB" w:rsidRPr="293D3C50">
        <w:rPr>
          <w:rFonts w:ascii="Segoe UI" w:hAnsi="Segoe UI" w:cs="Segoe UI"/>
        </w:rPr>
        <w:t>4</w:t>
      </w:r>
      <w:r w:rsidR="540F5828" w:rsidRPr="293D3C50">
        <w:rPr>
          <w:rFonts w:ascii="Segoe UI" w:hAnsi="Segoe UI" w:cs="Segoe UI"/>
        </w:rPr>
        <w:t>)</w:t>
      </w:r>
      <w:r w:rsidR="69CD7A64" w:rsidRPr="293D3C50">
        <w:rPr>
          <w:rFonts w:ascii="Segoe UI" w:hAnsi="Segoe UI" w:cs="Segoe UI"/>
        </w:rPr>
        <w:t>.</w:t>
      </w:r>
      <w:r w:rsidR="138178D1" w:rsidRPr="293D3C50">
        <w:rPr>
          <w:rFonts w:ascii="Segoe UI" w:hAnsi="Segoe UI" w:cs="Segoe UI"/>
        </w:rPr>
        <w:t xml:space="preserve"> </w:t>
      </w:r>
      <w:r w:rsidR="69CD7A64" w:rsidRPr="293D3C50">
        <w:rPr>
          <w:rFonts w:ascii="Segoe UI" w:hAnsi="Segoe UI" w:cs="Segoe UI"/>
        </w:rPr>
        <w:t>Th</w:t>
      </w:r>
      <w:r w:rsidR="0A798544" w:rsidRPr="293D3C50">
        <w:rPr>
          <w:rFonts w:ascii="Segoe UI" w:hAnsi="Segoe UI" w:cs="Segoe UI"/>
        </w:rPr>
        <w:t>is</w:t>
      </w:r>
      <w:r w:rsidR="69CD7A64" w:rsidRPr="293D3C50">
        <w:rPr>
          <w:rFonts w:ascii="Segoe UI" w:hAnsi="Segoe UI" w:cs="Segoe UI"/>
        </w:rPr>
        <w:t xml:space="preserve"> </w:t>
      </w:r>
      <w:r w:rsidR="3F6DBAC9" w:rsidRPr="293D3C50">
        <w:rPr>
          <w:rFonts w:ascii="Segoe UI" w:hAnsi="Segoe UI" w:cs="Segoe UI"/>
        </w:rPr>
        <w:t xml:space="preserve">additional </w:t>
      </w:r>
      <w:r w:rsidR="69CD7A64" w:rsidRPr="293D3C50">
        <w:rPr>
          <w:rFonts w:ascii="Segoe UI" w:hAnsi="Segoe UI" w:cs="Segoe UI"/>
        </w:rPr>
        <w:t>f</w:t>
      </w:r>
      <w:r w:rsidR="1E8BC2FC" w:rsidRPr="293D3C50">
        <w:rPr>
          <w:rFonts w:ascii="Segoe UI" w:hAnsi="Segoe UI" w:cs="Segoe UI"/>
        </w:rPr>
        <w:t xml:space="preserve">ee </w:t>
      </w:r>
      <w:r w:rsidR="0F0527B6" w:rsidRPr="293D3C50">
        <w:rPr>
          <w:rFonts w:ascii="Segoe UI" w:hAnsi="Segoe UI" w:cs="Segoe UI"/>
        </w:rPr>
        <w:t>revenue</w:t>
      </w:r>
      <w:r w:rsidR="1E8BC2FC" w:rsidRPr="293D3C50">
        <w:rPr>
          <w:rFonts w:ascii="Segoe UI" w:hAnsi="Segoe UI" w:cs="Segoe UI"/>
        </w:rPr>
        <w:t xml:space="preserve"> </w:t>
      </w:r>
      <w:r w:rsidR="69CD7A64" w:rsidRPr="293D3C50">
        <w:rPr>
          <w:rFonts w:ascii="Segoe UI" w:hAnsi="Segoe UI" w:cs="Segoe UI"/>
        </w:rPr>
        <w:t xml:space="preserve">will </w:t>
      </w:r>
      <w:r w:rsidR="278281FE" w:rsidRPr="293D3C50">
        <w:rPr>
          <w:rFonts w:ascii="Segoe UI" w:hAnsi="Segoe UI" w:cs="Segoe UI"/>
        </w:rPr>
        <w:t xml:space="preserve">allow the </w:t>
      </w:r>
      <w:r w:rsidR="0B43E3E0" w:rsidRPr="293D3C50">
        <w:rPr>
          <w:rFonts w:ascii="Segoe UI" w:hAnsi="Segoe UI" w:cs="Segoe UI"/>
        </w:rPr>
        <w:t>USPTO</w:t>
      </w:r>
      <w:r w:rsidR="5062347F" w:rsidRPr="293D3C50">
        <w:rPr>
          <w:rFonts w:ascii="Segoe UI" w:hAnsi="Segoe UI" w:cs="Segoe UI"/>
        </w:rPr>
        <w:t xml:space="preserve"> to accomplish its mission: to drive U.S. innovation, inclusive capitalism, and global competitiveness by delivering high quality and timely patent examination and review proceedings that produce robust and reliable patent rights for domestic and international stakeholders</w:t>
      </w:r>
      <w:r w:rsidR="1E8BC2FC" w:rsidRPr="293D3C50">
        <w:rPr>
          <w:rFonts w:ascii="Segoe UI" w:hAnsi="Segoe UI" w:cs="Segoe UI"/>
        </w:rPr>
        <w:t>.</w:t>
      </w:r>
    </w:p>
    <w:p w14:paraId="4405E6D7" w14:textId="67C63A29" w:rsidR="00691917" w:rsidRPr="00CF6436" w:rsidRDefault="53DBD5EE" w:rsidP="293D3C50">
      <w:pPr>
        <w:spacing w:line="360" w:lineRule="auto"/>
        <w:ind w:firstLine="450"/>
        <w:rPr>
          <w:rFonts w:ascii="Segoe UI" w:hAnsi="Segoe UI" w:cs="Segoe UI"/>
        </w:rPr>
      </w:pPr>
      <w:r w:rsidRPr="293D3C50">
        <w:rPr>
          <w:rFonts w:ascii="Segoe UI" w:hAnsi="Segoe UI" w:cs="Segoe UI"/>
        </w:rPr>
        <w:t>In sum</w:t>
      </w:r>
      <w:r w:rsidR="28BDF0B6" w:rsidRPr="293D3C50">
        <w:rPr>
          <w:rFonts w:ascii="Segoe UI" w:hAnsi="Segoe UI" w:cs="Segoe UI"/>
        </w:rPr>
        <w:t>mary</w:t>
      </w:r>
      <w:r w:rsidRPr="293D3C50">
        <w:rPr>
          <w:rFonts w:ascii="Segoe UI" w:hAnsi="Segoe UI" w:cs="Segoe UI"/>
        </w:rPr>
        <w:t>, based on the analysis of costs and benefits, the</w:t>
      </w:r>
      <w:r w:rsidR="106488F5" w:rsidRPr="293D3C50">
        <w:rPr>
          <w:rFonts w:ascii="Segoe UI" w:hAnsi="Segoe UI" w:cs="Segoe UI"/>
        </w:rPr>
        <w:t xml:space="preserve"> </w:t>
      </w:r>
      <w:r w:rsidR="000F20DC">
        <w:rPr>
          <w:rFonts w:ascii="Segoe UI" w:hAnsi="Segoe UI" w:cs="Segoe UI"/>
        </w:rPr>
        <w:t>Final</w:t>
      </w:r>
      <w:r w:rsidR="6B95B53A" w:rsidRPr="293D3C50">
        <w:rPr>
          <w:rFonts w:ascii="Segoe UI" w:hAnsi="Segoe UI" w:cs="Segoe UI"/>
        </w:rPr>
        <w:t xml:space="preserve"> </w:t>
      </w:r>
      <w:r w:rsidR="20C542FD" w:rsidRPr="293D3C50">
        <w:rPr>
          <w:rFonts w:ascii="Segoe UI" w:hAnsi="Segoe UI" w:cs="Segoe UI"/>
        </w:rPr>
        <w:t xml:space="preserve">Patent </w:t>
      </w:r>
      <w:r w:rsidR="6B95B53A" w:rsidRPr="293D3C50">
        <w:rPr>
          <w:rFonts w:ascii="Segoe UI" w:hAnsi="Segoe UI" w:cs="Segoe UI"/>
        </w:rPr>
        <w:t>Fee Schedule</w:t>
      </w:r>
      <w:r w:rsidR="0A798544" w:rsidRPr="293D3C50">
        <w:rPr>
          <w:rFonts w:ascii="Segoe UI" w:hAnsi="Segoe UI" w:cs="Segoe UI"/>
        </w:rPr>
        <w:t xml:space="preserve"> (Alternative 1)</w:t>
      </w:r>
      <w:r w:rsidRPr="293D3C50">
        <w:rPr>
          <w:rFonts w:ascii="Segoe UI" w:hAnsi="Segoe UI" w:cs="Segoe UI"/>
        </w:rPr>
        <w:t xml:space="preserve"> </w:t>
      </w:r>
      <w:r w:rsidR="106488F5" w:rsidRPr="293D3C50">
        <w:rPr>
          <w:rFonts w:ascii="Segoe UI" w:hAnsi="Segoe UI" w:cs="Segoe UI"/>
        </w:rPr>
        <w:t xml:space="preserve">is </w:t>
      </w:r>
      <w:r w:rsidR="65C6F4BB" w:rsidRPr="293D3C50">
        <w:rPr>
          <w:rFonts w:ascii="Segoe UI" w:hAnsi="Segoe UI" w:cs="Segoe UI"/>
        </w:rPr>
        <w:t xml:space="preserve">offers more </w:t>
      </w:r>
      <w:r w:rsidR="106488F5" w:rsidRPr="293D3C50">
        <w:rPr>
          <w:rFonts w:ascii="Segoe UI" w:hAnsi="Segoe UI" w:cs="Segoe UI"/>
        </w:rPr>
        <w:t>significant</w:t>
      </w:r>
      <w:r w:rsidR="3A0FDC29" w:rsidRPr="293D3C50">
        <w:rPr>
          <w:rFonts w:ascii="Segoe UI" w:hAnsi="Segoe UI" w:cs="Segoe UI"/>
        </w:rPr>
        <w:t xml:space="preserve"> </w:t>
      </w:r>
      <w:r w:rsidR="65C6F4BB" w:rsidRPr="293D3C50">
        <w:rPr>
          <w:rFonts w:ascii="Segoe UI" w:hAnsi="Segoe UI" w:cs="Segoe UI"/>
        </w:rPr>
        <w:t xml:space="preserve">benefits </w:t>
      </w:r>
      <w:r w:rsidR="3A0FDC29" w:rsidRPr="293D3C50">
        <w:rPr>
          <w:rFonts w:ascii="Segoe UI" w:hAnsi="Segoe UI" w:cs="Segoe UI"/>
        </w:rPr>
        <w:t>and</w:t>
      </w:r>
      <w:r w:rsidRPr="293D3C50">
        <w:rPr>
          <w:rFonts w:ascii="Segoe UI" w:hAnsi="Segoe UI" w:cs="Segoe UI"/>
        </w:rPr>
        <w:t xml:space="preserve"> </w:t>
      </w:r>
      <w:r w:rsidR="0A798544" w:rsidRPr="293D3C50">
        <w:rPr>
          <w:rFonts w:ascii="Segoe UI" w:hAnsi="Segoe UI" w:cs="Segoe UI"/>
        </w:rPr>
        <w:t xml:space="preserve">better </w:t>
      </w:r>
      <w:r w:rsidRPr="293D3C50">
        <w:rPr>
          <w:rFonts w:ascii="Segoe UI" w:hAnsi="Segoe UI" w:cs="Segoe UI"/>
        </w:rPr>
        <w:t xml:space="preserve">supports key </w:t>
      </w:r>
      <w:r w:rsidR="7CA41D68" w:rsidRPr="293D3C50">
        <w:rPr>
          <w:rFonts w:ascii="Segoe UI" w:hAnsi="Segoe UI" w:cs="Segoe UI"/>
        </w:rPr>
        <w:t>policy factors</w:t>
      </w:r>
      <w:r w:rsidR="7D5ADE78" w:rsidRPr="293D3C50">
        <w:rPr>
          <w:rFonts w:ascii="Segoe UI" w:hAnsi="Segoe UI" w:cs="Segoe UI"/>
        </w:rPr>
        <w:t xml:space="preserve"> </w:t>
      </w:r>
      <w:r w:rsidR="32DB5A4C" w:rsidRPr="293D3C50">
        <w:rPr>
          <w:rFonts w:ascii="Segoe UI" w:hAnsi="Segoe UI" w:cs="Segoe UI"/>
        </w:rPr>
        <w:t>than the other alternatives</w:t>
      </w:r>
      <w:r w:rsidR="7BCAD06F" w:rsidRPr="293D3C50">
        <w:rPr>
          <w:rFonts w:ascii="Segoe UI" w:hAnsi="Segoe UI" w:cs="Segoe UI"/>
        </w:rPr>
        <w:t xml:space="preserve"> or the Baseline</w:t>
      </w:r>
      <w:r w:rsidR="742D1CAA" w:rsidRPr="293D3C50">
        <w:rPr>
          <w:rFonts w:ascii="Segoe UI" w:hAnsi="Segoe UI" w:cs="Segoe UI"/>
        </w:rPr>
        <w:t>, with no identified costs</w:t>
      </w:r>
      <w:r w:rsidRPr="293D3C50">
        <w:rPr>
          <w:rFonts w:ascii="Segoe UI" w:hAnsi="Segoe UI" w:cs="Segoe UI"/>
        </w:rPr>
        <w:t>.</w:t>
      </w:r>
    </w:p>
    <w:p w14:paraId="46C60134" w14:textId="7F8726E2" w:rsidR="0C375D48" w:rsidRPr="00CF6436" w:rsidRDefault="0C375D48" w:rsidP="00CF6436">
      <w:pPr>
        <w:spacing w:line="360" w:lineRule="auto"/>
        <w:ind w:firstLine="720"/>
        <w:rPr>
          <w:rFonts w:ascii="Segoe UI" w:hAnsi="Segoe UI" w:cs="Segoe UI"/>
        </w:rPr>
      </w:pPr>
    </w:p>
    <w:p w14:paraId="317591C9" w14:textId="58530F7F" w:rsidR="00010AF5" w:rsidRPr="00CF6436" w:rsidRDefault="46D887E1" w:rsidP="00EA247B">
      <w:pPr>
        <w:pStyle w:val="Heading1"/>
        <w:numPr>
          <w:ilvl w:val="0"/>
          <w:numId w:val="7"/>
        </w:numPr>
        <w:spacing w:before="0" w:line="360" w:lineRule="auto"/>
        <w:rPr>
          <w:rFonts w:ascii="Segoe UI" w:hAnsi="Segoe UI" w:cs="Segoe UI"/>
        </w:rPr>
      </w:pPr>
      <w:bookmarkStart w:id="119" w:name="_Toc344064288"/>
      <w:bookmarkStart w:id="120" w:name="_Toc344064367"/>
      <w:bookmarkStart w:id="121" w:name="_Toc344477652"/>
      <w:bookmarkStart w:id="122" w:name="_Toc344477653"/>
      <w:bookmarkStart w:id="123" w:name="_Toc328567449"/>
      <w:bookmarkStart w:id="124" w:name="_Toc328568562"/>
      <w:bookmarkStart w:id="125" w:name="_Toc328568650"/>
      <w:bookmarkStart w:id="126" w:name="_Toc328568786"/>
      <w:bookmarkStart w:id="127" w:name="_Toc328567450"/>
      <w:bookmarkStart w:id="128" w:name="_Toc328568563"/>
      <w:bookmarkStart w:id="129" w:name="_Toc328568651"/>
      <w:bookmarkStart w:id="130" w:name="_Toc328568787"/>
      <w:bookmarkStart w:id="131" w:name="_Toc328136181"/>
      <w:bookmarkStart w:id="132" w:name="_Toc328136635"/>
      <w:bookmarkStart w:id="133" w:name="_Toc328136755"/>
      <w:bookmarkStart w:id="134" w:name="_Toc328136875"/>
      <w:bookmarkStart w:id="135" w:name="_Toc328137158"/>
      <w:bookmarkStart w:id="136" w:name="_Toc328136182"/>
      <w:bookmarkStart w:id="137" w:name="_Toc328136636"/>
      <w:bookmarkStart w:id="138" w:name="_Toc328136756"/>
      <w:bookmarkStart w:id="139" w:name="_Toc328136876"/>
      <w:bookmarkStart w:id="140" w:name="_Toc328137159"/>
      <w:bookmarkStart w:id="141" w:name="_Toc451951718"/>
      <w:bookmarkStart w:id="142" w:name="_Toc175640429"/>
      <w:bookmarkEnd w:id="96"/>
      <w:bookmarkEnd w:id="97"/>
      <w:bookmarkEnd w:id="98"/>
      <w:bookmarkEnd w:id="99"/>
      <w:bookmarkEnd w:id="100"/>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293D3C50">
        <w:rPr>
          <w:rFonts w:ascii="Segoe UI" w:hAnsi="Segoe UI" w:cs="Segoe UI"/>
        </w:rPr>
        <w:lastRenderedPageBreak/>
        <w:t>ANALYSIS OF BASELINE AND ALTERNATIVES</w:t>
      </w:r>
      <w:bookmarkEnd w:id="141"/>
      <w:bookmarkEnd w:id="142"/>
    </w:p>
    <w:p w14:paraId="06669108" w14:textId="790C5D94" w:rsidR="0086407D" w:rsidRPr="00CF6436" w:rsidRDefault="78D0F5F6" w:rsidP="293D3C50">
      <w:pPr>
        <w:spacing w:line="360" w:lineRule="auto"/>
        <w:ind w:firstLine="450"/>
        <w:rPr>
          <w:rFonts w:ascii="Segoe UI" w:hAnsi="Segoe UI" w:cs="Segoe UI"/>
        </w:rPr>
      </w:pPr>
      <w:bookmarkStart w:id="143" w:name="_Toc324165144"/>
      <w:r w:rsidRPr="293D3C50">
        <w:rPr>
          <w:rFonts w:ascii="Segoe UI" w:hAnsi="Segoe UI" w:cs="Segoe UI"/>
        </w:rPr>
        <w:t>T</w:t>
      </w:r>
      <w:r w:rsidR="1D3C1BB3" w:rsidRPr="293D3C50">
        <w:rPr>
          <w:rFonts w:ascii="Segoe UI" w:hAnsi="Segoe UI" w:cs="Segoe UI"/>
        </w:rPr>
        <w:t>h</w:t>
      </w:r>
      <w:r w:rsidR="3733DA93" w:rsidRPr="293D3C50">
        <w:rPr>
          <w:rFonts w:ascii="Segoe UI" w:hAnsi="Segoe UI" w:cs="Segoe UI"/>
        </w:rPr>
        <w:t>e</w:t>
      </w:r>
      <w:r w:rsidR="4CC6CB4E" w:rsidRPr="293D3C50">
        <w:rPr>
          <w:rFonts w:ascii="Segoe UI" w:hAnsi="Segoe UI" w:cs="Segoe UI"/>
        </w:rPr>
        <w:t xml:space="preserve"> </w:t>
      </w:r>
      <w:r w:rsidR="25DFFD73" w:rsidRPr="293D3C50">
        <w:rPr>
          <w:rFonts w:ascii="Segoe UI" w:hAnsi="Segoe UI" w:cs="Segoe UI"/>
        </w:rPr>
        <w:t xml:space="preserve">USPTO assessed </w:t>
      </w:r>
      <w:r w:rsidR="3733DA93" w:rsidRPr="293D3C50">
        <w:rPr>
          <w:rFonts w:ascii="Segoe UI" w:hAnsi="Segoe UI" w:cs="Segoe UI"/>
        </w:rPr>
        <w:t xml:space="preserve">three </w:t>
      </w:r>
      <w:r w:rsidRPr="293D3C50">
        <w:rPr>
          <w:rFonts w:ascii="Segoe UI" w:hAnsi="Segoe UI" w:cs="Segoe UI"/>
        </w:rPr>
        <w:t xml:space="preserve">alternative </w:t>
      </w:r>
      <w:r w:rsidR="3BFEB957" w:rsidRPr="293D3C50">
        <w:rPr>
          <w:rFonts w:ascii="Segoe UI" w:hAnsi="Segoe UI" w:cs="Segoe UI"/>
        </w:rPr>
        <w:t xml:space="preserve">patent </w:t>
      </w:r>
      <w:r w:rsidRPr="293D3C50">
        <w:rPr>
          <w:rFonts w:ascii="Segoe UI" w:hAnsi="Segoe UI" w:cs="Segoe UI"/>
        </w:rPr>
        <w:t>fee schedules</w:t>
      </w:r>
      <w:r w:rsidR="0B43E3E0" w:rsidRPr="293D3C50">
        <w:rPr>
          <w:rFonts w:ascii="Segoe UI" w:hAnsi="Segoe UI" w:cs="Segoe UI"/>
        </w:rPr>
        <w:t xml:space="preserve"> </w:t>
      </w:r>
      <w:r w:rsidR="3BFEB957" w:rsidRPr="293D3C50">
        <w:rPr>
          <w:rFonts w:ascii="Segoe UI" w:hAnsi="Segoe UI" w:cs="Segoe UI"/>
        </w:rPr>
        <w:t>against the current patent fee schedule (Baseline)</w:t>
      </w:r>
      <w:r w:rsidR="1D3C1BB3" w:rsidRPr="293D3C50">
        <w:rPr>
          <w:rFonts w:ascii="Segoe UI" w:hAnsi="Segoe UI" w:cs="Segoe UI"/>
        </w:rPr>
        <w:t xml:space="preserve"> to </w:t>
      </w:r>
      <w:r w:rsidR="54FBFF5D" w:rsidRPr="293D3C50">
        <w:rPr>
          <w:rFonts w:ascii="Segoe UI" w:hAnsi="Segoe UI" w:cs="Segoe UI"/>
        </w:rPr>
        <w:t xml:space="preserve">evaluate </w:t>
      </w:r>
      <w:r w:rsidR="02AA77F7" w:rsidRPr="293D3C50">
        <w:rPr>
          <w:rFonts w:ascii="Segoe UI" w:hAnsi="Segoe UI" w:cs="Segoe UI"/>
        </w:rPr>
        <w:t>their</w:t>
      </w:r>
      <w:r w:rsidRPr="293D3C50">
        <w:rPr>
          <w:rFonts w:ascii="Segoe UI" w:hAnsi="Segoe UI" w:cs="Segoe UI"/>
        </w:rPr>
        <w:t xml:space="preserve"> ability to meet </w:t>
      </w:r>
      <w:r w:rsidR="7BAFA2A4" w:rsidRPr="293D3C50">
        <w:rPr>
          <w:rFonts w:ascii="Segoe UI" w:hAnsi="Segoe UI" w:cs="Segoe UI"/>
        </w:rPr>
        <w:t xml:space="preserve">the </w:t>
      </w:r>
      <w:r w:rsidR="4D7ED98F" w:rsidRPr="293D3C50">
        <w:rPr>
          <w:rFonts w:ascii="Segoe UI" w:hAnsi="Segoe UI" w:cs="Segoe UI"/>
        </w:rPr>
        <w:t>rulemaking’s strategies</w:t>
      </w:r>
      <w:r w:rsidRPr="293D3C50">
        <w:rPr>
          <w:rFonts w:ascii="Segoe UI" w:hAnsi="Segoe UI" w:cs="Segoe UI"/>
        </w:rPr>
        <w:t xml:space="preserve"> and goals.</w:t>
      </w:r>
      <w:r w:rsidR="138178D1" w:rsidRPr="293D3C50">
        <w:rPr>
          <w:rFonts w:ascii="Segoe UI" w:hAnsi="Segoe UI" w:cs="Segoe UI"/>
        </w:rPr>
        <w:t xml:space="preserve"> </w:t>
      </w:r>
      <w:r w:rsidR="7C27B55F" w:rsidRPr="293D3C50">
        <w:rPr>
          <w:rFonts w:ascii="Segoe UI" w:hAnsi="Segoe UI" w:cs="Segoe UI"/>
        </w:rPr>
        <w:t xml:space="preserve">The </w:t>
      </w:r>
      <w:r w:rsidR="6D59E349" w:rsidRPr="293D3C50">
        <w:rPr>
          <w:rFonts w:ascii="Segoe UI" w:hAnsi="Segoe UI" w:cs="Segoe UI"/>
        </w:rPr>
        <w:t>sub</w:t>
      </w:r>
      <w:r w:rsidR="7C27B55F" w:rsidRPr="293D3C50">
        <w:rPr>
          <w:rFonts w:ascii="Segoe UI" w:hAnsi="Segoe UI" w:cs="Segoe UI"/>
        </w:rPr>
        <w:t>sections below provide a</w:t>
      </w:r>
      <w:r w:rsidRPr="293D3C50">
        <w:rPr>
          <w:rFonts w:ascii="Segoe UI" w:hAnsi="Segoe UI" w:cs="Segoe UI"/>
        </w:rPr>
        <w:t xml:space="preserve"> detailed description of the Baseline and </w:t>
      </w:r>
      <w:r w:rsidR="0F0527B6" w:rsidRPr="293D3C50">
        <w:rPr>
          <w:rFonts w:ascii="Segoe UI" w:hAnsi="Segoe UI" w:cs="Segoe UI"/>
        </w:rPr>
        <w:t>other</w:t>
      </w:r>
      <w:r w:rsidRPr="293D3C50">
        <w:rPr>
          <w:rFonts w:ascii="Segoe UI" w:hAnsi="Segoe UI" w:cs="Segoe UI"/>
        </w:rPr>
        <w:t xml:space="preserve"> </w:t>
      </w:r>
      <w:r w:rsidR="023D1E61" w:rsidRPr="293D3C50">
        <w:rPr>
          <w:rFonts w:ascii="Segoe UI" w:hAnsi="Segoe UI" w:cs="Segoe UI"/>
        </w:rPr>
        <w:t>a</w:t>
      </w:r>
      <w:r w:rsidRPr="293D3C50">
        <w:rPr>
          <w:rFonts w:ascii="Segoe UI" w:hAnsi="Segoe UI" w:cs="Segoe UI"/>
        </w:rPr>
        <w:t>lternative</w:t>
      </w:r>
      <w:r w:rsidR="0F0527B6" w:rsidRPr="293D3C50">
        <w:rPr>
          <w:rFonts w:ascii="Segoe UI" w:hAnsi="Segoe UI" w:cs="Segoe UI"/>
        </w:rPr>
        <w:t>s</w:t>
      </w:r>
      <w:r w:rsidRPr="293D3C50">
        <w:rPr>
          <w:rFonts w:ascii="Segoe UI" w:hAnsi="Segoe UI" w:cs="Segoe UI"/>
        </w:rPr>
        <w:t>.</w:t>
      </w:r>
      <w:r w:rsidR="138178D1" w:rsidRPr="293D3C50">
        <w:rPr>
          <w:rFonts w:ascii="Segoe UI" w:hAnsi="Segoe UI" w:cs="Segoe UI"/>
        </w:rPr>
        <w:t xml:space="preserve"> </w:t>
      </w:r>
      <w:r w:rsidRPr="293D3C50">
        <w:rPr>
          <w:rFonts w:ascii="Segoe UI" w:hAnsi="Segoe UI" w:cs="Segoe UI"/>
        </w:rPr>
        <w:t xml:space="preserve">Each description contains an overview of key indicators impacting the costs and benefits of the </w:t>
      </w:r>
      <w:r w:rsidR="023D1E61" w:rsidRPr="293D3C50">
        <w:rPr>
          <w:rFonts w:ascii="Segoe UI" w:hAnsi="Segoe UI" w:cs="Segoe UI"/>
        </w:rPr>
        <w:t>a</w:t>
      </w:r>
      <w:r w:rsidRPr="293D3C50">
        <w:rPr>
          <w:rFonts w:ascii="Segoe UI" w:hAnsi="Segoe UI" w:cs="Segoe UI"/>
        </w:rPr>
        <w:t>lternative.</w:t>
      </w:r>
    </w:p>
    <w:p w14:paraId="27D69E8C" w14:textId="77777777" w:rsidR="001C63B2" w:rsidRPr="00CF6436" w:rsidRDefault="001C63B2" w:rsidP="00CF6436">
      <w:pPr>
        <w:spacing w:line="360" w:lineRule="auto"/>
        <w:rPr>
          <w:rFonts w:ascii="Segoe UI" w:hAnsi="Segoe UI" w:cs="Segoe UI"/>
          <w:szCs w:val="24"/>
        </w:rPr>
      </w:pPr>
    </w:p>
    <w:p w14:paraId="6F8D3500" w14:textId="77777777" w:rsidR="004B4814" w:rsidRPr="00CF6436" w:rsidRDefault="007569BC" w:rsidP="00EA247B">
      <w:pPr>
        <w:pStyle w:val="Heading2Number"/>
        <w:numPr>
          <w:ilvl w:val="1"/>
          <w:numId w:val="14"/>
        </w:numPr>
        <w:spacing w:line="360" w:lineRule="auto"/>
        <w:rPr>
          <w:rFonts w:ascii="Segoe UI" w:eastAsiaTheme="minorEastAsia" w:hAnsi="Segoe UI" w:cs="Segoe UI"/>
        </w:rPr>
      </w:pPr>
      <w:bookmarkStart w:id="144" w:name="_Toc327257171"/>
      <w:bookmarkStart w:id="145" w:name="_Toc324932310"/>
      <w:bookmarkStart w:id="146" w:name="_Toc324525697"/>
      <w:bookmarkStart w:id="147" w:name="_Toc324165138"/>
      <w:bookmarkStart w:id="148" w:name="_Toc325554079"/>
      <w:bookmarkStart w:id="149" w:name="_Toc451951719"/>
      <w:bookmarkStart w:id="150" w:name="_Toc175640430"/>
      <w:bookmarkEnd w:id="144"/>
      <w:r w:rsidRPr="31665127">
        <w:rPr>
          <w:rFonts w:ascii="Segoe UI" w:eastAsiaTheme="minorEastAsia" w:hAnsi="Segoe UI" w:cs="Segoe UI"/>
        </w:rPr>
        <w:t>Baseline (</w:t>
      </w:r>
      <w:bookmarkEnd w:id="145"/>
      <w:bookmarkEnd w:id="146"/>
      <w:bookmarkEnd w:id="147"/>
      <w:r w:rsidR="00253358" w:rsidRPr="31665127">
        <w:rPr>
          <w:rFonts w:ascii="Segoe UI" w:eastAsiaTheme="minorEastAsia" w:hAnsi="Segoe UI" w:cs="Segoe UI"/>
        </w:rPr>
        <w:t>Alternative 4, Current Fee Schedule</w:t>
      </w:r>
      <w:r w:rsidR="00E52351" w:rsidRPr="31665127">
        <w:rPr>
          <w:rFonts w:ascii="Segoe UI" w:eastAsiaTheme="minorEastAsia" w:hAnsi="Segoe UI" w:cs="Segoe UI"/>
        </w:rPr>
        <w:t>)</w:t>
      </w:r>
      <w:bookmarkEnd w:id="148"/>
      <w:bookmarkEnd w:id="149"/>
      <w:bookmarkEnd w:id="150"/>
    </w:p>
    <w:p w14:paraId="3097725B" w14:textId="550EA54F" w:rsidR="2B747153" w:rsidRPr="00777046" w:rsidRDefault="25676249" w:rsidP="17CECF10">
      <w:pPr>
        <w:pStyle w:val="BottomofTableSpacing"/>
        <w:keepNext/>
        <w:spacing w:line="360" w:lineRule="auto"/>
        <w:jc w:val="center"/>
        <w:rPr>
          <w:rFonts w:ascii="Segoe UI" w:hAnsi="Segoe UI" w:cs="Segoe UI"/>
          <w:szCs w:val="24"/>
        </w:rPr>
      </w:pPr>
      <w:r w:rsidRPr="00777046">
        <w:rPr>
          <w:rFonts w:ascii="Segoe UI" w:hAnsi="Segoe UI" w:cs="Segoe UI"/>
          <w:b/>
          <w:bCs/>
          <w:szCs w:val="24"/>
        </w:rPr>
        <w:t xml:space="preserve">Table </w:t>
      </w:r>
      <w:r w:rsidR="11DFF88D" w:rsidRPr="00777046">
        <w:rPr>
          <w:rFonts w:ascii="Segoe UI" w:hAnsi="Segoe UI" w:cs="Segoe UI"/>
          <w:b/>
          <w:bCs/>
          <w:szCs w:val="24"/>
        </w:rPr>
        <w:t>4</w:t>
      </w:r>
      <w:r w:rsidRPr="00777046">
        <w:rPr>
          <w:rFonts w:ascii="Segoe UI" w:hAnsi="Segoe UI" w:cs="Segoe UI"/>
          <w:b/>
          <w:bCs/>
          <w:szCs w:val="24"/>
        </w:rPr>
        <w:t>-1</w:t>
      </w:r>
      <w:r w:rsidR="2B747153" w:rsidRPr="17CECF10">
        <w:rPr>
          <w:rFonts w:ascii="Segoe UI" w:hAnsi="Segoe UI" w:cs="Segoe UI"/>
          <w:color w:val="2B579A"/>
        </w:rPr>
        <w:fldChar w:fldCharType="begin"/>
      </w:r>
      <w:r w:rsidR="36509838" w:rsidRPr="17CECF10">
        <w:rPr>
          <w:rFonts w:ascii="Segoe UI" w:hAnsi="Segoe UI" w:cs="Segoe UI"/>
        </w:rPr>
        <w:instrText xml:space="preserve"> LINK Excel.Sheet.12 "\\\\nsx-orgshares\\ISO-OPBE\\FORECASTING &amp; REVENUE\\FY15 Biennial Fee Review\\Patent NPRM Materials\\RIA\\RIA_Transfer tables V2.xlsx" "Sec 4 intro tables!R4C25:R13C31" \a \f 4 \h  \* MERGEFORMAT </w:instrText>
      </w:r>
      <w:r w:rsidR="2B747153" w:rsidRPr="17CECF10">
        <w:rPr>
          <w:rFonts w:ascii="Segoe UI" w:hAnsi="Segoe UI" w:cs="Segoe UI"/>
          <w:color w:val="2B579A"/>
        </w:rPr>
        <w:fldChar w:fldCharType="separate"/>
      </w:r>
    </w:p>
    <w:tbl>
      <w:tblPr>
        <w:tblStyle w:val="TableGrid211"/>
        <w:tblW w:w="9821" w:type="dxa"/>
        <w:jc w:val="center"/>
        <w:tblLayout w:type="fixed"/>
        <w:tblLook w:val="04A0" w:firstRow="1" w:lastRow="0" w:firstColumn="1" w:lastColumn="0" w:noHBand="0" w:noVBand="1"/>
      </w:tblPr>
      <w:tblGrid>
        <w:gridCol w:w="3005"/>
        <w:gridCol w:w="1135"/>
        <w:gridCol w:w="1136"/>
        <w:gridCol w:w="1136"/>
        <w:gridCol w:w="1136"/>
        <w:gridCol w:w="1136"/>
        <w:gridCol w:w="1137"/>
      </w:tblGrid>
      <w:tr w:rsidR="00A62DA7" w:rsidRPr="00CF6436" w14:paraId="24B2296E" w14:textId="77777777" w:rsidTr="17CECF10">
        <w:trPr>
          <w:trHeight w:val="312"/>
          <w:jc w:val="center"/>
        </w:trPr>
        <w:tc>
          <w:tcPr>
            <w:tcW w:w="9821" w:type="dxa"/>
            <w:gridSpan w:val="7"/>
            <w:vAlign w:val="center"/>
            <w:hideMark/>
          </w:tcPr>
          <w:p w14:paraId="3DB35AE0" w14:textId="6F8B6E0D" w:rsidR="00A62DA7" w:rsidRPr="00777046" w:rsidRDefault="0C7DAC1A" w:rsidP="17CECF10">
            <w:pPr>
              <w:spacing w:line="276" w:lineRule="auto"/>
              <w:jc w:val="center"/>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szCs w:val="22"/>
              </w:rPr>
              <w:t>Patent Costs and Revenue by Alternative</w:t>
            </w:r>
          </w:p>
        </w:tc>
      </w:tr>
      <w:tr w:rsidR="00A62DA7" w:rsidRPr="00CF6436" w14:paraId="3B1D843C" w14:textId="77777777" w:rsidTr="17CECF10">
        <w:trPr>
          <w:trHeight w:val="324"/>
          <w:jc w:val="center"/>
        </w:trPr>
        <w:tc>
          <w:tcPr>
            <w:tcW w:w="9821" w:type="dxa"/>
            <w:gridSpan w:val="7"/>
            <w:vAlign w:val="center"/>
            <w:hideMark/>
          </w:tcPr>
          <w:p w14:paraId="61EC2392" w14:textId="77777777" w:rsidR="00A62DA7" w:rsidRPr="00777046" w:rsidRDefault="0C7DAC1A" w:rsidP="17CECF10">
            <w:pPr>
              <w:spacing w:line="276" w:lineRule="auto"/>
              <w:jc w:val="center"/>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szCs w:val="22"/>
              </w:rPr>
              <w:t>(dollars in millions)</w:t>
            </w:r>
          </w:p>
        </w:tc>
      </w:tr>
      <w:tr w:rsidR="00AD50AC" w:rsidRPr="00CF6436" w14:paraId="2B92AD36" w14:textId="77777777" w:rsidTr="17CECF10">
        <w:trPr>
          <w:trHeight w:val="324"/>
          <w:jc w:val="center"/>
        </w:trPr>
        <w:tc>
          <w:tcPr>
            <w:tcW w:w="3005" w:type="dxa"/>
            <w:noWrap/>
            <w:vAlign w:val="center"/>
            <w:hideMark/>
          </w:tcPr>
          <w:p w14:paraId="7666D6B9" w14:textId="588EAA04" w:rsidR="00AD50AC" w:rsidRPr="00777046" w:rsidRDefault="00AD50AC" w:rsidP="17CECF10">
            <w:pPr>
              <w:spacing w:line="240" w:lineRule="auto"/>
              <w:rPr>
                <w:rFonts w:ascii="Segoe UI" w:eastAsia="Times New Roman" w:hAnsi="Segoe UI" w:cs="Segoe UI"/>
                <w:color w:val="000000"/>
                <w:szCs w:val="24"/>
              </w:rPr>
            </w:pPr>
          </w:p>
        </w:tc>
        <w:tc>
          <w:tcPr>
            <w:tcW w:w="1135" w:type="dxa"/>
            <w:noWrap/>
            <w:vAlign w:val="center"/>
            <w:hideMark/>
          </w:tcPr>
          <w:p w14:paraId="62486ABF" w14:textId="267638AC" w:rsidR="00AD50AC" w:rsidRPr="00777046" w:rsidRDefault="4F173E86" w:rsidP="17CECF10">
            <w:pPr>
              <w:spacing w:line="240" w:lineRule="auto"/>
              <w:jc w:val="center"/>
              <w:rPr>
                <w:rFonts w:ascii="Segoe UI" w:eastAsia="Times New Roman" w:hAnsi="Segoe UI" w:cs="Segoe UI"/>
                <w:b/>
                <w:bCs/>
                <w:color w:val="000000"/>
                <w:szCs w:val="24"/>
              </w:rPr>
            </w:pPr>
            <w:r w:rsidRPr="17CECF10">
              <w:rPr>
                <w:rFonts w:ascii="Segoe UI" w:hAnsi="Segoe UI" w:cs="Segoe UI"/>
                <w:b/>
                <w:bCs/>
                <w:sz w:val="22"/>
                <w:szCs w:val="22"/>
              </w:rPr>
              <w:t>FY 2025</w:t>
            </w:r>
          </w:p>
        </w:tc>
        <w:tc>
          <w:tcPr>
            <w:tcW w:w="1136" w:type="dxa"/>
            <w:noWrap/>
            <w:vAlign w:val="center"/>
            <w:hideMark/>
          </w:tcPr>
          <w:p w14:paraId="0F33FED3" w14:textId="6A45C5DD" w:rsidR="00AD50AC" w:rsidRPr="00777046" w:rsidRDefault="4F173E86" w:rsidP="17CECF10">
            <w:pPr>
              <w:spacing w:line="276" w:lineRule="auto"/>
              <w:jc w:val="center"/>
              <w:rPr>
                <w:rFonts w:ascii="Segoe UI" w:eastAsia="Times New Roman" w:hAnsi="Segoe UI" w:cs="Segoe UI"/>
                <w:b/>
                <w:bCs/>
                <w:color w:val="000000"/>
                <w:szCs w:val="24"/>
              </w:rPr>
            </w:pPr>
            <w:r w:rsidRPr="17CECF10">
              <w:rPr>
                <w:rFonts w:ascii="Segoe UI" w:hAnsi="Segoe UI" w:cs="Segoe UI"/>
                <w:b/>
                <w:bCs/>
                <w:sz w:val="22"/>
                <w:szCs w:val="22"/>
              </w:rPr>
              <w:t>FY 2026</w:t>
            </w:r>
          </w:p>
        </w:tc>
        <w:tc>
          <w:tcPr>
            <w:tcW w:w="1136" w:type="dxa"/>
            <w:noWrap/>
            <w:vAlign w:val="center"/>
            <w:hideMark/>
          </w:tcPr>
          <w:p w14:paraId="58C3AB89" w14:textId="3EFDBD92" w:rsidR="00AD50AC" w:rsidRPr="00777046" w:rsidRDefault="4F173E86" w:rsidP="17CECF10">
            <w:pPr>
              <w:spacing w:line="276" w:lineRule="auto"/>
              <w:jc w:val="center"/>
              <w:rPr>
                <w:rFonts w:ascii="Segoe UI" w:eastAsia="Times New Roman" w:hAnsi="Segoe UI" w:cs="Segoe UI"/>
                <w:b/>
                <w:bCs/>
                <w:color w:val="000000"/>
                <w:szCs w:val="24"/>
              </w:rPr>
            </w:pPr>
            <w:r w:rsidRPr="17CECF10">
              <w:rPr>
                <w:rFonts w:ascii="Segoe UI" w:hAnsi="Segoe UI" w:cs="Segoe UI"/>
                <w:b/>
                <w:bCs/>
                <w:sz w:val="22"/>
                <w:szCs w:val="22"/>
              </w:rPr>
              <w:t>FY 2027</w:t>
            </w:r>
          </w:p>
        </w:tc>
        <w:tc>
          <w:tcPr>
            <w:tcW w:w="1136" w:type="dxa"/>
            <w:noWrap/>
            <w:vAlign w:val="center"/>
            <w:hideMark/>
          </w:tcPr>
          <w:p w14:paraId="65987A2A" w14:textId="682DE2CF" w:rsidR="00AD50AC" w:rsidRPr="00777046" w:rsidRDefault="4F173E86" w:rsidP="17CECF10">
            <w:pPr>
              <w:spacing w:line="276" w:lineRule="auto"/>
              <w:jc w:val="center"/>
              <w:rPr>
                <w:rFonts w:ascii="Segoe UI" w:eastAsia="Times New Roman" w:hAnsi="Segoe UI" w:cs="Segoe UI"/>
                <w:b/>
                <w:bCs/>
                <w:color w:val="000000"/>
                <w:szCs w:val="24"/>
              </w:rPr>
            </w:pPr>
            <w:r w:rsidRPr="17CECF10">
              <w:rPr>
                <w:rFonts w:ascii="Segoe UI" w:hAnsi="Segoe UI" w:cs="Segoe UI"/>
                <w:b/>
                <w:bCs/>
                <w:sz w:val="22"/>
                <w:szCs w:val="22"/>
              </w:rPr>
              <w:t>FY 2028</w:t>
            </w:r>
          </w:p>
        </w:tc>
        <w:tc>
          <w:tcPr>
            <w:tcW w:w="1136" w:type="dxa"/>
            <w:noWrap/>
            <w:vAlign w:val="center"/>
            <w:hideMark/>
          </w:tcPr>
          <w:p w14:paraId="25937D78" w14:textId="4A34A10F" w:rsidR="00AD50AC" w:rsidRPr="00777046" w:rsidRDefault="4F173E86" w:rsidP="17CECF10">
            <w:pPr>
              <w:spacing w:line="276" w:lineRule="auto"/>
              <w:jc w:val="center"/>
              <w:rPr>
                <w:rFonts w:ascii="Segoe UI" w:eastAsia="Times New Roman" w:hAnsi="Segoe UI" w:cs="Segoe UI"/>
                <w:b/>
                <w:bCs/>
                <w:color w:val="000000"/>
                <w:szCs w:val="24"/>
              </w:rPr>
            </w:pPr>
            <w:r w:rsidRPr="17CECF10">
              <w:rPr>
                <w:rFonts w:ascii="Segoe UI" w:hAnsi="Segoe UI" w:cs="Segoe UI"/>
                <w:b/>
                <w:bCs/>
                <w:sz w:val="22"/>
                <w:szCs w:val="22"/>
              </w:rPr>
              <w:t>FY 2029</w:t>
            </w:r>
          </w:p>
        </w:tc>
        <w:tc>
          <w:tcPr>
            <w:tcW w:w="1137" w:type="dxa"/>
            <w:noWrap/>
            <w:vAlign w:val="center"/>
            <w:hideMark/>
          </w:tcPr>
          <w:p w14:paraId="264120C3" w14:textId="6AC42331" w:rsidR="00AD50AC" w:rsidRPr="00777046" w:rsidRDefault="4F173E86" w:rsidP="17CECF10">
            <w:pPr>
              <w:spacing w:line="276" w:lineRule="auto"/>
              <w:jc w:val="center"/>
              <w:rPr>
                <w:rFonts w:ascii="Segoe UI" w:eastAsia="Times New Roman" w:hAnsi="Segoe UI" w:cs="Segoe UI"/>
                <w:b/>
                <w:bCs/>
                <w:color w:val="000000"/>
                <w:szCs w:val="24"/>
              </w:rPr>
            </w:pPr>
            <w:r w:rsidRPr="17CECF10">
              <w:rPr>
                <w:rFonts w:ascii="Segoe UI" w:hAnsi="Segoe UI" w:cs="Segoe UI"/>
                <w:b/>
                <w:bCs/>
                <w:sz w:val="22"/>
                <w:szCs w:val="22"/>
              </w:rPr>
              <w:t>Total</w:t>
            </w:r>
          </w:p>
        </w:tc>
      </w:tr>
      <w:tr w:rsidR="0061637C" w:rsidRPr="00CF6436" w14:paraId="5A106C9D" w14:textId="77777777" w:rsidTr="00B64020">
        <w:trPr>
          <w:trHeight w:val="324"/>
          <w:jc w:val="center"/>
        </w:trPr>
        <w:tc>
          <w:tcPr>
            <w:tcW w:w="3005" w:type="dxa"/>
            <w:shd w:val="clear" w:color="auto" w:fill="D9D9D6"/>
            <w:vAlign w:val="center"/>
            <w:hideMark/>
          </w:tcPr>
          <w:p w14:paraId="350BB853" w14:textId="53485F07" w:rsidR="0061637C" w:rsidRPr="00777046" w:rsidRDefault="0061637C" w:rsidP="0061637C">
            <w:pPr>
              <w:spacing w:line="240" w:lineRule="auto"/>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szCs w:val="22"/>
              </w:rPr>
              <w:t>Budgetary requirements</w:t>
            </w:r>
          </w:p>
        </w:tc>
        <w:tc>
          <w:tcPr>
            <w:tcW w:w="1135" w:type="dxa"/>
            <w:shd w:val="clear" w:color="auto" w:fill="D9D9D6"/>
            <w:noWrap/>
            <w:vAlign w:val="center"/>
            <w:hideMark/>
          </w:tcPr>
          <w:p w14:paraId="1DAB1B7A" w14:textId="1D6E6C58" w:rsidR="0061637C" w:rsidRPr="00B64020" w:rsidRDefault="0061637C" w:rsidP="0061637C">
            <w:pPr>
              <w:spacing w:line="240" w:lineRule="auto"/>
              <w:jc w:val="right"/>
              <w:rPr>
                <w:rFonts w:ascii="Segoe UI" w:eastAsia="Times New Roman" w:hAnsi="Segoe UI" w:cs="Segoe UI"/>
                <w:b/>
                <w:bCs/>
                <w:color w:val="000000"/>
                <w:sz w:val="22"/>
                <w:szCs w:val="22"/>
                <w:highlight w:val="yellow"/>
              </w:rPr>
            </w:pPr>
            <w:r w:rsidRPr="00B64020">
              <w:rPr>
                <w:rFonts w:ascii="Segoe UI" w:hAnsi="Segoe UI" w:cs="Segoe UI"/>
                <w:sz w:val="22"/>
              </w:rPr>
              <w:t>$3,975</w:t>
            </w:r>
          </w:p>
        </w:tc>
        <w:tc>
          <w:tcPr>
            <w:tcW w:w="1136" w:type="dxa"/>
            <w:shd w:val="clear" w:color="auto" w:fill="D9D9D6"/>
            <w:noWrap/>
            <w:vAlign w:val="center"/>
            <w:hideMark/>
          </w:tcPr>
          <w:p w14:paraId="4849CA32" w14:textId="303F23B7" w:rsidR="0061637C" w:rsidRPr="00B64020" w:rsidRDefault="0061637C" w:rsidP="0061637C">
            <w:pPr>
              <w:spacing w:line="276" w:lineRule="auto"/>
              <w:jc w:val="right"/>
              <w:rPr>
                <w:rFonts w:ascii="Segoe UI" w:eastAsia="Times New Roman" w:hAnsi="Segoe UI" w:cs="Segoe UI"/>
                <w:b/>
                <w:bCs/>
                <w:color w:val="000000"/>
                <w:sz w:val="22"/>
                <w:szCs w:val="22"/>
                <w:highlight w:val="yellow"/>
              </w:rPr>
            </w:pPr>
            <w:r w:rsidRPr="00B64020">
              <w:rPr>
                <w:rFonts w:ascii="Segoe UI" w:hAnsi="Segoe UI" w:cs="Segoe UI"/>
                <w:sz w:val="22"/>
              </w:rPr>
              <w:t>$4,102</w:t>
            </w:r>
          </w:p>
        </w:tc>
        <w:tc>
          <w:tcPr>
            <w:tcW w:w="1136" w:type="dxa"/>
            <w:shd w:val="clear" w:color="auto" w:fill="D9D9D6"/>
            <w:noWrap/>
            <w:vAlign w:val="center"/>
            <w:hideMark/>
          </w:tcPr>
          <w:p w14:paraId="51DEC6D1" w14:textId="014A02B8" w:rsidR="0061637C" w:rsidRPr="00B64020" w:rsidRDefault="0061637C" w:rsidP="0061637C">
            <w:pPr>
              <w:spacing w:line="276" w:lineRule="auto"/>
              <w:jc w:val="right"/>
              <w:rPr>
                <w:rFonts w:ascii="Segoe UI" w:eastAsia="Times New Roman" w:hAnsi="Segoe UI" w:cs="Segoe UI"/>
                <w:b/>
                <w:bCs/>
                <w:color w:val="000000"/>
                <w:sz w:val="22"/>
                <w:szCs w:val="22"/>
                <w:highlight w:val="yellow"/>
              </w:rPr>
            </w:pPr>
            <w:r w:rsidRPr="00B64020">
              <w:rPr>
                <w:rFonts w:ascii="Segoe UI" w:hAnsi="Segoe UI" w:cs="Segoe UI"/>
                <w:sz w:val="22"/>
              </w:rPr>
              <w:t>$4,268</w:t>
            </w:r>
          </w:p>
        </w:tc>
        <w:tc>
          <w:tcPr>
            <w:tcW w:w="1136" w:type="dxa"/>
            <w:shd w:val="clear" w:color="auto" w:fill="D9D9D6"/>
            <w:noWrap/>
            <w:vAlign w:val="center"/>
            <w:hideMark/>
          </w:tcPr>
          <w:p w14:paraId="6A7E13EB" w14:textId="0F56FB27" w:rsidR="0061637C" w:rsidRPr="00B64020" w:rsidRDefault="0061637C" w:rsidP="0061637C">
            <w:pPr>
              <w:spacing w:line="276" w:lineRule="auto"/>
              <w:jc w:val="right"/>
              <w:rPr>
                <w:rFonts w:ascii="Segoe UI" w:eastAsia="Times New Roman" w:hAnsi="Segoe UI" w:cs="Segoe UI"/>
                <w:b/>
                <w:bCs/>
                <w:color w:val="000000"/>
                <w:sz w:val="22"/>
                <w:szCs w:val="22"/>
                <w:highlight w:val="yellow"/>
              </w:rPr>
            </w:pPr>
            <w:r w:rsidRPr="00B64020">
              <w:rPr>
                <w:rFonts w:ascii="Segoe UI" w:hAnsi="Segoe UI" w:cs="Segoe UI"/>
                <w:sz w:val="22"/>
              </w:rPr>
              <w:t>$4,431</w:t>
            </w:r>
          </w:p>
        </w:tc>
        <w:tc>
          <w:tcPr>
            <w:tcW w:w="1136" w:type="dxa"/>
            <w:shd w:val="clear" w:color="auto" w:fill="D9D9D6"/>
            <w:noWrap/>
            <w:vAlign w:val="center"/>
            <w:hideMark/>
          </w:tcPr>
          <w:p w14:paraId="01CF0FF7" w14:textId="16EDC463" w:rsidR="0061637C" w:rsidRPr="00B64020" w:rsidRDefault="0061637C" w:rsidP="0061637C">
            <w:pPr>
              <w:spacing w:line="276" w:lineRule="auto"/>
              <w:jc w:val="right"/>
              <w:rPr>
                <w:rFonts w:ascii="Segoe UI" w:eastAsia="Times New Roman" w:hAnsi="Segoe UI" w:cs="Segoe UI"/>
                <w:b/>
                <w:bCs/>
                <w:color w:val="000000"/>
                <w:sz w:val="22"/>
                <w:szCs w:val="22"/>
                <w:highlight w:val="yellow"/>
              </w:rPr>
            </w:pPr>
            <w:r w:rsidRPr="00B64020">
              <w:rPr>
                <w:rFonts w:ascii="Segoe UI" w:hAnsi="Segoe UI" w:cs="Segoe UI"/>
                <w:sz w:val="22"/>
              </w:rPr>
              <w:t>$4,600</w:t>
            </w:r>
          </w:p>
        </w:tc>
        <w:tc>
          <w:tcPr>
            <w:tcW w:w="1137" w:type="dxa"/>
            <w:shd w:val="clear" w:color="auto" w:fill="D9D9D6"/>
            <w:noWrap/>
            <w:vAlign w:val="center"/>
            <w:hideMark/>
          </w:tcPr>
          <w:p w14:paraId="7FA4384A" w14:textId="3A93D84E" w:rsidR="0061637C" w:rsidRPr="00B64020" w:rsidRDefault="0061637C" w:rsidP="0061637C">
            <w:pPr>
              <w:spacing w:line="276" w:lineRule="auto"/>
              <w:jc w:val="right"/>
              <w:rPr>
                <w:rFonts w:ascii="Segoe UI" w:eastAsia="Times New Roman" w:hAnsi="Segoe UI" w:cs="Segoe UI"/>
                <w:b/>
                <w:bCs/>
                <w:color w:val="000000"/>
                <w:sz w:val="22"/>
                <w:szCs w:val="22"/>
                <w:highlight w:val="yellow"/>
              </w:rPr>
            </w:pPr>
            <w:r w:rsidRPr="00B64020">
              <w:rPr>
                <w:rFonts w:ascii="Segoe UI" w:hAnsi="Segoe UI" w:cs="Segoe UI"/>
                <w:sz w:val="22"/>
              </w:rPr>
              <w:t>$21,376</w:t>
            </w:r>
          </w:p>
        </w:tc>
      </w:tr>
      <w:tr w:rsidR="0061637C" w:rsidRPr="00CF6436" w14:paraId="63A39E3F" w14:textId="77777777" w:rsidTr="00B64020">
        <w:trPr>
          <w:trHeight w:val="704"/>
          <w:jc w:val="center"/>
        </w:trPr>
        <w:tc>
          <w:tcPr>
            <w:tcW w:w="3005" w:type="dxa"/>
            <w:vAlign w:val="center"/>
            <w:hideMark/>
          </w:tcPr>
          <w:p w14:paraId="4323AC03" w14:textId="33225E3A" w:rsidR="0061637C" w:rsidRPr="00777046" w:rsidRDefault="0061637C" w:rsidP="0061637C">
            <w:pPr>
              <w:spacing w:line="240" w:lineRule="auto"/>
              <w:rPr>
                <w:rFonts w:ascii="Segoe UI" w:eastAsia="Times New Roman" w:hAnsi="Segoe UI" w:cs="Segoe UI"/>
                <w:color w:val="000000"/>
                <w:szCs w:val="24"/>
              </w:rPr>
            </w:pPr>
            <w:r w:rsidRPr="17CECF10">
              <w:rPr>
                <w:rFonts w:ascii="Segoe UI" w:eastAsia="Times New Roman" w:hAnsi="Segoe UI" w:cs="Segoe UI"/>
                <w:color w:val="000000" w:themeColor="text1"/>
                <w:sz w:val="22"/>
                <w:szCs w:val="22"/>
              </w:rPr>
              <w:t>Alternative 4: Baseline—fee revenue</w:t>
            </w:r>
          </w:p>
        </w:tc>
        <w:tc>
          <w:tcPr>
            <w:tcW w:w="1135" w:type="dxa"/>
            <w:noWrap/>
            <w:vAlign w:val="center"/>
            <w:hideMark/>
          </w:tcPr>
          <w:p w14:paraId="4A8AB4EC" w14:textId="54DDEB5C" w:rsidR="0061637C" w:rsidRPr="00B64020" w:rsidRDefault="0061637C" w:rsidP="0061637C">
            <w:pPr>
              <w:spacing w:line="240" w:lineRule="auto"/>
              <w:jc w:val="right"/>
              <w:rPr>
                <w:rFonts w:ascii="Segoe UI" w:eastAsia="Times New Roman" w:hAnsi="Segoe UI" w:cs="Segoe UI"/>
                <w:color w:val="000000"/>
                <w:sz w:val="22"/>
                <w:szCs w:val="22"/>
                <w:highlight w:val="yellow"/>
              </w:rPr>
            </w:pPr>
            <w:r w:rsidRPr="00B64020">
              <w:rPr>
                <w:rFonts w:ascii="Segoe UI" w:hAnsi="Segoe UI" w:cs="Segoe UI"/>
                <w:sz w:val="22"/>
              </w:rPr>
              <w:t>$3,671</w:t>
            </w:r>
          </w:p>
        </w:tc>
        <w:tc>
          <w:tcPr>
            <w:tcW w:w="1136" w:type="dxa"/>
            <w:noWrap/>
            <w:vAlign w:val="center"/>
            <w:hideMark/>
          </w:tcPr>
          <w:p w14:paraId="464BA6AA" w14:textId="609B016F" w:rsidR="0061637C" w:rsidRPr="00B64020" w:rsidRDefault="0061637C" w:rsidP="0061637C">
            <w:pPr>
              <w:spacing w:line="276" w:lineRule="auto"/>
              <w:jc w:val="right"/>
              <w:rPr>
                <w:rFonts w:ascii="Segoe UI" w:eastAsia="Times New Roman" w:hAnsi="Segoe UI" w:cs="Segoe UI"/>
                <w:color w:val="000000"/>
                <w:sz w:val="22"/>
                <w:szCs w:val="22"/>
                <w:highlight w:val="yellow"/>
              </w:rPr>
            </w:pPr>
            <w:r w:rsidRPr="00B64020">
              <w:rPr>
                <w:rFonts w:ascii="Segoe UI" w:hAnsi="Segoe UI" w:cs="Segoe UI"/>
                <w:sz w:val="22"/>
              </w:rPr>
              <w:t>$3,804</w:t>
            </w:r>
          </w:p>
        </w:tc>
        <w:tc>
          <w:tcPr>
            <w:tcW w:w="1136" w:type="dxa"/>
            <w:noWrap/>
            <w:vAlign w:val="center"/>
            <w:hideMark/>
          </w:tcPr>
          <w:p w14:paraId="5F4594EF" w14:textId="3592F76F" w:rsidR="0061637C" w:rsidRPr="00B64020" w:rsidRDefault="0061637C" w:rsidP="0061637C">
            <w:pPr>
              <w:spacing w:line="276" w:lineRule="auto"/>
              <w:jc w:val="right"/>
              <w:rPr>
                <w:rFonts w:ascii="Segoe UI" w:eastAsia="Times New Roman" w:hAnsi="Segoe UI" w:cs="Segoe UI"/>
                <w:color w:val="000000"/>
                <w:sz w:val="22"/>
                <w:szCs w:val="22"/>
                <w:highlight w:val="yellow"/>
              </w:rPr>
            </w:pPr>
            <w:r w:rsidRPr="00B64020">
              <w:rPr>
                <w:rFonts w:ascii="Segoe UI" w:hAnsi="Segoe UI" w:cs="Segoe UI"/>
                <w:sz w:val="22"/>
              </w:rPr>
              <w:t>$3,901</w:t>
            </w:r>
          </w:p>
        </w:tc>
        <w:tc>
          <w:tcPr>
            <w:tcW w:w="1136" w:type="dxa"/>
            <w:noWrap/>
            <w:vAlign w:val="center"/>
            <w:hideMark/>
          </w:tcPr>
          <w:p w14:paraId="0B6F721D" w14:textId="622B3DAE" w:rsidR="0061637C" w:rsidRPr="00B64020" w:rsidRDefault="0061637C" w:rsidP="0061637C">
            <w:pPr>
              <w:spacing w:line="276" w:lineRule="auto"/>
              <w:jc w:val="right"/>
              <w:rPr>
                <w:rFonts w:ascii="Segoe UI" w:eastAsia="Times New Roman" w:hAnsi="Segoe UI" w:cs="Segoe UI"/>
                <w:color w:val="000000"/>
                <w:sz w:val="22"/>
                <w:szCs w:val="22"/>
                <w:highlight w:val="yellow"/>
              </w:rPr>
            </w:pPr>
            <w:r w:rsidRPr="00B64020">
              <w:rPr>
                <w:rFonts w:ascii="Segoe UI" w:hAnsi="Segoe UI" w:cs="Segoe UI"/>
                <w:sz w:val="22"/>
              </w:rPr>
              <w:t>$3,868</w:t>
            </w:r>
          </w:p>
        </w:tc>
        <w:tc>
          <w:tcPr>
            <w:tcW w:w="1136" w:type="dxa"/>
            <w:noWrap/>
            <w:vAlign w:val="center"/>
            <w:hideMark/>
          </w:tcPr>
          <w:p w14:paraId="4D797B7B" w14:textId="2FEA2CAE" w:rsidR="0061637C" w:rsidRPr="00B64020" w:rsidRDefault="0061637C" w:rsidP="0061637C">
            <w:pPr>
              <w:spacing w:line="276" w:lineRule="auto"/>
              <w:jc w:val="right"/>
              <w:rPr>
                <w:rFonts w:ascii="Segoe UI" w:eastAsia="Times New Roman" w:hAnsi="Segoe UI" w:cs="Segoe UI"/>
                <w:color w:val="000000"/>
                <w:sz w:val="22"/>
                <w:szCs w:val="22"/>
                <w:highlight w:val="yellow"/>
              </w:rPr>
            </w:pPr>
            <w:r w:rsidRPr="00B64020">
              <w:rPr>
                <w:rFonts w:ascii="Segoe UI" w:hAnsi="Segoe UI" w:cs="Segoe UI"/>
                <w:sz w:val="22"/>
              </w:rPr>
              <w:t>$3,873</w:t>
            </w:r>
          </w:p>
        </w:tc>
        <w:tc>
          <w:tcPr>
            <w:tcW w:w="1137" w:type="dxa"/>
            <w:noWrap/>
            <w:vAlign w:val="center"/>
            <w:hideMark/>
          </w:tcPr>
          <w:p w14:paraId="4882F952" w14:textId="45C0DB57" w:rsidR="0061637C" w:rsidRPr="00B64020" w:rsidRDefault="0061637C" w:rsidP="0061637C">
            <w:pPr>
              <w:spacing w:line="276" w:lineRule="auto"/>
              <w:jc w:val="right"/>
              <w:rPr>
                <w:rFonts w:ascii="Segoe UI" w:eastAsia="Times New Roman" w:hAnsi="Segoe UI" w:cs="Segoe UI"/>
                <w:color w:val="000000"/>
                <w:sz w:val="22"/>
                <w:szCs w:val="22"/>
                <w:highlight w:val="yellow"/>
              </w:rPr>
            </w:pPr>
            <w:r w:rsidRPr="00B64020">
              <w:rPr>
                <w:rFonts w:ascii="Segoe UI" w:hAnsi="Segoe UI" w:cs="Segoe UI"/>
                <w:sz w:val="22"/>
              </w:rPr>
              <w:t>$19,117</w:t>
            </w:r>
          </w:p>
        </w:tc>
      </w:tr>
      <w:tr w:rsidR="0061637C" w:rsidRPr="00CF6436" w14:paraId="52E5EC97" w14:textId="77777777" w:rsidTr="00B64020">
        <w:trPr>
          <w:trHeight w:val="324"/>
          <w:jc w:val="center"/>
        </w:trPr>
        <w:tc>
          <w:tcPr>
            <w:tcW w:w="3005" w:type="dxa"/>
            <w:vAlign w:val="center"/>
            <w:hideMark/>
          </w:tcPr>
          <w:p w14:paraId="16FAC077" w14:textId="01867DF7" w:rsidR="0061637C" w:rsidRPr="00777046" w:rsidRDefault="0061637C" w:rsidP="0061637C">
            <w:pPr>
              <w:spacing w:line="240" w:lineRule="auto"/>
              <w:rPr>
                <w:rFonts w:ascii="Segoe UI" w:eastAsia="Times New Roman" w:hAnsi="Segoe UI" w:cs="Segoe UI"/>
                <w:color w:val="000000"/>
                <w:szCs w:val="24"/>
              </w:rPr>
            </w:pPr>
            <w:r w:rsidRPr="17CECF10">
              <w:rPr>
                <w:rFonts w:ascii="Segoe UI" w:eastAsia="Times New Roman" w:hAnsi="Segoe UI" w:cs="Segoe UI"/>
                <w:color w:val="000000" w:themeColor="text1"/>
                <w:sz w:val="22"/>
                <w:szCs w:val="22"/>
              </w:rPr>
              <w:t>Other income</w:t>
            </w:r>
          </w:p>
        </w:tc>
        <w:tc>
          <w:tcPr>
            <w:tcW w:w="1135" w:type="dxa"/>
            <w:noWrap/>
            <w:vAlign w:val="center"/>
            <w:hideMark/>
          </w:tcPr>
          <w:p w14:paraId="2CB64616" w14:textId="12AB6110" w:rsidR="0061637C" w:rsidRPr="00B64020" w:rsidRDefault="0061637C" w:rsidP="0061637C">
            <w:pPr>
              <w:spacing w:line="240" w:lineRule="auto"/>
              <w:jc w:val="right"/>
              <w:rPr>
                <w:rFonts w:ascii="Segoe UI" w:eastAsia="Times New Roman" w:hAnsi="Segoe UI" w:cs="Segoe UI"/>
                <w:color w:val="000000"/>
                <w:sz w:val="22"/>
                <w:szCs w:val="22"/>
                <w:highlight w:val="yellow"/>
              </w:rPr>
            </w:pPr>
            <w:r w:rsidRPr="00B64020">
              <w:rPr>
                <w:rFonts w:ascii="Segoe UI" w:hAnsi="Segoe UI" w:cs="Segoe UI"/>
                <w:sz w:val="22"/>
              </w:rPr>
              <w:t>$50</w:t>
            </w:r>
          </w:p>
        </w:tc>
        <w:tc>
          <w:tcPr>
            <w:tcW w:w="1136" w:type="dxa"/>
            <w:noWrap/>
            <w:vAlign w:val="center"/>
            <w:hideMark/>
          </w:tcPr>
          <w:p w14:paraId="67AB7DF3" w14:textId="53B76F17" w:rsidR="0061637C" w:rsidRPr="00B64020" w:rsidRDefault="0061637C" w:rsidP="0061637C">
            <w:pPr>
              <w:spacing w:line="276" w:lineRule="auto"/>
              <w:jc w:val="right"/>
              <w:rPr>
                <w:rFonts w:ascii="Segoe UI" w:eastAsia="Times New Roman" w:hAnsi="Segoe UI" w:cs="Segoe UI"/>
                <w:color w:val="000000"/>
                <w:sz w:val="22"/>
                <w:szCs w:val="22"/>
                <w:highlight w:val="yellow"/>
              </w:rPr>
            </w:pPr>
            <w:r w:rsidRPr="00B64020">
              <w:rPr>
                <w:rFonts w:ascii="Segoe UI" w:hAnsi="Segoe UI" w:cs="Segoe UI"/>
                <w:sz w:val="22"/>
              </w:rPr>
              <w:t>$50</w:t>
            </w:r>
          </w:p>
        </w:tc>
        <w:tc>
          <w:tcPr>
            <w:tcW w:w="1136" w:type="dxa"/>
            <w:noWrap/>
            <w:vAlign w:val="center"/>
            <w:hideMark/>
          </w:tcPr>
          <w:p w14:paraId="390BC9D1" w14:textId="3F2D9BC0" w:rsidR="0061637C" w:rsidRPr="00B64020" w:rsidRDefault="0061637C" w:rsidP="0061637C">
            <w:pPr>
              <w:spacing w:line="276" w:lineRule="auto"/>
              <w:jc w:val="right"/>
              <w:rPr>
                <w:rFonts w:ascii="Segoe UI" w:eastAsia="Times New Roman" w:hAnsi="Segoe UI" w:cs="Segoe UI"/>
                <w:color w:val="000000"/>
                <w:sz w:val="22"/>
                <w:szCs w:val="22"/>
                <w:highlight w:val="yellow"/>
              </w:rPr>
            </w:pPr>
            <w:r w:rsidRPr="00B64020">
              <w:rPr>
                <w:rFonts w:ascii="Segoe UI" w:hAnsi="Segoe UI" w:cs="Segoe UI"/>
                <w:sz w:val="22"/>
              </w:rPr>
              <w:t>$50</w:t>
            </w:r>
          </w:p>
        </w:tc>
        <w:tc>
          <w:tcPr>
            <w:tcW w:w="1136" w:type="dxa"/>
            <w:noWrap/>
            <w:vAlign w:val="center"/>
            <w:hideMark/>
          </w:tcPr>
          <w:p w14:paraId="144A180B" w14:textId="53BCD8C9" w:rsidR="0061637C" w:rsidRPr="00B64020" w:rsidRDefault="0061637C" w:rsidP="0061637C">
            <w:pPr>
              <w:spacing w:line="276" w:lineRule="auto"/>
              <w:jc w:val="right"/>
              <w:rPr>
                <w:rFonts w:ascii="Segoe UI" w:eastAsia="Times New Roman" w:hAnsi="Segoe UI" w:cs="Segoe UI"/>
                <w:color w:val="000000"/>
                <w:sz w:val="22"/>
                <w:szCs w:val="22"/>
                <w:highlight w:val="yellow"/>
              </w:rPr>
            </w:pPr>
            <w:r w:rsidRPr="00B64020">
              <w:rPr>
                <w:rFonts w:ascii="Segoe UI" w:hAnsi="Segoe UI" w:cs="Segoe UI"/>
                <w:sz w:val="22"/>
              </w:rPr>
              <w:t>$50</w:t>
            </w:r>
          </w:p>
        </w:tc>
        <w:tc>
          <w:tcPr>
            <w:tcW w:w="1136" w:type="dxa"/>
            <w:noWrap/>
            <w:vAlign w:val="center"/>
            <w:hideMark/>
          </w:tcPr>
          <w:p w14:paraId="79890B8D" w14:textId="0ED56E2A" w:rsidR="0061637C" w:rsidRPr="00B64020" w:rsidRDefault="0061637C" w:rsidP="0061637C">
            <w:pPr>
              <w:spacing w:line="276" w:lineRule="auto"/>
              <w:jc w:val="right"/>
              <w:rPr>
                <w:rFonts w:ascii="Segoe UI" w:eastAsia="Times New Roman" w:hAnsi="Segoe UI" w:cs="Segoe UI"/>
                <w:color w:val="000000"/>
                <w:sz w:val="22"/>
                <w:szCs w:val="22"/>
                <w:highlight w:val="yellow"/>
              </w:rPr>
            </w:pPr>
            <w:r w:rsidRPr="00B64020">
              <w:rPr>
                <w:rFonts w:ascii="Segoe UI" w:hAnsi="Segoe UI" w:cs="Segoe UI"/>
                <w:sz w:val="22"/>
              </w:rPr>
              <w:t>$50</w:t>
            </w:r>
          </w:p>
        </w:tc>
        <w:tc>
          <w:tcPr>
            <w:tcW w:w="1137" w:type="dxa"/>
            <w:noWrap/>
            <w:vAlign w:val="center"/>
            <w:hideMark/>
          </w:tcPr>
          <w:p w14:paraId="198D0AD9" w14:textId="2CEFFE40" w:rsidR="0061637C" w:rsidRPr="00B64020" w:rsidRDefault="0061637C" w:rsidP="0061637C">
            <w:pPr>
              <w:spacing w:line="276" w:lineRule="auto"/>
              <w:jc w:val="right"/>
              <w:rPr>
                <w:rFonts w:ascii="Segoe UI" w:eastAsia="Times New Roman" w:hAnsi="Segoe UI" w:cs="Segoe UI"/>
                <w:color w:val="000000"/>
                <w:sz w:val="22"/>
                <w:szCs w:val="22"/>
                <w:highlight w:val="yellow"/>
              </w:rPr>
            </w:pPr>
            <w:r w:rsidRPr="00B64020">
              <w:rPr>
                <w:rFonts w:ascii="Segoe UI" w:hAnsi="Segoe UI" w:cs="Segoe UI"/>
                <w:sz w:val="22"/>
              </w:rPr>
              <w:t>$250</w:t>
            </w:r>
          </w:p>
        </w:tc>
      </w:tr>
      <w:tr w:rsidR="0061637C" w:rsidRPr="00CF6436" w14:paraId="0C5A9290" w14:textId="77777777" w:rsidTr="00B64020">
        <w:trPr>
          <w:trHeight w:val="324"/>
          <w:jc w:val="center"/>
        </w:trPr>
        <w:tc>
          <w:tcPr>
            <w:tcW w:w="3005" w:type="dxa"/>
            <w:shd w:val="clear" w:color="auto" w:fill="D9D9D6"/>
            <w:vAlign w:val="center"/>
            <w:hideMark/>
          </w:tcPr>
          <w:p w14:paraId="59B23AD0" w14:textId="43101BB4" w:rsidR="0061637C" w:rsidRPr="00777046" w:rsidRDefault="0061637C" w:rsidP="0061637C">
            <w:pPr>
              <w:spacing w:line="240" w:lineRule="auto"/>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szCs w:val="22"/>
              </w:rPr>
              <w:t>Aggregate revenue</w:t>
            </w:r>
          </w:p>
        </w:tc>
        <w:tc>
          <w:tcPr>
            <w:tcW w:w="1135" w:type="dxa"/>
            <w:shd w:val="clear" w:color="auto" w:fill="D9D9D6"/>
            <w:noWrap/>
            <w:vAlign w:val="center"/>
            <w:hideMark/>
          </w:tcPr>
          <w:p w14:paraId="2587353A" w14:textId="0DF9B18C" w:rsidR="0061637C" w:rsidRPr="00B64020" w:rsidRDefault="0061637C" w:rsidP="0061637C">
            <w:pPr>
              <w:spacing w:line="240" w:lineRule="auto"/>
              <w:jc w:val="right"/>
              <w:rPr>
                <w:rFonts w:ascii="Segoe UI" w:eastAsia="Times New Roman" w:hAnsi="Segoe UI" w:cs="Segoe UI"/>
                <w:b/>
                <w:bCs/>
                <w:color w:val="000000"/>
                <w:sz w:val="22"/>
                <w:szCs w:val="22"/>
                <w:highlight w:val="yellow"/>
              </w:rPr>
            </w:pPr>
            <w:r w:rsidRPr="00B64020">
              <w:rPr>
                <w:rFonts w:ascii="Segoe UI" w:hAnsi="Segoe UI" w:cs="Segoe UI"/>
                <w:sz w:val="22"/>
              </w:rPr>
              <w:t>$3,721</w:t>
            </w:r>
          </w:p>
        </w:tc>
        <w:tc>
          <w:tcPr>
            <w:tcW w:w="1136" w:type="dxa"/>
            <w:shd w:val="clear" w:color="auto" w:fill="D9D9D6"/>
            <w:noWrap/>
            <w:vAlign w:val="center"/>
            <w:hideMark/>
          </w:tcPr>
          <w:p w14:paraId="4F11A89E" w14:textId="3F1D0899" w:rsidR="0061637C" w:rsidRPr="00B64020" w:rsidRDefault="0061637C" w:rsidP="0061637C">
            <w:pPr>
              <w:spacing w:line="276" w:lineRule="auto"/>
              <w:jc w:val="right"/>
              <w:rPr>
                <w:rFonts w:ascii="Segoe UI" w:eastAsia="Times New Roman" w:hAnsi="Segoe UI" w:cs="Segoe UI"/>
                <w:b/>
                <w:bCs/>
                <w:color w:val="000000"/>
                <w:sz w:val="22"/>
                <w:szCs w:val="22"/>
                <w:highlight w:val="yellow"/>
              </w:rPr>
            </w:pPr>
            <w:r w:rsidRPr="00B64020">
              <w:rPr>
                <w:rFonts w:ascii="Segoe UI" w:hAnsi="Segoe UI" w:cs="Segoe UI"/>
                <w:sz w:val="22"/>
              </w:rPr>
              <w:t>$3,854</w:t>
            </w:r>
          </w:p>
        </w:tc>
        <w:tc>
          <w:tcPr>
            <w:tcW w:w="1136" w:type="dxa"/>
            <w:shd w:val="clear" w:color="auto" w:fill="D9D9D6"/>
            <w:noWrap/>
            <w:vAlign w:val="center"/>
            <w:hideMark/>
          </w:tcPr>
          <w:p w14:paraId="737E983A" w14:textId="57DFAD06" w:rsidR="0061637C" w:rsidRPr="00B64020" w:rsidRDefault="0061637C" w:rsidP="0061637C">
            <w:pPr>
              <w:spacing w:line="276" w:lineRule="auto"/>
              <w:jc w:val="right"/>
              <w:rPr>
                <w:rFonts w:ascii="Segoe UI" w:eastAsia="Times New Roman" w:hAnsi="Segoe UI" w:cs="Segoe UI"/>
                <w:b/>
                <w:bCs/>
                <w:color w:val="000000"/>
                <w:sz w:val="22"/>
                <w:szCs w:val="22"/>
                <w:highlight w:val="yellow"/>
              </w:rPr>
            </w:pPr>
            <w:r w:rsidRPr="00B64020">
              <w:rPr>
                <w:rFonts w:ascii="Segoe UI" w:hAnsi="Segoe UI" w:cs="Segoe UI"/>
                <w:sz w:val="22"/>
              </w:rPr>
              <w:t>$3,951</w:t>
            </w:r>
          </w:p>
        </w:tc>
        <w:tc>
          <w:tcPr>
            <w:tcW w:w="1136" w:type="dxa"/>
            <w:shd w:val="clear" w:color="auto" w:fill="D9D9D6"/>
            <w:noWrap/>
            <w:vAlign w:val="center"/>
            <w:hideMark/>
          </w:tcPr>
          <w:p w14:paraId="5AA2D950" w14:textId="3AFD980C" w:rsidR="0061637C" w:rsidRPr="00B64020" w:rsidRDefault="0061637C" w:rsidP="0061637C">
            <w:pPr>
              <w:spacing w:line="276" w:lineRule="auto"/>
              <w:jc w:val="right"/>
              <w:rPr>
                <w:rFonts w:ascii="Segoe UI" w:eastAsia="Times New Roman" w:hAnsi="Segoe UI" w:cs="Segoe UI"/>
                <w:b/>
                <w:bCs/>
                <w:color w:val="000000"/>
                <w:sz w:val="22"/>
                <w:szCs w:val="22"/>
                <w:highlight w:val="yellow"/>
              </w:rPr>
            </w:pPr>
            <w:r w:rsidRPr="00B64020">
              <w:rPr>
                <w:rFonts w:ascii="Segoe UI" w:hAnsi="Segoe UI" w:cs="Segoe UI"/>
                <w:sz w:val="22"/>
              </w:rPr>
              <w:t>$3,918</w:t>
            </w:r>
          </w:p>
        </w:tc>
        <w:tc>
          <w:tcPr>
            <w:tcW w:w="1136" w:type="dxa"/>
            <w:shd w:val="clear" w:color="auto" w:fill="D9D9D6"/>
            <w:noWrap/>
            <w:vAlign w:val="center"/>
            <w:hideMark/>
          </w:tcPr>
          <w:p w14:paraId="3477AFCC" w14:textId="2DBEC82C" w:rsidR="0061637C" w:rsidRPr="00B64020" w:rsidRDefault="0061637C" w:rsidP="0061637C">
            <w:pPr>
              <w:spacing w:line="276" w:lineRule="auto"/>
              <w:jc w:val="right"/>
              <w:rPr>
                <w:rFonts w:ascii="Segoe UI" w:eastAsia="Times New Roman" w:hAnsi="Segoe UI" w:cs="Segoe UI"/>
                <w:b/>
                <w:bCs/>
                <w:color w:val="000000"/>
                <w:sz w:val="22"/>
                <w:szCs w:val="22"/>
                <w:highlight w:val="yellow"/>
              </w:rPr>
            </w:pPr>
            <w:r w:rsidRPr="00B64020">
              <w:rPr>
                <w:rFonts w:ascii="Segoe UI" w:hAnsi="Segoe UI" w:cs="Segoe UI"/>
                <w:sz w:val="22"/>
              </w:rPr>
              <w:t>$3,923</w:t>
            </w:r>
          </w:p>
        </w:tc>
        <w:tc>
          <w:tcPr>
            <w:tcW w:w="1137" w:type="dxa"/>
            <w:shd w:val="clear" w:color="auto" w:fill="D9D9D6"/>
            <w:noWrap/>
            <w:vAlign w:val="center"/>
            <w:hideMark/>
          </w:tcPr>
          <w:p w14:paraId="6EA007DD" w14:textId="0B120239" w:rsidR="0061637C" w:rsidRPr="00B64020" w:rsidRDefault="0061637C" w:rsidP="0061637C">
            <w:pPr>
              <w:spacing w:line="276" w:lineRule="auto"/>
              <w:jc w:val="right"/>
              <w:rPr>
                <w:rFonts w:ascii="Segoe UI" w:eastAsia="Times New Roman" w:hAnsi="Segoe UI" w:cs="Segoe UI"/>
                <w:b/>
                <w:bCs/>
                <w:color w:val="000000"/>
                <w:sz w:val="22"/>
                <w:szCs w:val="22"/>
                <w:highlight w:val="yellow"/>
              </w:rPr>
            </w:pPr>
            <w:r w:rsidRPr="00B64020">
              <w:rPr>
                <w:rFonts w:ascii="Segoe UI" w:hAnsi="Segoe UI" w:cs="Segoe UI"/>
                <w:sz w:val="22"/>
              </w:rPr>
              <w:t>$19,367</w:t>
            </w:r>
          </w:p>
        </w:tc>
      </w:tr>
      <w:tr w:rsidR="0061637C" w:rsidRPr="00CF6436" w14:paraId="6269DD1F" w14:textId="77777777" w:rsidTr="00B64020">
        <w:trPr>
          <w:trHeight w:val="324"/>
          <w:jc w:val="center"/>
        </w:trPr>
        <w:tc>
          <w:tcPr>
            <w:tcW w:w="3005" w:type="dxa"/>
            <w:vAlign w:val="center"/>
            <w:hideMark/>
          </w:tcPr>
          <w:p w14:paraId="09B559BC" w14:textId="4375AD72" w:rsidR="0061637C" w:rsidRPr="00777046" w:rsidRDefault="0061637C" w:rsidP="0061637C">
            <w:pPr>
              <w:spacing w:line="240" w:lineRule="auto"/>
              <w:rPr>
                <w:rFonts w:ascii="Segoe UI" w:eastAsia="Times New Roman" w:hAnsi="Segoe UI" w:cs="Segoe UI"/>
                <w:color w:val="000000"/>
                <w:szCs w:val="24"/>
              </w:rPr>
            </w:pPr>
            <w:r w:rsidRPr="17CECF10">
              <w:rPr>
                <w:rFonts w:ascii="Segoe UI" w:eastAsia="Times New Roman" w:hAnsi="Segoe UI" w:cs="Segoe UI"/>
                <w:color w:val="000000" w:themeColor="text1"/>
                <w:sz w:val="22"/>
                <w:szCs w:val="22"/>
              </w:rPr>
              <w:t>Operating reserve</w:t>
            </w:r>
          </w:p>
        </w:tc>
        <w:tc>
          <w:tcPr>
            <w:tcW w:w="1135" w:type="dxa"/>
            <w:noWrap/>
            <w:vAlign w:val="center"/>
            <w:hideMark/>
          </w:tcPr>
          <w:p w14:paraId="0D403659" w14:textId="4CEC0E10" w:rsidR="0061637C" w:rsidRPr="00B64020" w:rsidRDefault="0061637C" w:rsidP="0061637C">
            <w:pPr>
              <w:spacing w:line="240" w:lineRule="auto"/>
              <w:jc w:val="right"/>
              <w:rPr>
                <w:rFonts w:ascii="Segoe UI" w:eastAsia="Times New Roman" w:hAnsi="Segoe UI" w:cs="Segoe UI"/>
                <w:color w:val="000000"/>
                <w:sz w:val="22"/>
                <w:szCs w:val="22"/>
                <w:highlight w:val="yellow"/>
              </w:rPr>
            </w:pPr>
            <w:r w:rsidRPr="00B64020">
              <w:rPr>
                <w:rFonts w:ascii="Segoe UI" w:hAnsi="Segoe UI" w:cs="Segoe UI"/>
                <w:sz w:val="22"/>
              </w:rPr>
              <w:t>$485</w:t>
            </w:r>
          </w:p>
        </w:tc>
        <w:tc>
          <w:tcPr>
            <w:tcW w:w="1136" w:type="dxa"/>
            <w:noWrap/>
            <w:vAlign w:val="center"/>
            <w:hideMark/>
          </w:tcPr>
          <w:p w14:paraId="7371BEE2" w14:textId="285C4FE6" w:rsidR="0061637C" w:rsidRPr="00B64020" w:rsidRDefault="0061637C" w:rsidP="0061637C">
            <w:pPr>
              <w:spacing w:line="276" w:lineRule="auto"/>
              <w:jc w:val="right"/>
              <w:rPr>
                <w:rFonts w:ascii="Segoe UI" w:eastAsia="Times New Roman" w:hAnsi="Segoe UI" w:cs="Segoe UI"/>
                <w:color w:val="000000"/>
                <w:sz w:val="22"/>
                <w:szCs w:val="22"/>
                <w:highlight w:val="yellow"/>
              </w:rPr>
            </w:pPr>
            <w:r w:rsidRPr="00B64020">
              <w:rPr>
                <w:rFonts w:ascii="Segoe UI" w:hAnsi="Segoe UI" w:cs="Segoe UI"/>
                <w:sz w:val="22"/>
              </w:rPr>
              <w:t>($733)</w:t>
            </w:r>
          </w:p>
        </w:tc>
        <w:tc>
          <w:tcPr>
            <w:tcW w:w="1136" w:type="dxa"/>
            <w:noWrap/>
            <w:vAlign w:val="center"/>
            <w:hideMark/>
          </w:tcPr>
          <w:p w14:paraId="6DB4DA09" w14:textId="7871EE23" w:rsidR="0061637C" w:rsidRPr="00B64020" w:rsidRDefault="0061637C" w:rsidP="0061637C">
            <w:pPr>
              <w:spacing w:line="276" w:lineRule="auto"/>
              <w:jc w:val="right"/>
              <w:rPr>
                <w:rFonts w:ascii="Segoe UI" w:eastAsia="Times New Roman" w:hAnsi="Segoe UI" w:cs="Segoe UI"/>
                <w:color w:val="000000"/>
                <w:sz w:val="22"/>
                <w:szCs w:val="22"/>
                <w:highlight w:val="yellow"/>
              </w:rPr>
            </w:pPr>
            <w:r w:rsidRPr="00B64020">
              <w:rPr>
                <w:rFonts w:ascii="Segoe UI" w:hAnsi="Segoe UI" w:cs="Segoe UI"/>
                <w:sz w:val="22"/>
              </w:rPr>
              <w:t>($1,050)</w:t>
            </w:r>
          </w:p>
        </w:tc>
        <w:tc>
          <w:tcPr>
            <w:tcW w:w="1136" w:type="dxa"/>
            <w:noWrap/>
            <w:vAlign w:val="center"/>
            <w:hideMark/>
          </w:tcPr>
          <w:p w14:paraId="4E1D87E0" w14:textId="45C9AEC6" w:rsidR="0061637C" w:rsidRPr="00B64020" w:rsidRDefault="0061637C" w:rsidP="0061637C">
            <w:pPr>
              <w:spacing w:line="276" w:lineRule="auto"/>
              <w:jc w:val="right"/>
              <w:rPr>
                <w:rFonts w:ascii="Segoe UI" w:eastAsia="Times New Roman" w:hAnsi="Segoe UI" w:cs="Segoe UI"/>
                <w:color w:val="000000"/>
                <w:sz w:val="22"/>
                <w:szCs w:val="22"/>
                <w:highlight w:val="yellow"/>
              </w:rPr>
            </w:pPr>
            <w:r w:rsidRPr="00B64020">
              <w:rPr>
                <w:rFonts w:ascii="Segoe UI" w:hAnsi="Segoe UI" w:cs="Segoe UI"/>
                <w:sz w:val="22"/>
              </w:rPr>
              <w:t>($1,563)</w:t>
            </w:r>
          </w:p>
        </w:tc>
        <w:tc>
          <w:tcPr>
            <w:tcW w:w="1136" w:type="dxa"/>
            <w:noWrap/>
            <w:vAlign w:val="center"/>
            <w:hideMark/>
          </w:tcPr>
          <w:p w14:paraId="5DF278E9" w14:textId="6542B7B8" w:rsidR="0061637C" w:rsidRPr="00B64020" w:rsidRDefault="0061637C" w:rsidP="0061637C">
            <w:pPr>
              <w:spacing w:line="276" w:lineRule="auto"/>
              <w:jc w:val="right"/>
              <w:rPr>
                <w:rFonts w:ascii="Segoe UI" w:eastAsia="Times New Roman" w:hAnsi="Segoe UI" w:cs="Segoe UI"/>
                <w:color w:val="000000"/>
                <w:sz w:val="22"/>
                <w:szCs w:val="22"/>
                <w:highlight w:val="yellow"/>
              </w:rPr>
            </w:pPr>
            <w:r w:rsidRPr="00B64020">
              <w:rPr>
                <w:rFonts w:ascii="Segoe UI" w:hAnsi="Segoe UI" w:cs="Segoe UI"/>
                <w:sz w:val="22"/>
              </w:rPr>
              <w:t>($2,239)</w:t>
            </w:r>
          </w:p>
        </w:tc>
        <w:tc>
          <w:tcPr>
            <w:tcW w:w="1137" w:type="dxa"/>
            <w:noWrap/>
            <w:vAlign w:val="center"/>
            <w:hideMark/>
          </w:tcPr>
          <w:p w14:paraId="3A1568FF" w14:textId="181B0260" w:rsidR="0061637C" w:rsidRPr="00B64020" w:rsidRDefault="0061637C" w:rsidP="0061637C">
            <w:pPr>
              <w:spacing w:line="276" w:lineRule="auto"/>
              <w:jc w:val="right"/>
              <w:rPr>
                <w:rFonts w:ascii="Segoe UI" w:hAnsi="Segoe UI" w:cs="Segoe UI"/>
                <w:sz w:val="22"/>
                <w:szCs w:val="22"/>
              </w:rPr>
            </w:pPr>
          </w:p>
        </w:tc>
      </w:tr>
      <w:tr w:rsidR="0061637C" w:rsidRPr="00CF6436" w14:paraId="102C809F" w14:textId="77777777" w:rsidTr="00B64020">
        <w:trPr>
          <w:trHeight w:val="290"/>
          <w:jc w:val="center"/>
        </w:trPr>
        <w:tc>
          <w:tcPr>
            <w:tcW w:w="3005" w:type="dxa"/>
            <w:vAlign w:val="center"/>
            <w:hideMark/>
          </w:tcPr>
          <w:p w14:paraId="1254C9FA" w14:textId="5C9B801B" w:rsidR="0061637C" w:rsidRPr="00777046" w:rsidRDefault="0061637C" w:rsidP="0061637C">
            <w:pPr>
              <w:spacing w:line="240" w:lineRule="auto"/>
              <w:rPr>
                <w:rFonts w:ascii="Segoe UI" w:eastAsia="Times New Roman" w:hAnsi="Segoe UI" w:cs="Segoe UI"/>
                <w:color w:val="000000"/>
                <w:szCs w:val="24"/>
              </w:rPr>
            </w:pPr>
            <w:r w:rsidRPr="17CECF10">
              <w:rPr>
                <w:rFonts w:ascii="Segoe UI" w:eastAsia="Times New Roman" w:hAnsi="Segoe UI" w:cs="Segoe UI"/>
                <w:color w:val="000000" w:themeColor="text1"/>
                <w:sz w:val="22"/>
                <w:szCs w:val="22"/>
              </w:rPr>
              <w:t>Optimal operating reserve</w:t>
            </w:r>
          </w:p>
        </w:tc>
        <w:tc>
          <w:tcPr>
            <w:tcW w:w="1135" w:type="dxa"/>
            <w:noWrap/>
            <w:vAlign w:val="center"/>
            <w:hideMark/>
          </w:tcPr>
          <w:p w14:paraId="59D53BE2" w14:textId="16E44EFC" w:rsidR="0061637C" w:rsidRPr="00B64020" w:rsidRDefault="0061637C" w:rsidP="0061637C">
            <w:pPr>
              <w:spacing w:line="240" w:lineRule="auto"/>
              <w:jc w:val="right"/>
              <w:rPr>
                <w:rFonts w:ascii="Segoe UI" w:eastAsia="Times New Roman" w:hAnsi="Segoe UI" w:cs="Segoe UI"/>
                <w:color w:val="000000"/>
                <w:sz w:val="22"/>
                <w:szCs w:val="22"/>
                <w:highlight w:val="yellow"/>
              </w:rPr>
            </w:pPr>
            <w:r w:rsidRPr="00B64020">
              <w:rPr>
                <w:rFonts w:ascii="Segoe UI" w:hAnsi="Segoe UI" w:cs="Segoe UI"/>
                <w:sz w:val="22"/>
              </w:rPr>
              <w:t>$874</w:t>
            </w:r>
          </w:p>
        </w:tc>
        <w:tc>
          <w:tcPr>
            <w:tcW w:w="1136" w:type="dxa"/>
            <w:noWrap/>
            <w:vAlign w:val="center"/>
            <w:hideMark/>
          </w:tcPr>
          <w:p w14:paraId="6467328D" w14:textId="4FB6E4D9" w:rsidR="0061637C" w:rsidRPr="00B64020" w:rsidRDefault="0061637C" w:rsidP="0061637C">
            <w:pPr>
              <w:spacing w:line="276" w:lineRule="auto"/>
              <w:jc w:val="right"/>
              <w:rPr>
                <w:rFonts w:ascii="Segoe UI" w:eastAsia="Times New Roman" w:hAnsi="Segoe UI" w:cs="Segoe UI"/>
                <w:color w:val="000000"/>
                <w:sz w:val="22"/>
                <w:szCs w:val="22"/>
                <w:highlight w:val="yellow"/>
              </w:rPr>
            </w:pPr>
            <w:r w:rsidRPr="00B64020">
              <w:rPr>
                <w:rFonts w:ascii="Segoe UI" w:hAnsi="Segoe UI" w:cs="Segoe UI"/>
                <w:sz w:val="22"/>
              </w:rPr>
              <w:t>$902</w:t>
            </w:r>
          </w:p>
        </w:tc>
        <w:tc>
          <w:tcPr>
            <w:tcW w:w="1136" w:type="dxa"/>
            <w:noWrap/>
            <w:vAlign w:val="center"/>
            <w:hideMark/>
          </w:tcPr>
          <w:p w14:paraId="660B492D" w14:textId="367647BA" w:rsidR="0061637C" w:rsidRPr="00B64020" w:rsidRDefault="0061637C" w:rsidP="0061637C">
            <w:pPr>
              <w:spacing w:line="276" w:lineRule="auto"/>
              <w:jc w:val="right"/>
              <w:rPr>
                <w:rFonts w:ascii="Segoe UI" w:eastAsia="Times New Roman" w:hAnsi="Segoe UI" w:cs="Segoe UI"/>
                <w:color w:val="000000"/>
                <w:sz w:val="22"/>
                <w:szCs w:val="22"/>
                <w:highlight w:val="yellow"/>
              </w:rPr>
            </w:pPr>
            <w:r w:rsidRPr="00B64020">
              <w:rPr>
                <w:rFonts w:ascii="Segoe UI" w:hAnsi="Segoe UI" w:cs="Segoe UI"/>
                <w:sz w:val="22"/>
              </w:rPr>
              <w:t>$939</w:t>
            </w:r>
          </w:p>
        </w:tc>
        <w:tc>
          <w:tcPr>
            <w:tcW w:w="1136" w:type="dxa"/>
            <w:noWrap/>
            <w:vAlign w:val="center"/>
            <w:hideMark/>
          </w:tcPr>
          <w:p w14:paraId="5A032A26" w14:textId="72AA7DD0" w:rsidR="0061637C" w:rsidRPr="00B64020" w:rsidRDefault="0061637C" w:rsidP="0061637C">
            <w:pPr>
              <w:spacing w:line="276" w:lineRule="auto"/>
              <w:jc w:val="right"/>
              <w:rPr>
                <w:rFonts w:ascii="Segoe UI" w:eastAsia="Times New Roman" w:hAnsi="Segoe UI" w:cs="Segoe UI"/>
                <w:color w:val="000000"/>
                <w:sz w:val="22"/>
                <w:szCs w:val="22"/>
                <w:highlight w:val="yellow"/>
              </w:rPr>
            </w:pPr>
            <w:r w:rsidRPr="00B64020">
              <w:rPr>
                <w:rFonts w:ascii="Segoe UI" w:hAnsi="Segoe UI" w:cs="Segoe UI"/>
                <w:sz w:val="22"/>
              </w:rPr>
              <w:t>$975</w:t>
            </w:r>
          </w:p>
        </w:tc>
        <w:tc>
          <w:tcPr>
            <w:tcW w:w="1136" w:type="dxa"/>
            <w:noWrap/>
            <w:vAlign w:val="center"/>
            <w:hideMark/>
          </w:tcPr>
          <w:p w14:paraId="4674D5BC" w14:textId="11A98D33" w:rsidR="0061637C" w:rsidRPr="00B64020" w:rsidRDefault="0061637C" w:rsidP="0061637C">
            <w:pPr>
              <w:spacing w:line="276" w:lineRule="auto"/>
              <w:jc w:val="right"/>
              <w:rPr>
                <w:rFonts w:ascii="Segoe UI" w:eastAsia="Times New Roman" w:hAnsi="Segoe UI" w:cs="Segoe UI"/>
                <w:color w:val="000000"/>
                <w:sz w:val="22"/>
                <w:szCs w:val="22"/>
                <w:highlight w:val="yellow"/>
              </w:rPr>
            </w:pPr>
            <w:r w:rsidRPr="00B64020">
              <w:rPr>
                <w:rFonts w:ascii="Segoe UI" w:hAnsi="Segoe UI" w:cs="Segoe UI"/>
                <w:sz w:val="22"/>
              </w:rPr>
              <w:t>$1,012</w:t>
            </w:r>
          </w:p>
        </w:tc>
        <w:tc>
          <w:tcPr>
            <w:tcW w:w="1137" w:type="dxa"/>
            <w:noWrap/>
            <w:vAlign w:val="center"/>
            <w:hideMark/>
          </w:tcPr>
          <w:p w14:paraId="0B3876A6" w14:textId="666212BC" w:rsidR="0061637C" w:rsidRPr="00B64020" w:rsidRDefault="0061637C" w:rsidP="0061637C">
            <w:pPr>
              <w:spacing w:line="276" w:lineRule="auto"/>
              <w:jc w:val="right"/>
              <w:rPr>
                <w:rFonts w:ascii="Segoe UI" w:hAnsi="Segoe UI" w:cs="Segoe UI"/>
                <w:sz w:val="22"/>
                <w:szCs w:val="22"/>
              </w:rPr>
            </w:pPr>
          </w:p>
        </w:tc>
      </w:tr>
      <w:tr w:rsidR="0061637C" w:rsidRPr="00CF6436" w14:paraId="45A27DEA" w14:textId="77777777" w:rsidTr="00B64020">
        <w:trPr>
          <w:trHeight w:val="636"/>
          <w:jc w:val="center"/>
        </w:trPr>
        <w:tc>
          <w:tcPr>
            <w:tcW w:w="3005" w:type="dxa"/>
            <w:shd w:val="clear" w:color="auto" w:fill="D9D9D6"/>
            <w:vAlign w:val="center"/>
            <w:hideMark/>
          </w:tcPr>
          <w:p w14:paraId="164EFDB9" w14:textId="4489F02B" w:rsidR="0061637C" w:rsidRPr="00777046" w:rsidRDefault="0061637C" w:rsidP="0061637C">
            <w:pPr>
              <w:spacing w:line="240" w:lineRule="auto"/>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szCs w:val="22"/>
              </w:rPr>
              <w:t>Optimal operating reserve surplus (deficit)</w:t>
            </w:r>
          </w:p>
        </w:tc>
        <w:tc>
          <w:tcPr>
            <w:tcW w:w="1135" w:type="dxa"/>
            <w:shd w:val="clear" w:color="auto" w:fill="D9D9D6"/>
            <w:noWrap/>
            <w:vAlign w:val="center"/>
            <w:hideMark/>
          </w:tcPr>
          <w:p w14:paraId="6F687141" w14:textId="5ADFE624" w:rsidR="0061637C" w:rsidRPr="00B64020" w:rsidRDefault="0061637C" w:rsidP="0061637C">
            <w:pPr>
              <w:spacing w:line="240" w:lineRule="auto"/>
              <w:jc w:val="right"/>
              <w:rPr>
                <w:rFonts w:ascii="Segoe UI" w:eastAsia="Times New Roman" w:hAnsi="Segoe UI" w:cs="Segoe UI"/>
                <w:b/>
                <w:bCs/>
                <w:color w:val="FF0000"/>
                <w:sz w:val="22"/>
                <w:szCs w:val="22"/>
                <w:highlight w:val="yellow"/>
              </w:rPr>
            </w:pPr>
            <w:r w:rsidRPr="00B64020">
              <w:rPr>
                <w:rFonts w:ascii="Segoe UI" w:hAnsi="Segoe UI" w:cs="Segoe UI"/>
                <w:sz w:val="22"/>
              </w:rPr>
              <w:t>($389)</w:t>
            </w:r>
          </w:p>
        </w:tc>
        <w:tc>
          <w:tcPr>
            <w:tcW w:w="1136" w:type="dxa"/>
            <w:shd w:val="clear" w:color="auto" w:fill="D9D9D6"/>
            <w:noWrap/>
            <w:vAlign w:val="center"/>
            <w:hideMark/>
          </w:tcPr>
          <w:p w14:paraId="14CDBCA8" w14:textId="5A8CE5CB" w:rsidR="0061637C" w:rsidRPr="00B64020" w:rsidRDefault="0061637C" w:rsidP="0061637C">
            <w:pPr>
              <w:spacing w:line="276" w:lineRule="auto"/>
              <w:jc w:val="right"/>
              <w:rPr>
                <w:rFonts w:ascii="Segoe UI" w:eastAsia="Times New Roman" w:hAnsi="Segoe UI" w:cs="Segoe UI"/>
                <w:b/>
                <w:bCs/>
                <w:color w:val="FF0000"/>
                <w:sz w:val="22"/>
                <w:szCs w:val="22"/>
                <w:highlight w:val="yellow"/>
              </w:rPr>
            </w:pPr>
            <w:r w:rsidRPr="00B64020">
              <w:rPr>
                <w:rFonts w:ascii="Segoe UI" w:hAnsi="Segoe UI" w:cs="Segoe UI"/>
                <w:sz w:val="22"/>
              </w:rPr>
              <w:t>($1,635)</w:t>
            </w:r>
          </w:p>
        </w:tc>
        <w:tc>
          <w:tcPr>
            <w:tcW w:w="1136" w:type="dxa"/>
            <w:shd w:val="clear" w:color="auto" w:fill="D9D9D6"/>
            <w:noWrap/>
            <w:vAlign w:val="center"/>
            <w:hideMark/>
          </w:tcPr>
          <w:p w14:paraId="33CB3E31" w14:textId="6A587A1B" w:rsidR="0061637C" w:rsidRPr="00B64020" w:rsidRDefault="0061637C" w:rsidP="0061637C">
            <w:pPr>
              <w:spacing w:line="276" w:lineRule="auto"/>
              <w:jc w:val="right"/>
              <w:rPr>
                <w:rFonts w:ascii="Segoe UI" w:eastAsia="Times New Roman" w:hAnsi="Segoe UI" w:cs="Segoe UI"/>
                <w:b/>
                <w:bCs/>
                <w:color w:val="FF0000"/>
                <w:sz w:val="22"/>
                <w:szCs w:val="22"/>
                <w:highlight w:val="yellow"/>
              </w:rPr>
            </w:pPr>
            <w:r w:rsidRPr="00B64020">
              <w:rPr>
                <w:rFonts w:ascii="Segoe UI" w:hAnsi="Segoe UI" w:cs="Segoe UI"/>
                <w:sz w:val="22"/>
              </w:rPr>
              <w:t>($1,989)</w:t>
            </w:r>
          </w:p>
        </w:tc>
        <w:tc>
          <w:tcPr>
            <w:tcW w:w="1136" w:type="dxa"/>
            <w:shd w:val="clear" w:color="auto" w:fill="D9D9D6"/>
            <w:noWrap/>
            <w:vAlign w:val="center"/>
            <w:hideMark/>
          </w:tcPr>
          <w:p w14:paraId="171DAA61" w14:textId="5F514416" w:rsidR="0061637C" w:rsidRPr="00B64020" w:rsidRDefault="0061637C" w:rsidP="0061637C">
            <w:pPr>
              <w:spacing w:line="276" w:lineRule="auto"/>
              <w:jc w:val="right"/>
              <w:rPr>
                <w:rFonts w:ascii="Segoe UI" w:eastAsia="Times New Roman" w:hAnsi="Segoe UI" w:cs="Segoe UI"/>
                <w:b/>
                <w:bCs/>
                <w:color w:val="FF0000"/>
                <w:sz w:val="22"/>
                <w:szCs w:val="22"/>
                <w:highlight w:val="yellow"/>
              </w:rPr>
            </w:pPr>
            <w:r w:rsidRPr="00B64020">
              <w:rPr>
                <w:rFonts w:ascii="Segoe UI" w:hAnsi="Segoe UI" w:cs="Segoe UI"/>
                <w:sz w:val="22"/>
              </w:rPr>
              <w:t>($2,538)</w:t>
            </w:r>
          </w:p>
        </w:tc>
        <w:tc>
          <w:tcPr>
            <w:tcW w:w="1136" w:type="dxa"/>
            <w:shd w:val="clear" w:color="auto" w:fill="D9D9D6"/>
            <w:noWrap/>
            <w:vAlign w:val="center"/>
            <w:hideMark/>
          </w:tcPr>
          <w:p w14:paraId="681E1723" w14:textId="4BADD782" w:rsidR="0061637C" w:rsidRPr="00B64020" w:rsidRDefault="0061637C" w:rsidP="0061637C">
            <w:pPr>
              <w:spacing w:line="276" w:lineRule="auto"/>
              <w:jc w:val="right"/>
              <w:rPr>
                <w:rFonts w:ascii="Segoe UI" w:eastAsia="Times New Roman" w:hAnsi="Segoe UI" w:cs="Segoe UI"/>
                <w:b/>
                <w:bCs/>
                <w:color w:val="FF0000"/>
                <w:sz w:val="22"/>
                <w:szCs w:val="22"/>
                <w:highlight w:val="yellow"/>
              </w:rPr>
            </w:pPr>
            <w:r w:rsidRPr="00B64020">
              <w:rPr>
                <w:rFonts w:ascii="Segoe UI" w:hAnsi="Segoe UI" w:cs="Segoe UI"/>
                <w:sz w:val="22"/>
              </w:rPr>
              <w:t>($3,251)</w:t>
            </w:r>
          </w:p>
        </w:tc>
        <w:tc>
          <w:tcPr>
            <w:tcW w:w="1137" w:type="dxa"/>
            <w:shd w:val="clear" w:color="auto" w:fill="D9D9D6"/>
            <w:noWrap/>
            <w:vAlign w:val="center"/>
            <w:hideMark/>
          </w:tcPr>
          <w:p w14:paraId="656A99FD" w14:textId="5B759E39" w:rsidR="0061637C" w:rsidRPr="00B64020" w:rsidRDefault="0061637C" w:rsidP="0061637C">
            <w:pPr>
              <w:spacing w:line="276" w:lineRule="auto"/>
              <w:jc w:val="right"/>
              <w:rPr>
                <w:rFonts w:ascii="Segoe UI" w:hAnsi="Segoe UI" w:cs="Segoe UI"/>
                <w:sz w:val="22"/>
                <w:szCs w:val="22"/>
              </w:rPr>
            </w:pPr>
          </w:p>
        </w:tc>
      </w:tr>
    </w:tbl>
    <w:p w14:paraId="46DC4F94" w14:textId="1EFA3D7E" w:rsidR="2B747153" w:rsidRPr="009008DD" w:rsidRDefault="2B747153" w:rsidP="17CECF10">
      <w:pPr>
        <w:pStyle w:val="BottomofTableSpacing"/>
        <w:spacing w:line="360" w:lineRule="auto"/>
        <w:jc w:val="center"/>
        <w:rPr>
          <w:rFonts w:ascii="Segoe UI" w:hAnsi="Segoe UI" w:cs="Segoe UI"/>
          <w:szCs w:val="24"/>
        </w:rPr>
      </w:pPr>
      <w:r w:rsidRPr="17CECF10">
        <w:rPr>
          <w:rFonts w:ascii="Segoe UI" w:hAnsi="Segoe UI" w:cs="Segoe UI"/>
          <w:color w:val="2B579A"/>
        </w:rPr>
        <w:fldChar w:fldCharType="end"/>
      </w:r>
    </w:p>
    <w:p w14:paraId="7D7F2564" w14:textId="34158E67" w:rsidR="00E52351" w:rsidRPr="00CF6436" w:rsidRDefault="5241044D" w:rsidP="00EA247B">
      <w:pPr>
        <w:pStyle w:val="Heading3Numbering"/>
        <w:numPr>
          <w:ilvl w:val="2"/>
          <w:numId w:val="14"/>
        </w:numPr>
        <w:spacing w:after="0" w:line="360" w:lineRule="auto"/>
        <w:rPr>
          <w:rFonts w:ascii="Segoe UI" w:hAnsi="Segoe UI" w:cs="Segoe UI"/>
        </w:rPr>
      </w:pPr>
      <w:r w:rsidRPr="293D3C50">
        <w:rPr>
          <w:rFonts w:ascii="Segoe UI" w:hAnsi="Segoe UI" w:cs="Segoe UI"/>
        </w:rPr>
        <w:t>Description of the Baseline</w:t>
      </w:r>
      <w:r w:rsidR="352541EA" w:rsidRPr="293D3C50">
        <w:rPr>
          <w:rFonts w:ascii="Segoe UI" w:hAnsi="Segoe UI" w:cs="Segoe UI"/>
        </w:rPr>
        <w:t xml:space="preserve"> (Alternative 4)</w:t>
      </w:r>
    </w:p>
    <w:p w14:paraId="1B354A79" w14:textId="255F52CD" w:rsidR="005203E5" w:rsidRPr="00CF6436" w:rsidRDefault="6ABD343F" w:rsidP="293D3C50">
      <w:pPr>
        <w:spacing w:line="360" w:lineRule="auto"/>
        <w:ind w:firstLine="450"/>
        <w:rPr>
          <w:rFonts w:ascii="Segoe UI" w:hAnsi="Segoe UI" w:cs="Segoe UI"/>
        </w:rPr>
      </w:pPr>
      <w:bookmarkStart w:id="151" w:name="_Toc328136186"/>
      <w:bookmarkStart w:id="152" w:name="_Toc328136640"/>
      <w:bookmarkStart w:id="153" w:name="_Toc328136760"/>
      <w:bookmarkStart w:id="154" w:name="_Toc328136880"/>
      <w:bookmarkStart w:id="155" w:name="_Toc328137163"/>
      <w:bookmarkStart w:id="156" w:name="_Toc327257173"/>
      <w:bookmarkStart w:id="157" w:name="_Toc324932311"/>
      <w:bookmarkStart w:id="158" w:name="_Toc324525698"/>
      <w:bookmarkStart w:id="159" w:name="_Toc324165139"/>
      <w:bookmarkStart w:id="160" w:name="_Toc325554080"/>
      <w:bookmarkEnd w:id="151"/>
      <w:bookmarkEnd w:id="152"/>
      <w:bookmarkEnd w:id="153"/>
      <w:bookmarkEnd w:id="154"/>
      <w:bookmarkEnd w:id="155"/>
      <w:bookmarkEnd w:id="156"/>
      <w:r w:rsidRPr="293D3C50">
        <w:rPr>
          <w:rFonts w:ascii="Segoe UI" w:hAnsi="Segoe UI" w:cs="Segoe UI"/>
        </w:rPr>
        <w:t xml:space="preserve">The Baseline for this analysis is the current patent fee schedule that became effective on </w:t>
      </w:r>
      <w:r w:rsidR="59CE3740" w:rsidRPr="293D3C50">
        <w:rPr>
          <w:rFonts w:ascii="Segoe UI" w:hAnsi="Segoe UI" w:cs="Segoe UI"/>
        </w:rPr>
        <w:t>December</w:t>
      </w:r>
      <w:r w:rsidRPr="293D3C50">
        <w:rPr>
          <w:rFonts w:ascii="Segoe UI" w:hAnsi="Segoe UI" w:cs="Segoe UI"/>
        </w:rPr>
        <w:t xml:space="preserve"> </w:t>
      </w:r>
      <w:r w:rsidR="59CE3740" w:rsidRPr="293D3C50">
        <w:rPr>
          <w:rFonts w:ascii="Segoe UI" w:hAnsi="Segoe UI" w:cs="Segoe UI"/>
        </w:rPr>
        <w:t>29</w:t>
      </w:r>
      <w:r w:rsidR="1E9D1023" w:rsidRPr="293D3C50">
        <w:rPr>
          <w:rFonts w:ascii="Segoe UI" w:hAnsi="Segoe UI" w:cs="Segoe UI"/>
        </w:rPr>
        <w:t>, 20</w:t>
      </w:r>
      <w:r w:rsidR="59CE3740" w:rsidRPr="293D3C50">
        <w:rPr>
          <w:rFonts w:ascii="Segoe UI" w:hAnsi="Segoe UI" w:cs="Segoe UI"/>
        </w:rPr>
        <w:t>22</w:t>
      </w:r>
      <w:r w:rsidRPr="293D3C50">
        <w:rPr>
          <w:rFonts w:ascii="Segoe UI" w:hAnsi="Segoe UI" w:cs="Segoe UI"/>
        </w:rPr>
        <w:t>.</w:t>
      </w:r>
      <w:r w:rsidR="138178D1" w:rsidRPr="293D3C50">
        <w:rPr>
          <w:rFonts w:ascii="Segoe UI" w:hAnsi="Segoe UI" w:cs="Segoe UI"/>
        </w:rPr>
        <w:t xml:space="preserve"> </w:t>
      </w:r>
      <w:r w:rsidR="060BD2D3" w:rsidRPr="293D3C50">
        <w:rPr>
          <w:rFonts w:ascii="Segoe UI" w:hAnsi="Segoe UI" w:cs="Segoe UI"/>
        </w:rPr>
        <w:t xml:space="preserve">The USPTO estimates </w:t>
      </w:r>
      <w:r w:rsidRPr="293D3C50">
        <w:rPr>
          <w:rFonts w:ascii="Segoe UI" w:hAnsi="Segoe UI" w:cs="Segoe UI"/>
        </w:rPr>
        <w:t xml:space="preserve">that the Baseline would generate approximately </w:t>
      </w:r>
      <w:r w:rsidRPr="00075C77">
        <w:rPr>
          <w:rFonts w:ascii="Segoe UI" w:hAnsi="Segoe UI" w:cs="Segoe UI"/>
        </w:rPr>
        <w:t>$</w:t>
      </w:r>
      <w:r w:rsidR="7911B8F5" w:rsidRPr="000F20DC">
        <w:rPr>
          <w:rFonts w:ascii="Segoe UI" w:hAnsi="Segoe UI" w:cs="Segoe UI"/>
        </w:rPr>
        <w:t>3.</w:t>
      </w:r>
      <w:r w:rsidR="00075C77" w:rsidRPr="005E162F">
        <w:rPr>
          <w:rFonts w:ascii="Segoe UI" w:hAnsi="Segoe UI" w:cs="Segoe UI"/>
        </w:rPr>
        <w:t>6</w:t>
      </w:r>
      <w:r w:rsidR="00075C77" w:rsidRPr="293D3C50">
        <w:rPr>
          <w:rFonts w:ascii="Segoe UI" w:hAnsi="Segoe UI" w:cs="Segoe UI"/>
        </w:rPr>
        <w:t> </w:t>
      </w:r>
      <w:r w:rsidRPr="293D3C50">
        <w:rPr>
          <w:rFonts w:ascii="Segoe UI" w:hAnsi="Segoe UI" w:cs="Segoe UI"/>
        </w:rPr>
        <w:t>bill</w:t>
      </w:r>
      <w:r w:rsidR="1E9D1023" w:rsidRPr="293D3C50">
        <w:rPr>
          <w:rFonts w:ascii="Segoe UI" w:hAnsi="Segoe UI" w:cs="Segoe UI"/>
        </w:rPr>
        <w:t>ion in patent fees during FY 202</w:t>
      </w:r>
      <w:r w:rsidR="6B22C547" w:rsidRPr="293D3C50">
        <w:rPr>
          <w:rFonts w:ascii="Segoe UI" w:hAnsi="Segoe UI" w:cs="Segoe UI"/>
        </w:rPr>
        <w:t>5</w:t>
      </w:r>
      <w:r w:rsidR="456601B1" w:rsidRPr="293D3C50">
        <w:rPr>
          <w:rFonts w:ascii="Segoe UI" w:hAnsi="Segoe UI" w:cs="Segoe UI"/>
        </w:rPr>
        <w:t>, based on assumptions found in the</w:t>
      </w:r>
      <w:r w:rsidR="000E20E9">
        <w:rPr>
          <w:rFonts w:ascii="Segoe UI" w:hAnsi="Segoe UI" w:cs="Segoe UI"/>
        </w:rPr>
        <w:t xml:space="preserve"> final rule</w:t>
      </w:r>
      <w:r w:rsidR="456601B1" w:rsidRPr="293D3C50">
        <w:rPr>
          <w:rFonts w:ascii="Segoe UI" w:hAnsi="Segoe UI" w:cs="Segoe UI"/>
        </w:rPr>
        <w:t xml:space="preserve"> and the FY 202</w:t>
      </w:r>
      <w:r w:rsidR="6B22C547" w:rsidRPr="293D3C50">
        <w:rPr>
          <w:rFonts w:ascii="Segoe UI" w:hAnsi="Segoe UI" w:cs="Segoe UI"/>
        </w:rPr>
        <w:t>5</w:t>
      </w:r>
      <w:r w:rsidR="456601B1" w:rsidRPr="293D3C50">
        <w:rPr>
          <w:rFonts w:ascii="Segoe UI" w:hAnsi="Segoe UI" w:cs="Segoe UI"/>
        </w:rPr>
        <w:t xml:space="preserve"> Budget</w:t>
      </w:r>
      <w:r w:rsidRPr="293D3C50">
        <w:rPr>
          <w:rFonts w:ascii="Segoe UI" w:hAnsi="Segoe UI" w:cs="Segoe UI"/>
        </w:rPr>
        <w:t>.</w:t>
      </w:r>
    </w:p>
    <w:p w14:paraId="6676C059" w14:textId="21B6D7B1" w:rsidR="003F546D" w:rsidRPr="00CF6436" w:rsidRDefault="5C84F2B9" w:rsidP="293D3C50">
      <w:pPr>
        <w:spacing w:line="360" w:lineRule="auto"/>
        <w:ind w:firstLine="450"/>
        <w:rPr>
          <w:rFonts w:ascii="Segoe UI" w:hAnsi="Segoe UI" w:cs="Segoe UI"/>
        </w:rPr>
      </w:pPr>
      <w:r w:rsidRPr="6324CA36">
        <w:rPr>
          <w:rFonts w:ascii="Segoe UI" w:hAnsi="Segoe UI" w:cs="Segoe UI"/>
        </w:rPr>
        <w:t xml:space="preserve">The Baseline would not </w:t>
      </w:r>
      <w:r w:rsidR="35EE4710" w:rsidRPr="6324CA36">
        <w:rPr>
          <w:rFonts w:ascii="Segoe UI" w:hAnsi="Segoe UI" w:cs="Segoe UI"/>
        </w:rPr>
        <w:t>secure</w:t>
      </w:r>
      <w:r w:rsidRPr="6324CA36">
        <w:rPr>
          <w:rFonts w:ascii="Segoe UI" w:hAnsi="Segoe UI" w:cs="Segoe UI"/>
        </w:rPr>
        <w:t xml:space="preserve"> </w:t>
      </w:r>
      <w:r w:rsidR="374BAFA4" w:rsidRPr="6324CA36">
        <w:rPr>
          <w:rFonts w:ascii="Segoe UI" w:hAnsi="Segoe UI" w:cs="Segoe UI"/>
        </w:rPr>
        <w:t xml:space="preserve">enough </w:t>
      </w:r>
      <w:r w:rsidR="45A1F2AD" w:rsidRPr="6324CA36">
        <w:rPr>
          <w:rFonts w:ascii="Segoe UI" w:hAnsi="Segoe UI" w:cs="Segoe UI"/>
        </w:rPr>
        <w:t>aggregate revenue</w:t>
      </w:r>
      <w:r w:rsidRPr="6324CA36">
        <w:rPr>
          <w:rFonts w:ascii="Segoe UI" w:hAnsi="Segoe UI" w:cs="Segoe UI"/>
        </w:rPr>
        <w:t xml:space="preserve"> to</w:t>
      </w:r>
      <w:r w:rsidR="35EE4710" w:rsidRPr="6324CA36">
        <w:rPr>
          <w:rFonts w:ascii="Segoe UI" w:hAnsi="Segoe UI" w:cs="Segoe UI"/>
        </w:rPr>
        <w:t xml:space="preserve"> </w:t>
      </w:r>
      <w:r w:rsidR="507CFB62" w:rsidRPr="6324CA36">
        <w:rPr>
          <w:rFonts w:ascii="Segoe UI" w:hAnsi="Segoe UI" w:cs="Segoe UI"/>
        </w:rPr>
        <w:t>re</w:t>
      </w:r>
      <w:r w:rsidR="35EE4710" w:rsidRPr="6324CA36">
        <w:rPr>
          <w:rFonts w:ascii="Segoe UI" w:hAnsi="Segoe UI" w:cs="Segoe UI"/>
        </w:rPr>
        <w:t>cover</w:t>
      </w:r>
      <w:r w:rsidR="45A1F2AD" w:rsidRPr="6324CA36">
        <w:rPr>
          <w:rFonts w:ascii="Segoe UI" w:hAnsi="Segoe UI" w:cs="Segoe UI"/>
        </w:rPr>
        <w:t xml:space="preserve"> </w:t>
      </w:r>
      <w:r w:rsidR="374BAFA4" w:rsidRPr="6324CA36">
        <w:rPr>
          <w:rFonts w:ascii="Segoe UI" w:hAnsi="Segoe UI" w:cs="Segoe UI"/>
        </w:rPr>
        <w:t xml:space="preserve">the </w:t>
      </w:r>
      <w:r w:rsidR="45A1F2AD" w:rsidRPr="6324CA36">
        <w:rPr>
          <w:rFonts w:ascii="Segoe UI" w:hAnsi="Segoe UI" w:cs="Segoe UI"/>
        </w:rPr>
        <w:t>aggregate cost</w:t>
      </w:r>
      <w:r w:rsidR="7E571B4F" w:rsidRPr="6324CA36">
        <w:rPr>
          <w:rFonts w:ascii="Segoe UI" w:hAnsi="Segoe UI" w:cs="Segoe UI"/>
        </w:rPr>
        <w:t>s</w:t>
      </w:r>
      <w:r w:rsidR="374BAFA4" w:rsidRPr="6324CA36">
        <w:rPr>
          <w:rFonts w:ascii="Segoe UI" w:hAnsi="Segoe UI" w:cs="Segoe UI"/>
        </w:rPr>
        <w:t xml:space="preserve"> of budgetary requirement</w:t>
      </w:r>
      <w:r w:rsidR="45A1F2AD" w:rsidRPr="6324CA36">
        <w:rPr>
          <w:rFonts w:ascii="Segoe UI" w:hAnsi="Segoe UI" w:cs="Segoe UI"/>
        </w:rPr>
        <w:t>s</w:t>
      </w:r>
      <w:r w:rsidRPr="6324CA36">
        <w:rPr>
          <w:rFonts w:ascii="Segoe UI" w:hAnsi="Segoe UI" w:cs="Segoe UI"/>
        </w:rPr>
        <w:t xml:space="preserve"> </w:t>
      </w:r>
      <w:r w:rsidR="374BAFA4" w:rsidRPr="6324CA36">
        <w:rPr>
          <w:rFonts w:ascii="Segoe UI" w:hAnsi="Segoe UI" w:cs="Segoe UI"/>
        </w:rPr>
        <w:t xml:space="preserve">described </w:t>
      </w:r>
      <w:r w:rsidRPr="6324CA36">
        <w:rPr>
          <w:rFonts w:ascii="Segoe UI" w:hAnsi="Segoe UI" w:cs="Segoe UI"/>
        </w:rPr>
        <w:t>in the FY</w:t>
      </w:r>
      <w:r w:rsidR="203C1F3A" w:rsidRPr="6324CA36">
        <w:rPr>
          <w:rFonts w:ascii="Segoe UI" w:hAnsi="Segoe UI" w:cs="Segoe UI"/>
        </w:rPr>
        <w:t> </w:t>
      </w:r>
      <w:r w:rsidR="1E4DC7DD" w:rsidRPr="6324CA36">
        <w:rPr>
          <w:rFonts w:ascii="Segoe UI" w:hAnsi="Segoe UI" w:cs="Segoe UI"/>
        </w:rPr>
        <w:t>2025 Budget</w:t>
      </w:r>
      <w:r w:rsidRPr="6324CA36">
        <w:rPr>
          <w:rFonts w:ascii="Segoe UI" w:hAnsi="Segoe UI" w:cs="Segoe UI"/>
        </w:rPr>
        <w:t>.</w:t>
      </w:r>
      <w:r w:rsidR="1B256616" w:rsidRPr="6324CA36">
        <w:rPr>
          <w:rFonts w:ascii="Segoe UI" w:hAnsi="Segoe UI" w:cs="Segoe UI"/>
        </w:rPr>
        <w:t xml:space="preserve"> </w:t>
      </w:r>
      <w:r w:rsidRPr="6324CA36">
        <w:rPr>
          <w:rFonts w:ascii="Segoe UI" w:hAnsi="Segoe UI" w:cs="Segoe UI"/>
        </w:rPr>
        <w:t xml:space="preserve">Under the Baseline, the </w:t>
      </w:r>
      <w:r w:rsidR="260E4E08" w:rsidRPr="6324CA36">
        <w:rPr>
          <w:rFonts w:ascii="Segoe UI" w:hAnsi="Segoe UI" w:cs="Segoe UI"/>
        </w:rPr>
        <w:t>USPTO</w:t>
      </w:r>
      <w:r w:rsidRPr="6324CA36">
        <w:rPr>
          <w:rFonts w:ascii="Segoe UI" w:hAnsi="Segoe UI" w:cs="Segoe UI"/>
        </w:rPr>
        <w:t xml:space="preserve"> expects to collect sufficient</w:t>
      </w:r>
      <w:r w:rsidR="4E588A0B" w:rsidRPr="6324CA36">
        <w:rPr>
          <w:rFonts w:ascii="Segoe UI" w:hAnsi="Segoe UI" w:cs="Segoe UI"/>
        </w:rPr>
        <w:t xml:space="preserve"> revenue</w:t>
      </w:r>
      <w:r w:rsidRPr="6324CA36">
        <w:rPr>
          <w:rFonts w:ascii="Segoe UI" w:hAnsi="Segoe UI" w:cs="Segoe UI"/>
        </w:rPr>
        <w:t xml:space="preserve"> to continue executing </w:t>
      </w:r>
      <w:r w:rsidR="7476D88B" w:rsidRPr="6324CA36">
        <w:rPr>
          <w:rFonts w:ascii="Segoe UI" w:hAnsi="Segoe UI" w:cs="Segoe UI"/>
        </w:rPr>
        <w:lastRenderedPageBreak/>
        <w:t xml:space="preserve">only </w:t>
      </w:r>
      <w:r w:rsidRPr="6324CA36">
        <w:rPr>
          <w:rFonts w:ascii="Segoe UI" w:hAnsi="Segoe UI" w:cs="Segoe UI"/>
        </w:rPr>
        <w:t xml:space="preserve">some, not all, </w:t>
      </w:r>
      <w:r w:rsidR="2E783D20" w:rsidRPr="6324CA36">
        <w:rPr>
          <w:rFonts w:ascii="Segoe UI" w:hAnsi="Segoe UI" w:cs="Segoe UI"/>
        </w:rPr>
        <w:t xml:space="preserve">patent </w:t>
      </w:r>
      <w:r w:rsidRPr="6324CA36">
        <w:rPr>
          <w:rFonts w:ascii="Segoe UI" w:hAnsi="Segoe UI" w:cs="Segoe UI"/>
        </w:rPr>
        <w:t>priorities.</w:t>
      </w:r>
      <w:r w:rsidR="1B256616" w:rsidRPr="6324CA36">
        <w:rPr>
          <w:rFonts w:ascii="Segoe UI" w:hAnsi="Segoe UI" w:cs="Segoe UI"/>
        </w:rPr>
        <w:t xml:space="preserve"> </w:t>
      </w:r>
      <w:r w:rsidRPr="6324CA36">
        <w:rPr>
          <w:rFonts w:ascii="Segoe UI" w:hAnsi="Segoe UI" w:cs="Segoe UI"/>
        </w:rPr>
        <w:t>F</w:t>
      </w:r>
      <w:r w:rsidR="161B574A" w:rsidRPr="6324CA36">
        <w:rPr>
          <w:rFonts w:ascii="Segoe UI" w:hAnsi="Segoe UI" w:cs="Segoe UI"/>
        </w:rPr>
        <w:t xml:space="preserve">or example, </w:t>
      </w:r>
      <w:r w:rsidR="18B8AD35" w:rsidRPr="6324CA36">
        <w:rPr>
          <w:rFonts w:ascii="Segoe UI" w:hAnsi="Segoe UI" w:cs="Segoe UI"/>
        </w:rPr>
        <w:t xml:space="preserve">the </w:t>
      </w:r>
      <w:r w:rsidR="14A37F73" w:rsidRPr="6324CA36">
        <w:rPr>
          <w:rFonts w:ascii="Segoe UI" w:hAnsi="Segoe UI" w:cs="Segoe UI"/>
        </w:rPr>
        <w:t>agency</w:t>
      </w:r>
      <w:r w:rsidR="18B8AD35" w:rsidRPr="6324CA36">
        <w:rPr>
          <w:rFonts w:ascii="Segoe UI" w:hAnsi="Segoe UI" w:cs="Segoe UI"/>
        </w:rPr>
        <w:t xml:space="preserve"> plans to hire </w:t>
      </w:r>
      <w:r w:rsidR="26E78515" w:rsidRPr="6324CA36">
        <w:rPr>
          <w:rFonts w:ascii="Segoe UI" w:hAnsi="Segoe UI" w:cs="Segoe UI"/>
        </w:rPr>
        <w:t>about</w:t>
      </w:r>
      <w:r w:rsidR="18B8AD35" w:rsidRPr="6324CA36">
        <w:rPr>
          <w:rFonts w:ascii="Segoe UI" w:hAnsi="Segoe UI" w:cs="Segoe UI"/>
        </w:rPr>
        <w:t xml:space="preserve"> </w:t>
      </w:r>
      <w:r w:rsidR="00075C77" w:rsidRPr="6324CA36">
        <w:rPr>
          <w:rFonts w:ascii="Segoe UI" w:hAnsi="Segoe UI" w:cs="Segoe UI"/>
        </w:rPr>
        <w:t>1,</w:t>
      </w:r>
      <w:r w:rsidR="18B8AD35" w:rsidRPr="6324CA36">
        <w:rPr>
          <w:rFonts w:ascii="Segoe UI" w:hAnsi="Segoe UI" w:cs="Segoe UI"/>
        </w:rPr>
        <w:t xml:space="preserve">800 patent examiners over estimated attrition levels </w:t>
      </w:r>
      <w:r w:rsidR="1C2D679A" w:rsidRPr="6324CA36">
        <w:rPr>
          <w:rFonts w:ascii="Segoe UI" w:hAnsi="Segoe UI" w:cs="Segoe UI"/>
        </w:rPr>
        <w:t>during the five</w:t>
      </w:r>
      <w:r w:rsidR="4577728E" w:rsidRPr="6324CA36">
        <w:rPr>
          <w:rFonts w:ascii="Segoe UI" w:hAnsi="Segoe UI" w:cs="Segoe UI"/>
        </w:rPr>
        <w:t>-</w:t>
      </w:r>
      <w:r w:rsidR="1C2D679A" w:rsidRPr="6324CA36">
        <w:rPr>
          <w:rFonts w:ascii="Segoe UI" w:hAnsi="Segoe UI" w:cs="Segoe UI"/>
        </w:rPr>
        <w:t>year planning horizon</w:t>
      </w:r>
      <w:r w:rsidR="18B8AD35" w:rsidRPr="6324CA36">
        <w:rPr>
          <w:rFonts w:ascii="Segoe UI" w:hAnsi="Segoe UI" w:cs="Segoe UI"/>
        </w:rPr>
        <w:t>. This</w:t>
      </w:r>
      <w:r w:rsidRPr="6324CA36">
        <w:rPr>
          <w:rFonts w:ascii="Segoe UI" w:hAnsi="Segoe UI" w:cs="Segoe UI"/>
        </w:rPr>
        <w:t xml:space="preserve"> </w:t>
      </w:r>
      <w:r w:rsidR="18B8AD35" w:rsidRPr="6324CA36">
        <w:rPr>
          <w:rFonts w:ascii="Segoe UI" w:hAnsi="Segoe UI" w:cs="Segoe UI"/>
        </w:rPr>
        <w:t xml:space="preserve">additional examination capacity will allow the </w:t>
      </w:r>
      <w:r w:rsidR="40DB1450" w:rsidRPr="6324CA36">
        <w:rPr>
          <w:rFonts w:ascii="Segoe UI" w:hAnsi="Segoe UI" w:cs="Segoe UI"/>
        </w:rPr>
        <w:t>USPTO</w:t>
      </w:r>
      <w:r w:rsidR="18B8AD35" w:rsidRPr="6324CA36">
        <w:rPr>
          <w:rFonts w:ascii="Segoe UI" w:hAnsi="Segoe UI" w:cs="Segoe UI"/>
        </w:rPr>
        <w:t xml:space="preserve"> to improve patent reliability and maintain PTA compliance rates</w:t>
      </w:r>
      <w:r w:rsidRPr="6324CA36">
        <w:rPr>
          <w:rFonts w:ascii="Segoe UI" w:hAnsi="Segoe UI" w:cs="Segoe UI"/>
        </w:rPr>
        <w:t>.</w:t>
      </w:r>
      <w:r w:rsidR="1B256616" w:rsidRPr="6324CA36">
        <w:rPr>
          <w:rFonts w:ascii="Segoe UI" w:hAnsi="Segoe UI" w:cs="Segoe UI"/>
        </w:rPr>
        <w:t xml:space="preserve"> </w:t>
      </w:r>
      <w:r w:rsidRPr="6324CA36">
        <w:rPr>
          <w:rFonts w:ascii="Segoe UI" w:hAnsi="Segoe UI" w:cs="Segoe UI"/>
        </w:rPr>
        <w:t xml:space="preserve">The Baseline </w:t>
      </w:r>
      <w:r w:rsidR="2AD45535" w:rsidRPr="6324CA36">
        <w:rPr>
          <w:rFonts w:ascii="Segoe UI" w:hAnsi="Segoe UI" w:cs="Segoe UI"/>
        </w:rPr>
        <w:t>provides</w:t>
      </w:r>
      <w:r w:rsidR="4577728E" w:rsidRPr="6324CA36">
        <w:rPr>
          <w:rFonts w:ascii="Segoe UI" w:hAnsi="Segoe UI" w:cs="Segoe UI"/>
        </w:rPr>
        <w:t xml:space="preserve"> neither</w:t>
      </w:r>
      <w:r w:rsidR="2AD45535" w:rsidRPr="6324CA36">
        <w:rPr>
          <w:rFonts w:ascii="Segoe UI" w:hAnsi="Segoe UI" w:cs="Segoe UI"/>
        </w:rPr>
        <w:t xml:space="preserve"> </w:t>
      </w:r>
      <w:r w:rsidRPr="6324CA36">
        <w:rPr>
          <w:rFonts w:ascii="Segoe UI" w:hAnsi="Segoe UI" w:cs="Segoe UI"/>
        </w:rPr>
        <w:t>sufficient resources to hire the same number of examiners</w:t>
      </w:r>
      <w:r w:rsidR="6ED8D051" w:rsidRPr="6324CA36">
        <w:rPr>
          <w:rFonts w:ascii="Segoe UI" w:hAnsi="Segoe UI" w:cs="Segoe UI"/>
        </w:rPr>
        <w:t>,</w:t>
      </w:r>
      <w:r w:rsidRPr="6324CA36">
        <w:rPr>
          <w:rFonts w:ascii="Segoe UI" w:hAnsi="Segoe UI" w:cs="Segoe UI"/>
        </w:rPr>
        <w:t xml:space="preserve"> </w:t>
      </w:r>
      <w:r w:rsidR="2AD45535" w:rsidRPr="6324CA36">
        <w:rPr>
          <w:rFonts w:ascii="Segoe UI" w:hAnsi="Segoe UI" w:cs="Segoe UI"/>
        </w:rPr>
        <w:t xml:space="preserve">nor </w:t>
      </w:r>
      <w:r w:rsidRPr="6324CA36">
        <w:rPr>
          <w:rFonts w:ascii="Segoe UI" w:hAnsi="Segoe UI" w:cs="Segoe UI"/>
        </w:rPr>
        <w:t xml:space="preserve">sufficient resources to </w:t>
      </w:r>
      <w:r w:rsidR="4B1E8876" w:rsidRPr="6324CA36">
        <w:rPr>
          <w:rFonts w:ascii="Segoe UI" w:hAnsi="Segoe UI" w:cs="Segoe UI"/>
        </w:rPr>
        <w:t xml:space="preserve">continue building </w:t>
      </w:r>
      <w:r w:rsidRPr="6324CA36">
        <w:rPr>
          <w:rFonts w:ascii="Segoe UI" w:hAnsi="Segoe UI" w:cs="Segoe UI"/>
        </w:rPr>
        <w:t xml:space="preserve">the </w:t>
      </w:r>
      <w:r w:rsidR="2E783D20" w:rsidRPr="6324CA36">
        <w:rPr>
          <w:rFonts w:ascii="Segoe UI" w:hAnsi="Segoe UI" w:cs="Segoe UI"/>
        </w:rPr>
        <w:t xml:space="preserve">patent </w:t>
      </w:r>
      <w:r w:rsidRPr="6324CA36">
        <w:rPr>
          <w:rFonts w:ascii="Segoe UI" w:hAnsi="Segoe UI" w:cs="Segoe UI"/>
        </w:rPr>
        <w:t>operating reserve to its optimal level in the five</w:t>
      </w:r>
      <w:r w:rsidR="4577728E" w:rsidRPr="6324CA36">
        <w:rPr>
          <w:rFonts w:ascii="Segoe UI" w:hAnsi="Segoe UI" w:cs="Segoe UI"/>
        </w:rPr>
        <w:t>-</w:t>
      </w:r>
      <w:r w:rsidRPr="6324CA36">
        <w:rPr>
          <w:rFonts w:ascii="Segoe UI" w:hAnsi="Segoe UI" w:cs="Segoe UI"/>
        </w:rPr>
        <w:t>year planning horizon.</w:t>
      </w:r>
      <w:r w:rsidR="1B256616" w:rsidRPr="6324CA36">
        <w:rPr>
          <w:rFonts w:ascii="Segoe UI" w:hAnsi="Segoe UI" w:cs="Segoe UI"/>
        </w:rPr>
        <w:t xml:space="preserve"> </w:t>
      </w:r>
      <w:r w:rsidR="2E783D20" w:rsidRPr="6324CA36">
        <w:rPr>
          <w:rFonts w:ascii="Segoe UI" w:hAnsi="Segoe UI" w:cs="Segoe UI"/>
        </w:rPr>
        <w:t xml:space="preserve">In fact, </w:t>
      </w:r>
      <w:r w:rsidR="2AD45535" w:rsidRPr="6324CA36">
        <w:rPr>
          <w:rFonts w:ascii="Segoe UI" w:hAnsi="Segoe UI" w:cs="Segoe UI"/>
        </w:rPr>
        <w:t xml:space="preserve">current </w:t>
      </w:r>
      <w:r w:rsidR="6BF48A40" w:rsidRPr="6324CA36">
        <w:rPr>
          <w:rFonts w:ascii="Segoe UI" w:hAnsi="Segoe UI" w:cs="Segoe UI"/>
        </w:rPr>
        <w:t xml:space="preserve">agency </w:t>
      </w:r>
      <w:r w:rsidR="2AD45535" w:rsidRPr="6324CA36">
        <w:rPr>
          <w:rFonts w:ascii="Segoe UI" w:hAnsi="Segoe UI" w:cs="Segoe UI"/>
        </w:rPr>
        <w:t>estimates project that</w:t>
      </w:r>
      <w:r w:rsidR="4DAD3A1E" w:rsidRPr="6324CA36">
        <w:rPr>
          <w:rFonts w:ascii="Segoe UI" w:hAnsi="Segoe UI" w:cs="Segoe UI"/>
        </w:rPr>
        <w:t xml:space="preserve"> under the Baseline fee schedule</w:t>
      </w:r>
      <w:r w:rsidR="4577728E" w:rsidRPr="6324CA36">
        <w:rPr>
          <w:rFonts w:ascii="Segoe UI" w:hAnsi="Segoe UI" w:cs="Segoe UI"/>
        </w:rPr>
        <w:t>,</w:t>
      </w:r>
      <w:r w:rsidR="2AD45535" w:rsidRPr="6324CA36">
        <w:rPr>
          <w:rFonts w:ascii="Segoe UI" w:hAnsi="Segoe UI" w:cs="Segoe UI"/>
        </w:rPr>
        <w:t xml:space="preserve"> the USPTO </w:t>
      </w:r>
      <w:r w:rsidR="4DAD3A1E" w:rsidRPr="6324CA36">
        <w:rPr>
          <w:rFonts w:ascii="Segoe UI" w:hAnsi="Segoe UI" w:cs="Segoe UI"/>
        </w:rPr>
        <w:t xml:space="preserve">would </w:t>
      </w:r>
      <w:r w:rsidR="2AD45535" w:rsidRPr="6324CA36">
        <w:rPr>
          <w:rFonts w:ascii="Segoe UI" w:hAnsi="Segoe UI" w:cs="Segoe UI"/>
        </w:rPr>
        <w:t xml:space="preserve">withdraw funds from the patent operating reserve </w:t>
      </w:r>
      <w:r w:rsidR="705ED651" w:rsidRPr="6324CA36">
        <w:rPr>
          <w:rFonts w:ascii="Segoe UI" w:hAnsi="Segoe UI" w:cs="Segoe UI"/>
        </w:rPr>
        <w:t>every year</w:t>
      </w:r>
      <w:r w:rsidR="2AD45535" w:rsidRPr="6324CA36">
        <w:rPr>
          <w:rFonts w:ascii="Segoe UI" w:hAnsi="Segoe UI" w:cs="Segoe UI"/>
        </w:rPr>
        <w:t xml:space="preserve"> until </w:t>
      </w:r>
      <w:r w:rsidR="6BF48A40" w:rsidRPr="6324CA36">
        <w:rPr>
          <w:rFonts w:ascii="Segoe UI" w:hAnsi="Segoe UI" w:cs="Segoe UI"/>
        </w:rPr>
        <w:t xml:space="preserve">its exhaustion </w:t>
      </w:r>
      <w:r w:rsidR="2AD45535" w:rsidRPr="6324CA36">
        <w:rPr>
          <w:rFonts w:ascii="Segoe UI" w:hAnsi="Segoe UI" w:cs="Segoe UI"/>
        </w:rPr>
        <w:t>during FY 20</w:t>
      </w:r>
      <w:r w:rsidR="705ED651" w:rsidRPr="6324CA36">
        <w:rPr>
          <w:rFonts w:ascii="Segoe UI" w:hAnsi="Segoe UI" w:cs="Segoe UI"/>
        </w:rPr>
        <w:t>28</w:t>
      </w:r>
      <w:r w:rsidR="2E783D20" w:rsidRPr="6324CA36">
        <w:rPr>
          <w:rFonts w:ascii="Segoe UI" w:hAnsi="Segoe UI" w:cs="Segoe UI"/>
        </w:rPr>
        <w:t>.</w:t>
      </w:r>
      <w:r w:rsidR="1B256616" w:rsidRPr="6324CA36">
        <w:rPr>
          <w:rFonts w:ascii="Segoe UI" w:hAnsi="Segoe UI" w:cs="Segoe UI"/>
        </w:rPr>
        <w:t xml:space="preserve"> </w:t>
      </w:r>
      <w:r w:rsidRPr="6324CA36">
        <w:rPr>
          <w:rFonts w:ascii="Segoe UI" w:hAnsi="Segoe UI" w:cs="Segoe UI"/>
        </w:rPr>
        <w:t>As discussed in the</w:t>
      </w:r>
      <w:r w:rsidR="000E20E9" w:rsidRPr="6324CA36">
        <w:rPr>
          <w:rFonts w:ascii="Segoe UI" w:hAnsi="Segoe UI" w:cs="Segoe UI"/>
        </w:rPr>
        <w:t xml:space="preserve"> final rule</w:t>
      </w:r>
      <w:r w:rsidR="71915BC8" w:rsidRPr="6324CA36">
        <w:rPr>
          <w:rFonts w:ascii="Segoe UI" w:hAnsi="Segoe UI" w:cs="Segoe UI"/>
        </w:rPr>
        <w:t xml:space="preserve"> and</w:t>
      </w:r>
      <w:r w:rsidR="4F98EB56" w:rsidRPr="6324CA36">
        <w:rPr>
          <w:rFonts w:ascii="Segoe UI" w:hAnsi="Segoe UI" w:cs="Segoe UI"/>
        </w:rPr>
        <w:t xml:space="preserve"> </w:t>
      </w:r>
      <w:r w:rsidR="161B574A" w:rsidRPr="6324CA36">
        <w:rPr>
          <w:rFonts w:ascii="Segoe UI" w:hAnsi="Segoe UI" w:cs="Segoe UI"/>
        </w:rPr>
        <w:t xml:space="preserve">the FY </w:t>
      </w:r>
      <w:r w:rsidR="1E4DC7DD" w:rsidRPr="6324CA36">
        <w:rPr>
          <w:rFonts w:ascii="Segoe UI" w:hAnsi="Segoe UI" w:cs="Segoe UI"/>
        </w:rPr>
        <w:t>2025 Budget</w:t>
      </w:r>
      <w:r w:rsidRPr="6324CA36">
        <w:rPr>
          <w:rFonts w:ascii="Segoe UI" w:hAnsi="Segoe UI" w:cs="Segoe UI"/>
        </w:rPr>
        <w:t xml:space="preserve">, funding an operating reserve as part of </w:t>
      </w:r>
      <w:r w:rsidR="7BF94A26" w:rsidRPr="6324CA36">
        <w:rPr>
          <w:rFonts w:ascii="Segoe UI" w:hAnsi="Segoe UI" w:cs="Segoe UI"/>
        </w:rPr>
        <w:t>aggregate agency costs</w:t>
      </w:r>
      <w:r w:rsidRPr="6324CA36">
        <w:rPr>
          <w:rFonts w:ascii="Segoe UI" w:hAnsi="Segoe UI" w:cs="Segoe UI"/>
        </w:rPr>
        <w:t xml:space="preserve"> aligns with the </w:t>
      </w:r>
      <w:r w:rsidR="4290C761" w:rsidRPr="6324CA36">
        <w:rPr>
          <w:rFonts w:ascii="Segoe UI" w:hAnsi="Segoe UI" w:cs="Segoe UI"/>
        </w:rPr>
        <w:t>S</w:t>
      </w:r>
      <w:r w:rsidR="04450EB6" w:rsidRPr="6324CA36">
        <w:rPr>
          <w:rFonts w:ascii="Segoe UI" w:hAnsi="Segoe UI" w:cs="Segoe UI"/>
        </w:rPr>
        <w:t xml:space="preserve">trategic </w:t>
      </w:r>
      <w:r w:rsidR="55E268FB" w:rsidRPr="6324CA36">
        <w:rPr>
          <w:rFonts w:ascii="Segoe UI" w:hAnsi="Segoe UI" w:cs="Segoe UI"/>
        </w:rPr>
        <w:t>P</w:t>
      </w:r>
      <w:r w:rsidR="04450EB6" w:rsidRPr="6324CA36">
        <w:rPr>
          <w:rFonts w:ascii="Segoe UI" w:hAnsi="Segoe UI" w:cs="Segoe UI"/>
        </w:rPr>
        <w:t>lan objective</w:t>
      </w:r>
      <w:r w:rsidR="10F54934" w:rsidRPr="6324CA36">
        <w:rPr>
          <w:rFonts w:ascii="Segoe UI" w:hAnsi="Segoe UI" w:cs="Segoe UI"/>
        </w:rPr>
        <w:t xml:space="preserve"> </w:t>
      </w:r>
      <w:r w:rsidR="04450EB6" w:rsidRPr="6324CA36">
        <w:rPr>
          <w:rFonts w:ascii="Segoe UI" w:hAnsi="Segoe UI" w:cs="Segoe UI"/>
        </w:rPr>
        <w:t xml:space="preserve">to resource mission success. As a fully user fee-funded agency, </w:t>
      </w:r>
      <w:r w:rsidR="50369688" w:rsidRPr="6324CA36">
        <w:rPr>
          <w:rFonts w:ascii="Segoe UI" w:hAnsi="Segoe UI" w:cs="Segoe UI"/>
        </w:rPr>
        <w:t>t</w:t>
      </w:r>
      <w:r w:rsidR="458F6C90" w:rsidRPr="6324CA36">
        <w:rPr>
          <w:rFonts w:ascii="Segoe UI" w:hAnsi="Segoe UI" w:cs="Segoe UI"/>
        </w:rPr>
        <w:t xml:space="preserve">he </w:t>
      </w:r>
      <w:r w:rsidR="2C53D07D" w:rsidRPr="6324CA36">
        <w:rPr>
          <w:rFonts w:ascii="Segoe UI" w:hAnsi="Segoe UI" w:cs="Segoe UI"/>
        </w:rPr>
        <w:t xml:space="preserve">patent </w:t>
      </w:r>
      <w:r w:rsidR="458F6C90" w:rsidRPr="6324CA36">
        <w:rPr>
          <w:rFonts w:ascii="Segoe UI" w:hAnsi="Segoe UI" w:cs="Segoe UI"/>
        </w:rPr>
        <w:t>operating reserve</w:t>
      </w:r>
      <w:r w:rsidR="0B0BECAA" w:rsidRPr="6324CA36">
        <w:rPr>
          <w:rFonts w:ascii="Segoe UI" w:hAnsi="Segoe UI" w:cs="Segoe UI"/>
        </w:rPr>
        <w:t xml:space="preserve"> adds</w:t>
      </w:r>
      <w:r w:rsidR="458F6C90" w:rsidRPr="6324CA36">
        <w:rPr>
          <w:rFonts w:ascii="Segoe UI" w:hAnsi="Segoe UI" w:cs="Segoe UI"/>
        </w:rPr>
        <w:t xml:space="preserve"> consisten</w:t>
      </w:r>
      <w:r w:rsidR="4BA1CA1F" w:rsidRPr="6324CA36">
        <w:rPr>
          <w:rFonts w:ascii="Segoe UI" w:hAnsi="Segoe UI" w:cs="Segoe UI"/>
        </w:rPr>
        <w:t>c</w:t>
      </w:r>
      <w:r w:rsidR="458F6C90" w:rsidRPr="6324CA36">
        <w:rPr>
          <w:rFonts w:ascii="Segoe UI" w:hAnsi="Segoe UI" w:cs="Segoe UI"/>
        </w:rPr>
        <w:t xml:space="preserve">y </w:t>
      </w:r>
      <w:r w:rsidR="248B13C1" w:rsidRPr="6324CA36">
        <w:rPr>
          <w:rFonts w:ascii="Segoe UI" w:hAnsi="Segoe UI" w:cs="Segoe UI"/>
        </w:rPr>
        <w:t>to</w:t>
      </w:r>
      <w:r w:rsidR="458F6C90" w:rsidRPr="6324CA36">
        <w:rPr>
          <w:rFonts w:ascii="Segoe UI" w:hAnsi="Segoe UI" w:cs="Segoe UI"/>
        </w:rPr>
        <w:t xml:space="preserve"> operation</w:t>
      </w:r>
      <w:r w:rsidR="7AE40F50" w:rsidRPr="6324CA36">
        <w:rPr>
          <w:rFonts w:ascii="Segoe UI" w:hAnsi="Segoe UI" w:cs="Segoe UI"/>
        </w:rPr>
        <w:t>al funding</w:t>
      </w:r>
      <w:r w:rsidR="458F6C90" w:rsidRPr="6324CA36">
        <w:rPr>
          <w:rFonts w:ascii="Segoe UI" w:hAnsi="Segoe UI" w:cs="Segoe UI"/>
        </w:rPr>
        <w:t xml:space="preserve"> by absorbing and responding to immediate and temporary changes in economic and operating environments or circumstances.</w:t>
      </w:r>
    </w:p>
    <w:p w14:paraId="74BDFF9A" w14:textId="77777777" w:rsidR="00960FC0" w:rsidRPr="00CF6436" w:rsidRDefault="00960FC0" w:rsidP="00CF6436">
      <w:pPr>
        <w:spacing w:line="360" w:lineRule="auto"/>
        <w:rPr>
          <w:rFonts w:ascii="Segoe UI" w:hAnsi="Segoe UI" w:cs="Segoe UI"/>
        </w:rPr>
      </w:pPr>
    </w:p>
    <w:p w14:paraId="3803BF04" w14:textId="77777777" w:rsidR="00E516EA" w:rsidRPr="00CF6436" w:rsidRDefault="00E516EA" w:rsidP="00CF6436">
      <w:pPr>
        <w:spacing w:after="200" w:line="360" w:lineRule="auto"/>
        <w:rPr>
          <w:rFonts w:ascii="Segoe UI" w:eastAsiaTheme="majorEastAsia" w:hAnsi="Segoe UI" w:cs="Segoe UI"/>
          <w:b/>
          <w:bCs/>
          <w:color w:val="4F81BD" w:themeColor="accent1"/>
          <w:sz w:val="26"/>
          <w:szCs w:val="26"/>
        </w:rPr>
      </w:pPr>
      <w:bookmarkStart w:id="161" w:name="_Toc451951720"/>
      <w:r w:rsidRPr="00CF6436">
        <w:rPr>
          <w:rFonts w:ascii="Segoe UI" w:hAnsi="Segoe UI" w:cs="Segoe UI"/>
        </w:rPr>
        <w:br w:type="page"/>
      </w:r>
    </w:p>
    <w:p w14:paraId="02C3D0E7" w14:textId="5E41168F" w:rsidR="00E52351" w:rsidRPr="00CF6436" w:rsidRDefault="000F20DC" w:rsidP="00EA247B">
      <w:pPr>
        <w:pStyle w:val="Heading2Number"/>
        <w:numPr>
          <w:ilvl w:val="1"/>
          <w:numId w:val="14"/>
        </w:numPr>
        <w:spacing w:line="360" w:lineRule="auto"/>
        <w:rPr>
          <w:rFonts w:ascii="Segoe UI" w:hAnsi="Segoe UI" w:cs="Segoe UI"/>
        </w:rPr>
      </w:pPr>
      <w:bookmarkStart w:id="162" w:name="_Toc175640431"/>
      <w:r>
        <w:rPr>
          <w:rFonts w:ascii="Segoe UI" w:hAnsi="Segoe UI" w:cs="Segoe UI"/>
        </w:rPr>
        <w:lastRenderedPageBreak/>
        <w:t>Final</w:t>
      </w:r>
      <w:r w:rsidR="4E23398D" w:rsidRPr="293D3C50">
        <w:rPr>
          <w:rFonts w:ascii="Segoe UI" w:hAnsi="Segoe UI" w:cs="Segoe UI"/>
        </w:rPr>
        <w:t xml:space="preserve"> </w:t>
      </w:r>
      <w:r w:rsidR="2017F5D0" w:rsidRPr="293D3C50">
        <w:rPr>
          <w:rFonts w:ascii="Segoe UI" w:hAnsi="Segoe UI" w:cs="Segoe UI"/>
        </w:rPr>
        <w:t xml:space="preserve">Patent </w:t>
      </w:r>
      <w:r w:rsidR="5241044D" w:rsidRPr="293D3C50">
        <w:rPr>
          <w:rFonts w:ascii="Segoe UI" w:hAnsi="Segoe UI" w:cs="Segoe UI"/>
        </w:rPr>
        <w:t>Fee Schedule</w:t>
      </w:r>
      <w:bookmarkEnd w:id="157"/>
      <w:bookmarkEnd w:id="158"/>
      <w:bookmarkEnd w:id="159"/>
      <w:bookmarkEnd w:id="160"/>
      <w:bookmarkEnd w:id="161"/>
      <w:r w:rsidR="183DAD98" w:rsidRPr="293D3C50">
        <w:rPr>
          <w:rFonts w:ascii="Segoe UI" w:hAnsi="Segoe UI" w:cs="Segoe UI"/>
        </w:rPr>
        <w:t xml:space="preserve"> (Alternative 1)</w:t>
      </w:r>
      <w:bookmarkEnd w:id="162"/>
    </w:p>
    <w:p w14:paraId="68007DB7" w14:textId="2287F6AA" w:rsidR="2B747153" w:rsidRPr="00AE2FD6" w:rsidRDefault="3163E48D" w:rsidP="17CECF10">
      <w:pPr>
        <w:pStyle w:val="BottomofTableSpacing"/>
        <w:keepNext/>
        <w:tabs>
          <w:tab w:val="center" w:pos="4457"/>
          <w:tab w:val="left" w:pos="5820"/>
        </w:tabs>
        <w:spacing w:line="360" w:lineRule="auto"/>
        <w:jc w:val="center"/>
        <w:rPr>
          <w:rFonts w:ascii="Segoe UI" w:hAnsi="Segoe UI" w:cs="Segoe UI"/>
          <w:szCs w:val="24"/>
        </w:rPr>
      </w:pPr>
      <w:r w:rsidRPr="17CECF10">
        <w:rPr>
          <w:rFonts w:ascii="Segoe UI" w:hAnsi="Segoe UI" w:cs="Segoe UI"/>
          <w:b/>
          <w:bCs/>
          <w:szCs w:val="24"/>
        </w:rPr>
        <w:t>Table 4-</w:t>
      </w:r>
      <w:r w:rsidR="4B62051E" w:rsidRPr="17CECF10">
        <w:rPr>
          <w:rFonts w:ascii="Segoe UI" w:hAnsi="Segoe UI" w:cs="Segoe UI"/>
          <w:b/>
          <w:bCs/>
          <w:szCs w:val="24"/>
        </w:rPr>
        <w:t>2</w:t>
      </w:r>
    </w:p>
    <w:tbl>
      <w:tblPr>
        <w:tblStyle w:val="TableGrid211"/>
        <w:tblW w:w="9895" w:type="dxa"/>
        <w:jc w:val="center"/>
        <w:tblLayout w:type="fixed"/>
        <w:tblLook w:val="04A0" w:firstRow="1" w:lastRow="0" w:firstColumn="1" w:lastColumn="0" w:noHBand="0" w:noVBand="1"/>
      </w:tblPr>
      <w:tblGrid>
        <w:gridCol w:w="3247"/>
        <w:gridCol w:w="1108"/>
        <w:gridCol w:w="1108"/>
        <w:gridCol w:w="1108"/>
        <w:gridCol w:w="1108"/>
        <w:gridCol w:w="1108"/>
        <w:gridCol w:w="1108"/>
      </w:tblGrid>
      <w:tr w:rsidR="00573CF6" w:rsidRPr="00A54FC1" w14:paraId="4A8454BB" w14:textId="77777777" w:rsidTr="17CECF10">
        <w:trPr>
          <w:trHeight w:val="645"/>
          <w:jc w:val="center"/>
        </w:trPr>
        <w:tc>
          <w:tcPr>
            <w:tcW w:w="9895" w:type="dxa"/>
            <w:gridSpan w:val="7"/>
            <w:vAlign w:val="center"/>
            <w:hideMark/>
          </w:tcPr>
          <w:p w14:paraId="75582EF6" w14:textId="77777777" w:rsidR="00692FBD" w:rsidRPr="00A47EBE" w:rsidRDefault="00904314" w:rsidP="00F81E90">
            <w:pPr>
              <w:spacing w:line="276" w:lineRule="auto"/>
              <w:jc w:val="center"/>
              <w:rPr>
                <w:rFonts w:ascii="Segoe UI" w:eastAsia="Times New Roman" w:hAnsi="Segoe UI" w:cs="Segoe UI"/>
                <w:b/>
                <w:bCs/>
                <w:color w:val="000000"/>
                <w:sz w:val="22"/>
                <w:szCs w:val="22"/>
              </w:rPr>
            </w:pPr>
            <w:r w:rsidRPr="00A47EBE">
              <w:rPr>
                <w:rFonts w:ascii="Segoe UI" w:eastAsia="Times New Roman" w:hAnsi="Segoe UI" w:cs="Segoe UI"/>
                <w:b/>
                <w:bCs/>
                <w:color w:val="000000"/>
                <w:sz w:val="22"/>
                <w:szCs w:val="22"/>
              </w:rPr>
              <w:t>Patent Costs and Revenue by Alternative</w:t>
            </w:r>
          </w:p>
          <w:p w14:paraId="19C58B79" w14:textId="27DD7181" w:rsidR="00904314" w:rsidRPr="00A47EBE" w:rsidRDefault="2CB420B2" w:rsidP="00F81E90">
            <w:pPr>
              <w:spacing w:line="276" w:lineRule="auto"/>
              <w:jc w:val="center"/>
              <w:rPr>
                <w:rFonts w:ascii="Segoe UI" w:eastAsia="Times New Roman" w:hAnsi="Segoe UI" w:cs="Segoe UI"/>
                <w:b/>
                <w:bCs/>
                <w:color w:val="000000"/>
                <w:sz w:val="22"/>
                <w:szCs w:val="22"/>
              </w:rPr>
            </w:pPr>
            <w:r w:rsidRPr="17CECF10">
              <w:rPr>
                <w:rFonts w:ascii="Segoe UI" w:eastAsia="Times New Roman" w:hAnsi="Segoe UI" w:cs="Segoe UI"/>
                <w:b/>
                <w:bCs/>
                <w:color w:val="000000" w:themeColor="text1"/>
                <w:sz w:val="22"/>
                <w:szCs w:val="22"/>
              </w:rPr>
              <w:t>(dollars in millions)</w:t>
            </w:r>
          </w:p>
        </w:tc>
      </w:tr>
      <w:tr w:rsidR="00A47EBE" w:rsidRPr="00A54FC1" w14:paraId="2E093C13" w14:textId="77777777" w:rsidTr="17CECF10">
        <w:trPr>
          <w:trHeight w:val="330"/>
          <w:jc w:val="center"/>
        </w:trPr>
        <w:tc>
          <w:tcPr>
            <w:tcW w:w="3247" w:type="dxa"/>
            <w:noWrap/>
            <w:vAlign w:val="center"/>
            <w:hideMark/>
          </w:tcPr>
          <w:p w14:paraId="0567DA95" w14:textId="61B8B2CD" w:rsidR="00A47EBE" w:rsidRPr="00A47EBE" w:rsidRDefault="00A47EBE" w:rsidP="001C36C8">
            <w:pPr>
              <w:spacing w:line="276" w:lineRule="auto"/>
              <w:jc w:val="center"/>
              <w:rPr>
                <w:rFonts w:ascii="Segoe UI" w:eastAsia="Times New Roman" w:hAnsi="Segoe UI" w:cs="Segoe UI"/>
                <w:color w:val="000000"/>
                <w:sz w:val="22"/>
                <w:szCs w:val="22"/>
              </w:rPr>
            </w:pPr>
          </w:p>
        </w:tc>
        <w:tc>
          <w:tcPr>
            <w:tcW w:w="1108" w:type="dxa"/>
            <w:noWrap/>
            <w:vAlign w:val="center"/>
            <w:hideMark/>
          </w:tcPr>
          <w:p w14:paraId="7C3943CB" w14:textId="534132FB" w:rsidR="00A47EBE" w:rsidRPr="00A47EBE" w:rsidRDefault="00A47EBE" w:rsidP="00F81E90">
            <w:pPr>
              <w:spacing w:line="276" w:lineRule="auto"/>
              <w:jc w:val="center"/>
              <w:rPr>
                <w:rFonts w:ascii="Segoe UI" w:eastAsia="Times New Roman" w:hAnsi="Segoe UI" w:cs="Segoe UI"/>
                <w:b/>
                <w:bCs/>
                <w:sz w:val="22"/>
                <w:szCs w:val="22"/>
                <w:highlight w:val="yellow"/>
              </w:rPr>
            </w:pPr>
            <w:r w:rsidRPr="00A47EBE">
              <w:rPr>
                <w:rFonts w:ascii="Segoe UI" w:eastAsia="MS Mincho" w:hAnsi="Segoe UI" w:cs="Segoe UI"/>
                <w:b/>
                <w:bCs/>
                <w:sz w:val="22"/>
                <w:szCs w:val="22"/>
              </w:rPr>
              <w:t>FY 2025</w:t>
            </w:r>
          </w:p>
        </w:tc>
        <w:tc>
          <w:tcPr>
            <w:tcW w:w="1108" w:type="dxa"/>
            <w:noWrap/>
            <w:vAlign w:val="center"/>
            <w:hideMark/>
          </w:tcPr>
          <w:p w14:paraId="3BEAAF65" w14:textId="074D9AA8" w:rsidR="00A47EBE" w:rsidRPr="00A47EBE" w:rsidRDefault="00A47EBE" w:rsidP="00F81E90">
            <w:pPr>
              <w:spacing w:line="276" w:lineRule="auto"/>
              <w:jc w:val="center"/>
              <w:rPr>
                <w:rFonts w:ascii="Segoe UI" w:eastAsia="Times New Roman" w:hAnsi="Segoe UI" w:cs="Segoe UI"/>
                <w:b/>
                <w:bCs/>
                <w:sz w:val="22"/>
                <w:szCs w:val="22"/>
                <w:highlight w:val="yellow"/>
              </w:rPr>
            </w:pPr>
            <w:r w:rsidRPr="00A47EBE">
              <w:rPr>
                <w:rFonts w:ascii="Segoe UI" w:eastAsia="MS Mincho" w:hAnsi="Segoe UI" w:cs="Segoe UI"/>
                <w:b/>
                <w:bCs/>
                <w:sz w:val="22"/>
                <w:szCs w:val="22"/>
              </w:rPr>
              <w:t>FY 2026</w:t>
            </w:r>
          </w:p>
        </w:tc>
        <w:tc>
          <w:tcPr>
            <w:tcW w:w="1108" w:type="dxa"/>
            <w:noWrap/>
            <w:vAlign w:val="center"/>
            <w:hideMark/>
          </w:tcPr>
          <w:p w14:paraId="355777DB" w14:textId="4732DFD8" w:rsidR="00A47EBE" w:rsidRPr="00A47EBE" w:rsidRDefault="00A47EBE" w:rsidP="00F81E90">
            <w:pPr>
              <w:spacing w:line="276" w:lineRule="auto"/>
              <w:jc w:val="center"/>
              <w:rPr>
                <w:rFonts w:ascii="Segoe UI" w:eastAsia="Times New Roman" w:hAnsi="Segoe UI" w:cs="Segoe UI"/>
                <w:b/>
                <w:bCs/>
                <w:sz w:val="22"/>
                <w:szCs w:val="22"/>
                <w:highlight w:val="yellow"/>
              </w:rPr>
            </w:pPr>
            <w:r w:rsidRPr="00A47EBE">
              <w:rPr>
                <w:rFonts w:ascii="Segoe UI" w:eastAsia="MS Mincho" w:hAnsi="Segoe UI" w:cs="Segoe UI"/>
                <w:b/>
                <w:bCs/>
                <w:sz w:val="22"/>
                <w:szCs w:val="22"/>
              </w:rPr>
              <w:t>FY 2027</w:t>
            </w:r>
          </w:p>
        </w:tc>
        <w:tc>
          <w:tcPr>
            <w:tcW w:w="1108" w:type="dxa"/>
            <w:noWrap/>
            <w:vAlign w:val="center"/>
            <w:hideMark/>
          </w:tcPr>
          <w:p w14:paraId="779DCEF1" w14:textId="05C23FE2" w:rsidR="00A47EBE" w:rsidRPr="00A47EBE" w:rsidRDefault="00A47EBE" w:rsidP="00F81E90">
            <w:pPr>
              <w:spacing w:line="276" w:lineRule="auto"/>
              <w:jc w:val="center"/>
              <w:rPr>
                <w:rFonts w:ascii="Segoe UI" w:eastAsia="Times New Roman" w:hAnsi="Segoe UI" w:cs="Segoe UI"/>
                <w:b/>
                <w:bCs/>
                <w:sz w:val="22"/>
                <w:szCs w:val="22"/>
                <w:highlight w:val="yellow"/>
              </w:rPr>
            </w:pPr>
            <w:r w:rsidRPr="00A47EBE">
              <w:rPr>
                <w:rFonts w:ascii="Segoe UI" w:eastAsia="MS Mincho" w:hAnsi="Segoe UI" w:cs="Segoe UI"/>
                <w:b/>
                <w:bCs/>
                <w:sz w:val="22"/>
                <w:szCs w:val="22"/>
              </w:rPr>
              <w:t>FY 2028</w:t>
            </w:r>
          </w:p>
        </w:tc>
        <w:tc>
          <w:tcPr>
            <w:tcW w:w="1108" w:type="dxa"/>
            <w:noWrap/>
            <w:vAlign w:val="center"/>
            <w:hideMark/>
          </w:tcPr>
          <w:p w14:paraId="7C18F134" w14:textId="08196F7C" w:rsidR="00A47EBE" w:rsidRPr="00A47EBE" w:rsidRDefault="00A47EBE" w:rsidP="00C5760B">
            <w:pPr>
              <w:spacing w:line="276" w:lineRule="auto"/>
              <w:jc w:val="center"/>
              <w:rPr>
                <w:rFonts w:ascii="Segoe UI" w:eastAsia="Times New Roman" w:hAnsi="Segoe UI" w:cs="Segoe UI"/>
                <w:b/>
                <w:bCs/>
                <w:sz w:val="22"/>
                <w:szCs w:val="22"/>
                <w:highlight w:val="yellow"/>
              </w:rPr>
            </w:pPr>
            <w:r w:rsidRPr="00A47EBE">
              <w:rPr>
                <w:rFonts w:ascii="Segoe UI" w:eastAsia="MS Mincho" w:hAnsi="Segoe UI" w:cs="Segoe UI"/>
                <w:b/>
                <w:bCs/>
                <w:sz w:val="22"/>
                <w:szCs w:val="22"/>
              </w:rPr>
              <w:t>FY 2029</w:t>
            </w:r>
          </w:p>
        </w:tc>
        <w:tc>
          <w:tcPr>
            <w:tcW w:w="1108" w:type="dxa"/>
            <w:noWrap/>
            <w:vAlign w:val="center"/>
            <w:hideMark/>
          </w:tcPr>
          <w:p w14:paraId="63EA4941" w14:textId="52D6AC3B" w:rsidR="00A47EBE" w:rsidRPr="00A47EBE" w:rsidRDefault="00A47EBE" w:rsidP="001C36C8">
            <w:pPr>
              <w:spacing w:line="276" w:lineRule="auto"/>
              <w:jc w:val="center"/>
              <w:rPr>
                <w:rFonts w:ascii="Segoe UI" w:eastAsia="Times New Roman" w:hAnsi="Segoe UI" w:cs="Segoe UI"/>
                <w:b/>
                <w:bCs/>
                <w:sz w:val="22"/>
                <w:szCs w:val="22"/>
                <w:highlight w:val="yellow"/>
              </w:rPr>
            </w:pPr>
            <w:r w:rsidRPr="00A47EBE">
              <w:rPr>
                <w:rFonts w:ascii="Segoe UI" w:eastAsia="MS Mincho" w:hAnsi="Segoe UI" w:cs="Segoe UI"/>
                <w:b/>
                <w:bCs/>
                <w:sz w:val="22"/>
                <w:szCs w:val="22"/>
              </w:rPr>
              <w:t>Total</w:t>
            </w:r>
          </w:p>
        </w:tc>
      </w:tr>
      <w:tr w:rsidR="0061637C" w:rsidRPr="00A54FC1" w14:paraId="150CDA95" w14:textId="77777777" w:rsidTr="00B64020">
        <w:trPr>
          <w:trHeight w:val="488"/>
          <w:jc w:val="center"/>
        </w:trPr>
        <w:tc>
          <w:tcPr>
            <w:tcW w:w="3247" w:type="dxa"/>
            <w:shd w:val="clear" w:color="auto" w:fill="F2F2F2" w:themeFill="background1" w:themeFillShade="F2"/>
            <w:vAlign w:val="center"/>
            <w:hideMark/>
          </w:tcPr>
          <w:p w14:paraId="3352693D" w14:textId="109A3884" w:rsidR="0061637C" w:rsidRPr="00A47EBE" w:rsidRDefault="0061637C" w:rsidP="0061637C">
            <w:pPr>
              <w:spacing w:line="276" w:lineRule="auto"/>
              <w:rPr>
                <w:rFonts w:ascii="Segoe UI" w:eastAsia="Times New Roman" w:hAnsi="Segoe UI" w:cs="Segoe UI"/>
                <w:b/>
                <w:bCs/>
                <w:color w:val="000000"/>
                <w:sz w:val="22"/>
                <w:szCs w:val="22"/>
              </w:rPr>
            </w:pPr>
            <w:r w:rsidRPr="00A47EBE">
              <w:rPr>
                <w:rFonts w:ascii="Segoe UI" w:hAnsi="Segoe UI" w:cs="Segoe UI"/>
                <w:b/>
                <w:bCs/>
                <w:color w:val="000000"/>
                <w:sz w:val="22"/>
                <w:szCs w:val="22"/>
              </w:rPr>
              <w:t>Budgetary requirements</w:t>
            </w:r>
          </w:p>
        </w:tc>
        <w:tc>
          <w:tcPr>
            <w:tcW w:w="1108" w:type="dxa"/>
            <w:tcBorders>
              <w:top w:val="nil"/>
              <w:left w:val="nil"/>
              <w:bottom w:val="single" w:sz="8" w:space="0" w:color="auto"/>
              <w:right w:val="single" w:sz="8" w:space="0" w:color="auto"/>
            </w:tcBorders>
            <w:shd w:val="clear" w:color="auto" w:fill="F2F2F2" w:themeFill="background1" w:themeFillShade="F2"/>
            <w:noWrap/>
            <w:vAlign w:val="center"/>
            <w:hideMark/>
          </w:tcPr>
          <w:p w14:paraId="7B9C15CF" w14:textId="309AA217" w:rsidR="0061637C" w:rsidRPr="0061637C" w:rsidRDefault="0061637C" w:rsidP="0061637C">
            <w:pPr>
              <w:spacing w:line="276" w:lineRule="auto"/>
              <w:jc w:val="right"/>
              <w:rPr>
                <w:rFonts w:ascii="Segoe UI" w:eastAsia="Times New Roman" w:hAnsi="Segoe UI" w:cs="Segoe UI"/>
                <w:b/>
                <w:bCs/>
                <w:sz w:val="22"/>
                <w:szCs w:val="22"/>
                <w:highlight w:val="yellow"/>
              </w:rPr>
            </w:pPr>
            <w:r w:rsidRPr="00B64020">
              <w:rPr>
                <w:rFonts w:ascii="Segoe UI" w:hAnsi="Segoe UI" w:cs="Segoe UI"/>
                <w:sz w:val="22"/>
              </w:rPr>
              <w:t>$3,975</w:t>
            </w:r>
          </w:p>
        </w:tc>
        <w:tc>
          <w:tcPr>
            <w:tcW w:w="1108" w:type="dxa"/>
            <w:tcBorders>
              <w:top w:val="nil"/>
              <w:left w:val="nil"/>
              <w:bottom w:val="single" w:sz="8" w:space="0" w:color="auto"/>
              <w:right w:val="single" w:sz="8" w:space="0" w:color="auto"/>
            </w:tcBorders>
            <w:shd w:val="clear" w:color="auto" w:fill="F2F2F2" w:themeFill="background1" w:themeFillShade="F2"/>
            <w:noWrap/>
            <w:vAlign w:val="center"/>
            <w:hideMark/>
          </w:tcPr>
          <w:p w14:paraId="2DFD9F6F" w14:textId="3749078D" w:rsidR="0061637C" w:rsidRPr="0061637C" w:rsidRDefault="0061637C" w:rsidP="0061637C">
            <w:pPr>
              <w:spacing w:line="276" w:lineRule="auto"/>
              <w:jc w:val="right"/>
              <w:rPr>
                <w:rFonts w:ascii="Segoe UI" w:eastAsia="Times New Roman" w:hAnsi="Segoe UI" w:cs="Segoe UI"/>
                <w:b/>
                <w:bCs/>
                <w:sz w:val="22"/>
                <w:szCs w:val="22"/>
                <w:highlight w:val="yellow"/>
              </w:rPr>
            </w:pPr>
            <w:r w:rsidRPr="00B64020">
              <w:rPr>
                <w:rFonts w:ascii="Segoe UI" w:hAnsi="Segoe UI" w:cs="Segoe UI"/>
                <w:sz w:val="22"/>
              </w:rPr>
              <w:t>$4,102</w:t>
            </w:r>
          </w:p>
        </w:tc>
        <w:tc>
          <w:tcPr>
            <w:tcW w:w="1108" w:type="dxa"/>
            <w:tcBorders>
              <w:top w:val="nil"/>
              <w:left w:val="nil"/>
              <w:bottom w:val="single" w:sz="8" w:space="0" w:color="auto"/>
              <w:right w:val="single" w:sz="8" w:space="0" w:color="auto"/>
            </w:tcBorders>
            <w:shd w:val="clear" w:color="auto" w:fill="F2F2F2" w:themeFill="background1" w:themeFillShade="F2"/>
            <w:noWrap/>
            <w:vAlign w:val="center"/>
            <w:hideMark/>
          </w:tcPr>
          <w:p w14:paraId="75DA3B44" w14:textId="07B372BC" w:rsidR="0061637C" w:rsidRPr="0061637C" w:rsidRDefault="0061637C" w:rsidP="0061637C">
            <w:pPr>
              <w:spacing w:line="276" w:lineRule="auto"/>
              <w:jc w:val="right"/>
              <w:rPr>
                <w:rFonts w:ascii="Segoe UI" w:eastAsia="Times New Roman" w:hAnsi="Segoe UI" w:cs="Segoe UI"/>
                <w:b/>
                <w:bCs/>
                <w:sz w:val="22"/>
                <w:szCs w:val="22"/>
                <w:highlight w:val="yellow"/>
              </w:rPr>
            </w:pPr>
            <w:r w:rsidRPr="00B64020">
              <w:rPr>
                <w:rFonts w:ascii="Segoe UI" w:hAnsi="Segoe UI" w:cs="Segoe UI"/>
                <w:sz w:val="22"/>
              </w:rPr>
              <w:t>$4,268</w:t>
            </w:r>
          </w:p>
        </w:tc>
        <w:tc>
          <w:tcPr>
            <w:tcW w:w="1108" w:type="dxa"/>
            <w:tcBorders>
              <w:top w:val="nil"/>
              <w:left w:val="nil"/>
              <w:bottom w:val="single" w:sz="8" w:space="0" w:color="auto"/>
              <w:right w:val="single" w:sz="8" w:space="0" w:color="auto"/>
            </w:tcBorders>
            <w:shd w:val="clear" w:color="auto" w:fill="F2F2F2" w:themeFill="background1" w:themeFillShade="F2"/>
            <w:noWrap/>
            <w:vAlign w:val="center"/>
            <w:hideMark/>
          </w:tcPr>
          <w:p w14:paraId="502086A7" w14:textId="0A4546DB" w:rsidR="0061637C" w:rsidRPr="0061637C" w:rsidRDefault="0061637C" w:rsidP="0061637C">
            <w:pPr>
              <w:spacing w:line="276" w:lineRule="auto"/>
              <w:jc w:val="right"/>
              <w:rPr>
                <w:rFonts w:ascii="Segoe UI" w:eastAsia="Times New Roman" w:hAnsi="Segoe UI" w:cs="Segoe UI"/>
                <w:b/>
                <w:bCs/>
                <w:sz w:val="22"/>
                <w:szCs w:val="22"/>
                <w:highlight w:val="yellow"/>
              </w:rPr>
            </w:pPr>
            <w:r w:rsidRPr="00B64020">
              <w:rPr>
                <w:rFonts w:ascii="Segoe UI" w:hAnsi="Segoe UI" w:cs="Segoe UI"/>
                <w:sz w:val="22"/>
              </w:rPr>
              <w:t>$4,431</w:t>
            </w:r>
          </w:p>
        </w:tc>
        <w:tc>
          <w:tcPr>
            <w:tcW w:w="1108" w:type="dxa"/>
            <w:tcBorders>
              <w:top w:val="nil"/>
              <w:left w:val="nil"/>
              <w:bottom w:val="single" w:sz="8" w:space="0" w:color="auto"/>
              <w:right w:val="single" w:sz="8" w:space="0" w:color="auto"/>
            </w:tcBorders>
            <w:shd w:val="clear" w:color="auto" w:fill="F2F2F2" w:themeFill="background1" w:themeFillShade="F2"/>
            <w:noWrap/>
            <w:vAlign w:val="center"/>
            <w:hideMark/>
          </w:tcPr>
          <w:p w14:paraId="0ADAA4B0" w14:textId="1EBBE7A6" w:rsidR="0061637C" w:rsidRPr="0061637C" w:rsidRDefault="0061637C" w:rsidP="0061637C">
            <w:pPr>
              <w:spacing w:line="276" w:lineRule="auto"/>
              <w:jc w:val="right"/>
              <w:rPr>
                <w:rFonts w:ascii="Segoe UI" w:eastAsia="Times New Roman" w:hAnsi="Segoe UI" w:cs="Segoe UI"/>
                <w:b/>
                <w:bCs/>
                <w:sz w:val="22"/>
                <w:szCs w:val="22"/>
                <w:highlight w:val="yellow"/>
              </w:rPr>
            </w:pPr>
            <w:r w:rsidRPr="00B64020">
              <w:rPr>
                <w:rFonts w:ascii="Segoe UI" w:hAnsi="Segoe UI" w:cs="Segoe UI"/>
                <w:sz w:val="22"/>
              </w:rPr>
              <w:t>$4,600</w:t>
            </w:r>
          </w:p>
        </w:tc>
        <w:tc>
          <w:tcPr>
            <w:tcW w:w="1108" w:type="dxa"/>
            <w:tcBorders>
              <w:top w:val="nil"/>
              <w:left w:val="nil"/>
              <w:bottom w:val="single" w:sz="8" w:space="0" w:color="auto"/>
              <w:right w:val="single" w:sz="8" w:space="0" w:color="auto"/>
            </w:tcBorders>
            <w:shd w:val="clear" w:color="auto" w:fill="F2F2F2" w:themeFill="background1" w:themeFillShade="F2"/>
            <w:noWrap/>
            <w:vAlign w:val="center"/>
            <w:hideMark/>
          </w:tcPr>
          <w:p w14:paraId="00ECBC9F" w14:textId="29B2859A" w:rsidR="0061637C" w:rsidRPr="0061637C" w:rsidRDefault="0061637C" w:rsidP="0061637C">
            <w:pPr>
              <w:spacing w:line="276" w:lineRule="auto"/>
              <w:jc w:val="right"/>
              <w:rPr>
                <w:rFonts w:ascii="Segoe UI" w:eastAsia="Times New Roman" w:hAnsi="Segoe UI" w:cs="Segoe UI"/>
                <w:b/>
                <w:bCs/>
                <w:sz w:val="22"/>
                <w:szCs w:val="22"/>
                <w:highlight w:val="yellow"/>
              </w:rPr>
            </w:pPr>
            <w:r w:rsidRPr="00B64020">
              <w:rPr>
                <w:rFonts w:ascii="Segoe UI" w:hAnsi="Segoe UI" w:cs="Segoe UI"/>
                <w:sz w:val="22"/>
              </w:rPr>
              <w:t>$21,376</w:t>
            </w:r>
          </w:p>
        </w:tc>
      </w:tr>
      <w:tr w:rsidR="0061637C" w:rsidRPr="00A54FC1" w14:paraId="55D22345" w14:textId="77777777" w:rsidTr="00B64020">
        <w:trPr>
          <w:trHeight w:val="302"/>
          <w:jc w:val="center"/>
        </w:trPr>
        <w:tc>
          <w:tcPr>
            <w:tcW w:w="3247" w:type="dxa"/>
            <w:vAlign w:val="center"/>
            <w:hideMark/>
          </w:tcPr>
          <w:p w14:paraId="292A5029" w14:textId="08A323FA" w:rsidR="0061637C" w:rsidRPr="00A47EBE" w:rsidRDefault="0061637C" w:rsidP="0061637C">
            <w:pPr>
              <w:spacing w:line="276" w:lineRule="auto"/>
              <w:rPr>
                <w:rFonts w:ascii="Segoe UI" w:eastAsia="Times New Roman" w:hAnsi="Segoe UI" w:cs="Segoe UI"/>
                <w:color w:val="000000"/>
                <w:sz w:val="22"/>
                <w:szCs w:val="22"/>
              </w:rPr>
            </w:pPr>
            <w:r w:rsidRPr="00A47EBE">
              <w:rPr>
                <w:rFonts w:ascii="Segoe UI" w:hAnsi="Segoe UI" w:cs="Segoe UI"/>
                <w:color w:val="000000"/>
                <w:sz w:val="22"/>
                <w:szCs w:val="22"/>
              </w:rPr>
              <w:t xml:space="preserve">Alternative 1: </w:t>
            </w:r>
            <w:r>
              <w:rPr>
                <w:rFonts w:ascii="Segoe UI" w:hAnsi="Segoe UI" w:cs="Segoe UI"/>
                <w:color w:val="000000"/>
                <w:sz w:val="22"/>
                <w:szCs w:val="22"/>
              </w:rPr>
              <w:t>Final</w:t>
            </w:r>
            <w:r w:rsidRPr="00A47EBE">
              <w:rPr>
                <w:rFonts w:ascii="Segoe UI" w:hAnsi="Segoe UI" w:cs="Segoe UI"/>
                <w:color w:val="000000"/>
                <w:sz w:val="22"/>
                <w:szCs w:val="22"/>
              </w:rPr>
              <w:t xml:space="preserve"> Patent Fee Schedule—fee revenue</w:t>
            </w:r>
          </w:p>
        </w:tc>
        <w:tc>
          <w:tcPr>
            <w:tcW w:w="1108" w:type="dxa"/>
            <w:tcBorders>
              <w:top w:val="nil"/>
              <w:left w:val="nil"/>
              <w:bottom w:val="single" w:sz="8" w:space="0" w:color="auto"/>
              <w:right w:val="single" w:sz="8" w:space="0" w:color="auto"/>
            </w:tcBorders>
            <w:shd w:val="clear" w:color="auto" w:fill="auto"/>
            <w:noWrap/>
            <w:vAlign w:val="center"/>
            <w:hideMark/>
          </w:tcPr>
          <w:p w14:paraId="5752058E" w14:textId="40BC248F" w:rsidR="0061637C" w:rsidRPr="0061637C" w:rsidRDefault="0061637C" w:rsidP="0061637C">
            <w:pPr>
              <w:spacing w:line="276" w:lineRule="auto"/>
              <w:jc w:val="right"/>
              <w:rPr>
                <w:rFonts w:ascii="Segoe UI" w:eastAsia="Times New Roman" w:hAnsi="Segoe UI" w:cs="Segoe UI"/>
                <w:sz w:val="22"/>
                <w:szCs w:val="22"/>
                <w:highlight w:val="yellow"/>
              </w:rPr>
            </w:pPr>
            <w:r w:rsidRPr="00B64020">
              <w:rPr>
                <w:rFonts w:ascii="Segoe UI" w:hAnsi="Segoe UI" w:cs="Segoe UI"/>
                <w:sz w:val="22"/>
              </w:rPr>
              <w:t>$3,963</w:t>
            </w:r>
          </w:p>
        </w:tc>
        <w:tc>
          <w:tcPr>
            <w:tcW w:w="1108" w:type="dxa"/>
            <w:tcBorders>
              <w:top w:val="nil"/>
              <w:left w:val="nil"/>
              <w:bottom w:val="single" w:sz="8" w:space="0" w:color="auto"/>
              <w:right w:val="single" w:sz="8" w:space="0" w:color="auto"/>
            </w:tcBorders>
            <w:shd w:val="clear" w:color="auto" w:fill="auto"/>
            <w:noWrap/>
            <w:vAlign w:val="center"/>
            <w:hideMark/>
          </w:tcPr>
          <w:p w14:paraId="00ABF3D1" w14:textId="0CD363F5" w:rsidR="0061637C" w:rsidRPr="0061637C" w:rsidRDefault="0061637C" w:rsidP="0061637C">
            <w:pPr>
              <w:spacing w:line="276" w:lineRule="auto"/>
              <w:jc w:val="right"/>
              <w:rPr>
                <w:rFonts w:ascii="Segoe UI" w:eastAsia="Times New Roman" w:hAnsi="Segoe UI" w:cs="Segoe UI"/>
                <w:sz w:val="22"/>
                <w:szCs w:val="22"/>
                <w:highlight w:val="yellow"/>
              </w:rPr>
            </w:pPr>
            <w:r w:rsidRPr="00B64020">
              <w:rPr>
                <w:rFonts w:ascii="Segoe UI" w:hAnsi="Segoe UI" w:cs="Segoe UI"/>
                <w:sz w:val="22"/>
              </w:rPr>
              <w:t>$4,240</w:t>
            </w:r>
          </w:p>
        </w:tc>
        <w:tc>
          <w:tcPr>
            <w:tcW w:w="1108" w:type="dxa"/>
            <w:tcBorders>
              <w:top w:val="nil"/>
              <w:left w:val="nil"/>
              <w:bottom w:val="single" w:sz="8" w:space="0" w:color="auto"/>
              <w:right w:val="single" w:sz="8" w:space="0" w:color="auto"/>
            </w:tcBorders>
            <w:shd w:val="clear" w:color="auto" w:fill="auto"/>
            <w:noWrap/>
            <w:vAlign w:val="center"/>
            <w:hideMark/>
          </w:tcPr>
          <w:p w14:paraId="5FB53ED7" w14:textId="24AE77F6" w:rsidR="0061637C" w:rsidRPr="0061637C" w:rsidRDefault="0061637C" w:rsidP="0061637C">
            <w:pPr>
              <w:spacing w:line="276" w:lineRule="auto"/>
              <w:jc w:val="right"/>
              <w:rPr>
                <w:rFonts w:ascii="Segoe UI" w:eastAsia="Times New Roman" w:hAnsi="Segoe UI" w:cs="Segoe UI"/>
                <w:sz w:val="22"/>
                <w:szCs w:val="22"/>
                <w:highlight w:val="yellow"/>
              </w:rPr>
            </w:pPr>
            <w:r w:rsidRPr="00B64020">
              <w:rPr>
                <w:rFonts w:ascii="Segoe UI" w:hAnsi="Segoe UI" w:cs="Segoe UI"/>
                <w:sz w:val="22"/>
              </w:rPr>
              <w:t>$4,343</w:t>
            </w:r>
          </w:p>
        </w:tc>
        <w:tc>
          <w:tcPr>
            <w:tcW w:w="1108" w:type="dxa"/>
            <w:tcBorders>
              <w:top w:val="nil"/>
              <w:left w:val="nil"/>
              <w:bottom w:val="single" w:sz="8" w:space="0" w:color="auto"/>
              <w:right w:val="single" w:sz="8" w:space="0" w:color="auto"/>
            </w:tcBorders>
            <w:shd w:val="clear" w:color="auto" w:fill="auto"/>
            <w:noWrap/>
            <w:vAlign w:val="center"/>
            <w:hideMark/>
          </w:tcPr>
          <w:p w14:paraId="47389480" w14:textId="543CD68F" w:rsidR="0061637C" w:rsidRPr="0061637C" w:rsidRDefault="0061637C" w:rsidP="0061637C">
            <w:pPr>
              <w:spacing w:line="276" w:lineRule="auto"/>
              <w:jc w:val="right"/>
              <w:rPr>
                <w:rFonts w:ascii="Segoe UI" w:eastAsia="Times New Roman" w:hAnsi="Segoe UI" w:cs="Segoe UI"/>
                <w:sz w:val="22"/>
                <w:szCs w:val="22"/>
                <w:highlight w:val="yellow"/>
              </w:rPr>
            </w:pPr>
            <w:r w:rsidRPr="00B64020">
              <w:rPr>
                <w:rFonts w:ascii="Segoe UI" w:hAnsi="Segoe UI" w:cs="Segoe UI"/>
                <w:sz w:val="22"/>
              </w:rPr>
              <w:t>$4,308</w:t>
            </w:r>
          </w:p>
        </w:tc>
        <w:tc>
          <w:tcPr>
            <w:tcW w:w="1108" w:type="dxa"/>
            <w:tcBorders>
              <w:top w:val="nil"/>
              <w:left w:val="nil"/>
              <w:bottom w:val="single" w:sz="8" w:space="0" w:color="auto"/>
              <w:right w:val="single" w:sz="8" w:space="0" w:color="auto"/>
            </w:tcBorders>
            <w:shd w:val="clear" w:color="auto" w:fill="auto"/>
            <w:noWrap/>
            <w:vAlign w:val="center"/>
            <w:hideMark/>
          </w:tcPr>
          <w:p w14:paraId="60A5C1FF" w14:textId="3CFFFCA6" w:rsidR="0061637C" w:rsidRPr="0061637C" w:rsidRDefault="0061637C" w:rsidP="0061637C">
            <w:pPr>
              <w:spacing w:line="276" w:lineRule="auto"/>
              <w:jc w:val="right"/>
              <w:rPr>
                <w:rFonts w:ascii="Segoe UI" w:eastAsia="Times New Roman" w:hAnsi="Segoe UI" w:cs="Segoe UI"/>
                <w:sz w:val="22"/>
                <w:szCs w:val="22"/>
                <w:highlight w:val="yellow"/>
              </w:rPr>
            </w:pPr>
            <w:r w:rsidRPr="00B64020">
              <w:rPr>
                <w:rFonts w:ascii="Segoe UI" w:hAnsi="Segoe UI" w:cs="Segoe UI"/>
                <w:sz w:val="22"/>
              </w:rPr>
              <w:t>$4,317</w:t>
            </w:r>
          </w:p>
        </w:tc>
        <w:tc>
          <w:tcPr>
            <w:tcW w:w="1108" w:type="dxa"/>
            <w:tcBorders>
              <w:top w:val="nil"/>
              <w:left w:val="nil"/>
              <w:bottom w:val="single" w:sz="8" w:space="0" w:color="auto"/>
              <w:right w:val="single" w:sz="8" w:space="0" w:color="auto"/>
            </w:tcBorders>
            <w:shd w:val="clear" w:color="auto" w:fill="auto"/>
            <w:noWrap/>
            <w:vAlign w:val="center"/>
            <w:hideMark/>
          </w:tcPr>
          <w:p w14:paraId="52104920" w14:textId="438C37D5" w:rsidR="0061637C" w:rsidRPr="0061637C" w:rsidRDefault="0061637C" w:rsidP="0061637C">
            <w:pPr>
              <w:spacing w:line="276" w:lineRule="auto"/>
              <w:jc w:val="right"/>
              <w:rPr>
                <w:rFonts w:ascii="Segoe UI" w:eastAsia="Times New Roman" w:hAnsi="Segoe UI" w:cs="Segoe UI"/>
                <w:sz w:val="22"/>
                <w:szCs w:val="22"/>
                <w:highlight w:val="yellow"/>
              </w:rPr>
            </w:pPr>
            <w:r w:rsidRPr="00B64020">
              <w:rPr>
                <w:rFonts w:ascii="Segoe UI" w:hAnsi="Segoe UI" w:cs="Segoe UI"/>
                <w:sz w:val="22"/>
              </w:rPr>
              <w:t>$21,170</w:t>
            </w:r>
          </w:p>
        </w:tc>
      </w:tr>
      <w:tr w:rsidR="0061637C" w:rsidRPr="00A54FC1" w14:paraId="7B416177" w14:textId="77777777" w:rsidTr="00B64020">
        <w:trPr>
          <w:trHeight w:val="330"/>
          <w:jc w:val="center"/>
        </w:trPr>
        <w:tc>
          <w:tcPr>
            <w:tcW w:w="3247" w:type="dxa"/>
            <w:vAlign w:val="center"/>
            <w:hideMark/>
          </w:tcPr>
          <w:p w14:paraId="799FF550" w14:textId="731DA72C" w:rsidR="0061637C" w:rsidRPr="00A47EBE" w:rsidRDefault="0061637C" w:rsidP="0061637C">
            <w:pPr>
              <w:spacing w:line="276" w:lineRule="auto"/>
              <w:rPr>
                <w:rFonts w:ascii="Segoe UI" w:eastAsia="Times New Roman" w:hAnsi="Segoe UI" w:cs="Segoe UI"/>
                <w:color w:val="000000"/>
                <w:sz w:val="22"/>
                <w:szCs w:val="22"/>
              </w:rPr>
            </w:pPr>
            <w:r w:rsidRPr="00A47EBE">
              <w:rPr>
                <w:rFonts w:ascii="Segoe UI" w:hAnsi="Segoe UI" w:cs="Segoe UI"/>
                <w:color w:val="000000"/>
                <w:sz w:val="22"/>
                <w:szCs w:val="22"/>
              </w:rPr>
              <w:t>Other income</w:t>
            </w:r>
          </w:p>
        </w:tc>
        <w:tc>
          <w:tcPr>
            <w:tcW w:w="1108" w:type="dxa"/>
            <w:tcBorders>
              <w:top w:val="nil"/>
              <w:left w:val="nil"/>
              <w:bottom w:val="single" w:sz="8" w:space="0" w:color="auto"/>
              <w:right w:val="single" w:sz="8" w:space="0" w:color="auto"/>
            </w:tcBorders>
            <w:shd w:val="clear" w:color="auto" w:fill="auto"/>
            <w:noWrap/>
            <w:vAlign w:val="center"/>
            <w:hideMark/>
          </w:tcPr>
          <w:p w14:paraId="089309CF" w14:textId="7546C3D0" w:rsidR="0061637C" w:rsidRPr="0061637C" w:rsidRDefault="0061637C" w:rsidP="0061637C">
            <w:pPr>
              <w:spacing w:line="276" w:lineRule="auto"/>
              <w:jc w:val="right"/>
              <w:rPr>
                <w:rFonts w:ascii="Segoe UI" w:eastAsia="Times New Roman" w:hAnsi="Segoe UI" w:cs="Segoe UI"/>
                <w:sz w:val="22"/>
                <w:szCs w:val="22"/>
                <w:highlight w:val="yellow"/>
              </w:rPr>
            </w:pPr>
            <w:r w:rsidRPr="00B64020">
              <w:rPr>
                <w:rFonts w:ascii="Segoe UI" w:hAnsi="Segoe UI" w:cs="Segoe UI"/>
                <w:sz w:val="22"/>
              </w:rPr>
              <w:t>$50</w:t>
            </w:r>
          </w:p>
        </w:tc>
        <w:tc>
          <w:tcPr>
            <w:tcW w:w="1108" w:type="dxa"/>
            <w:tcBorders>
              <w:top w:val="nil"/>
              <w:left w:val="nil"/>
              <w:bottom w:val="single" w:sz="8" w:space="0" w:color="auto"/>
              <w:right w:val="single" w:sz="8" w:space="0" w:color="auto"/>
            </w:tcBorders>
            <w:shd w:val="clear" w:color="auto" w:fill="auto"/>
            <w:noWrap/>
            <w:vAlign w:val="center"/>
            <w:hideMark/>
          </w:tcPr>
          <w:p w14:paraId="0BEBF48A" w14:textId="36D2EFCF" w:rsidR="0061637C" w:rsidRPr="0061637C" w:rsidRDefault="0061637C" w:rsidP="0061637C">
            <w:pPr>
              <w:spacing w:line="276" w:lineRule="auto"/>
              <w:jc w:val="right"/>
              <w:rPr>
                <w:rFonts w:ascii="Segoe UI" w:eastAsia="Times New Roman" w:hAnsi="Segoe UI" w:cs="Segoe UI"/>
                <w:sz w:val="22"/>
                <w:szCs w:val="22"/>
                <w:highlight w:val="yellow"/>
              </w:rPr>
            </w:pPr>
            <w:r w:rsidRPr="00B64020">
              <w:rPr>
                <w:rFonts w:ascii="Segoe UI" w:hAnsi="Segoe UI" w:cs="Segoe UI"/>
                <w:sz w:val="22"/>
              </w:rPr>
              <w:t>$50</w:t>
            </w:r>
          </w:p>
        </w:tc>
        <w:tc>
          <w:tcPr>
            <w:tcW w:w="1108" w:type="dxa"/>
            <w:tcBorders>
              <w:top w:val="nil"/>
              <w:left w:val="nil"/>
              <w:bottom w:val="single" w:sz="8" w:space="0" w:color="auto"/>
              <w:right w:val="single" w:sz="8" w:space="0" w:color="auto"/>
            </w:tcBorders>
            <w:shd w:val="clear" w:color="auto" w:fill="auto"/>
            <w:noWrap/>
            <w:vAlign w:val="center"/>
            <w:hideMark/>
          </w:tcPr>
          <w:p w14:paraId="7610F74B" w14:textId="5546ABBE" w:rsidR="0061637C" w:rsidRPr="0061637C" w:rsidRDefault="0061637C" w:rsidP="0061637C">
            <w:pPr>
              <w:spacing w:line="276" w:lineRule="auto"/>
              <w:jc w:val="right"/>
              <w:rPr>
                <w:rFonts w:ascii="Segoe UI" w:eastAsia="Times New Roman" w:hAnsi="Segoe UI" w:cs="Segoe UI"/>
                <w:sz w:val="22"/>
                <w:szCs w:val="22"/>
                <w:highlight w:val="yellow"/>
              </w:rPr>
            </w:pPr>
            <w:r w:rsidRPr="00B64020">
              <w:rPr>
                <w:rFonts w:ascii="Segoe UI" w:hAnsi="Segoe UI" w:cs="Segoe UI"/>
                <w:sz w:val="22"/>
              </w:rPr>
              <w:t>$50</w:t>
            </w:r>
          </w:p>
        </w:tc>
        <w:tc>
          <w:tcPr>
            <w:tcW w:w="1108" w:type="dxa"/>
            <w:tcBorders>
              <w:top w:val="nil"/>
              <w:left w:val="nil"/>
              <w:bottom w:val="single" w:sz="8" w:space="0" w:color="auto"/>
              <w:right w:val="single" w:sz="8" w:space="0" w:color="auto"/>
            </w:tcBorders>
            <w:shd w:val="clear" w:color="auto" w:fill="auto"/>
            <w:noWrap/>
            <w:vAlign w:val="center"/>
            <w:hideMark/>
          </w:tcPr>
          <w:p w14:paraId="03EBFC0D" w14:textId="1337862C" w:rsidR="0061637C" w:rsidRPr="0061637C" w:rsidRDefault="0061637C" w:rsidP="0061637C">
            <w:pPr>
              <w:spacing w:line="276" w:lineRule="auto"/>
              <w:jc w:val="right"/>
              <w:rPr>
                <w:rFonts w:ascii="Segoe UI" w:eastAsia="Times New Roman" w:hAnsi="Segoe UI" w:cs="Segoe UI"/>
                <w:sz w:val="22"/>
                <w:szCs w:val="22"/>
                <w:highlight w:val="yellow"/>
              </w:rPr>
            </w:pPr>
            <w:r w:rsidRPr="00B64020">
              <w:rPr>
                <w:rFonts w:ascii="Segoe UI" w:hAnsi="Segoe UI" w:cs="Segoe UI"/>
                <w:sz w:val="22"/>
              </w:rPr>
              <w:t>$50</w:t>
            </w:r>
          </w:p>
        </w:tc>
        <w:tc>
          <w:tcPr>
            <w:tcW w:w="1108" w:type="dxa"/>
            <w:tcBorders>
              <w:top w:val="nil"/>
              <w:left w:val="nil"/>
              <w:bottom w:val="single" w:sz="8" w:space="0" w:color="auto"/>
              <w:right w:val="single" w:sz="8" w:space="0" w:color="auto"/>
            </w:tcBorders>
            <w:shd w:val="clear" w:color="auto" w:fill="auto"/>
            <w:noWrap/>
            <w:vAlign w:val="center"/>
            <w:hideMark/>
          </w:tcPr>
          <w:p w14:paraId="0F311F52" w14:textId="5422F9E9" w:rsidR="0061637C" w:rsidRPr="0061637C" w:rsidRDefault="0061637C" w:rsidP="0061637C">
            <w:pPr>
              <w:spacing w:line="276" w:lineRule="auto"/>
              <w:jc w:val="right"/>
              <w:rPr>
                <w:rFonts w:ascii="Segoe UI" w:eastAsia="Times New Roman" w:hAnsi="Segoe UI" w:cs="Segoe UI"/>
                <w:sz w:val="22"/>
                <w:szCs w:val="22"/>
                <w:highlight w:val="yellow"/>
              </w:rPr>
            </w:pPr>
            <w:r w:rsidRPr="00B64020">
              <w:rPr>
                <w:rFonts w:ascii="Segoe UI" w:hAnsi="Segoe UI" w:cs="Segoe UI"/>
                <w:sz w:val="22"/>
              </w:rPr>
              <w:t>$50</w:t>
            </w:r>
          </w:p>
        </w:tc>
        <w:tc>
          <w:tcPr>
            <w:tcW w:w="1108" w:type="dxa"/>
            <w:tcBorders>
              <w:top w:val="nil"/>
              <w:left w:val="nil"/>
              <w:bottom w:val="single" w:sz="8" w:space="0" w:color="auto"/>
              <w:right w:val="single" w:sz="8" w:space="0" w:color="auto"/>
            </w:tcBorders>
            <w:shd w:val="clear" w:color="auto" w:fill="auto"/>
            <w:noWrap/>
            <w:vAlign w:val="center"/>
            <w:hideMark/>
          </w:tcPr>
          <w:p w14:paraId="6A8B40C9" w14:textId="5CDA34C3" w:rsidR="0061637C" w:rsidRPr="0061637C" w:rsidRDefault="0061637C" w:rsidP="0061637C">
            <w:pPr>
              <w:spacing w:line="276" w:lineRule="auto"/>
              <w:jc w:val="right"/>
              <w:rPr>
                <w:rFonts w:ascii="Segoe UI" w:eastAsia="Times New Roman" w:hAnsi="Segoe UI" w:cs="Segoe UI"/>
                <w:sz w:val="22"/>
                <w:szCs w:val="22"/>
                <w:highlight w:val="yellow"/>
              </w:rPr>
            </w:pPr>
            <w:r w:rsidRPr="00B64020">
              <w:rPr>
                <w:rFonts w:ascii="Segoe UI" w:hAnsi="Segoe UI" w:cs="Segoe UI"/>
                <w:sz w:val="22"/>
              </w:rPr>
              <w:t>$250</w:t>
            </w:r>
          </w:p>
        </w:tc>
      </w:tr>
      <w:tr w:rsidR="0061637C" w:rsidRPr="00A54FC1" w14:paraId="04755BF3" w14:textId="77777777" w:rsidTr="00B64020">
        <w:trPr>
          <w:trHeight w:val="330"/>
          <w:jc w:val="center"/>
        </w:trPr>
        <w:tc>
          <w:tcPr>
            <w:tcW w:w="3247" w:type="dxa"/>
            <w:vAlign w:val="center"/>
            <w:hideMark/>
          </w:tcPr>
          <w:p w14:paraId="16451B81" w14:textId="2A525BCC" w:rsidR="0061637C" w:rsidRPr="00A47EBE" w:rsidRDefault="0061637C" w:rsidP="0061637C">
            <w:pPr>
              <w:spacing w:line="276" w:lineRule="auto"/>
              <w:rPr>
                <w:rFonts w:ascii="Segoe UI" w:eastAsia="Times New Roman" w:hAnsi="Segoe UI" w:cs="Segoe UI"/>
                <w:b/>
                <w:bCs/>
                <w:color w:val="000000"/>
                <w:sz w:val="22"/>
                <w:szCs w:val="22"/>
              </w:rPr>
            </w:pPr>
            <w:r w:rsidRPr="00A47EBE">
              <w:rPr>
                <w:rFonts w:ascii="Segoe UI" w:hAnsi="Segoe UI" w:cs="Segoe UI"/>
                <w:b/>
                <w:bCs/>
                <w:color w:val="000000"/>
                <w:sz w:val="22"/>
                <w:szCs w:val="22"/>
              </w:rPr>
              <w:t>Aggregate revenue</w:t>
            </w:r>
          </w:p>
        </w:tc>
        <w:tc>
          <w:tcPr>
            <w:tcW w:w="1108" w:type="dxa"/>
            <w:tcBorders>
              <w:top w:val="nil"/>
              <w:left w:val="single" w:sz="8" w:space="0" w:color="auto"/>
              <w:bottom w:val="single" w:sz="8" w:space="0" w:color="auto"/>
              <w:right w:val="single" w:sz="8" w:space="0" w:color="auto"/>
            </w:tcBorders>
            <w:shd w:val="clear" w:color="auto" w:fill="auto"/>
            <w:noWrap/>
            <w:vAlign w:val="center"/>
            <w:hideMark/>
          </w:tcPr>
          <w:p w14:paraId="743CCE58" w14:textId="3A2703DE" w:rsidR="0061637C" w:rsidRPr="0061637C" w:rsidRDefault="0061637C" w:rsidP="0061637C">
            <w:pPr>
              <w:spacing w:line="276" w:lineRule="auto"/>
              <w:jc w:val="right"/>
              <w:rPr>
                <w:rFonts w:ascii="Segoe UI" w:eastAsia="Times New Roman" w:hAnsi="Segoe UI" w:cs="Segoe UI"/>
                <w:b/>
                <w:bCs/>
                <w:sz w:val="22"/>
                <w:szCs w:val="22"/>
                <w:highlight w:val="yellow"/>
              </w:rPr>
            </w:pPr>
            <w:r w:rsidRPr="00B64020">
              <w:rPr>
                <w:rFonts w:ascii="Segoe UI" w:hAnsi="Segoe UI" w:cs="Segoe UI"/>
                <w:sz w:val="22"/>
              </w:rPr>
              <w:t>$4,013</w:t>
            </w:r>
          </w:p>
        </w:tc>
        <w:tc>
          <w:tcPr>
            <w:tcW w:w="1108" w:type="dxa"/>
            <w:tcBorders>
              <w:top w:val="nil"/>
              <w:left w:val="nil"/>
              <w:bottom w:val="single" w:sz="8" w:space="0" w:color="auto"/>
              <w:right w:val="single" w:sz="8" w:space="0" w:color="auto"/>
            </w:tcBorders>
            <w:shd w:val="clear" w:color="auto" w:fill="auto"/>
            <w:noWrap/>
            <w:vAlign w:val="center"/>
            <w:hideMark/>
          </w:tcPr>
          <w:p w14:paraId="5BC505CC" w14:textId="05CC2C20" w:rsidR="0061637C" w:rsidRPr="0061637C" w:rsidRDefault="0061637C" w:rsidP="0061637C">
            <w:pPr>
              <w:spacing w:line="276" w:lineRule="auto"/>
              <w:jc w:val="right"/>
              <w:rPr>
                <w:rFonts w:ascii="Segoe UI" w:eastAsia="Times New Roman" w:hAnsi="Segoe UI" w:cs="Segoe UI"/>
                <w:b/>
                <w:bCs/>
                <w:sz w:val="22"/>
                <w:szCs w:val="22"/>
                <w:highlight w:val="yellow"/>
              </w:rPr>
            </w:pPr>
            <w:r w:rsidRPr="00B64020">
              <w:rPr>
                <w:rFonts w:ascii="Segoe UI" w:hAnsi="Segoe UI" w:cs="Segoe UI"/>
                <w:sz w:val="22"/>
              </w:rPr>
              <w:t>$4,290</w:t>
            </w:r>
          </w:p>
        </w:tc>
        <w:tc>
          <w:tcPr>
            <w:tcW w:w="1108" w:type="dxa"/>
            <w:tcBorders>
              <w:top w:val="nil"/>
              <w:left w:val="nil"/>
              <w:bottom w:val="single" w:sz="8" w:space="0" w:color="auto"/>
              <w:right w:val="single" w:sz="8" w:space="0" w:color="auto"/>
            </w:tcBorders>
            <w:shd w:val="clear" w:color="auto" w:fill="auto"/>
            <w:noWrap/>
            <w:vAlign w:val="center"/>
            <w:hideMark/>
          </w:tcPr>
          <w:p w14:paraId="307C3874" w14:textId="04C57E40" w:rsidR="0061637C" w:rsidRPr="0061637C" w:rsidRDefault="0061637C" w:rsidP="0061637C">
            <w:pPr>
              <w:spacing w:line="276" w:lineRule="auto"/>
              <w:jc w:val="right"/>
              <w:rPr>
                <w:rFonts w:ascii="Segoe UI" w:eastAsia="Times New Roman" w:hAnsi="Segoe UI" w:cs="Segoe UI"/>
                <w:b/>
                <w:bCs/>
                <w:sz w:val="22"/>
                <w:szCs w:val="22"/>
                <w:highlight w:val="yellow"/>
              </w:rPr>
            </w:pPr>
            <w:r w:rsidRPr="00B64020">
              <w:rPr>
                <w:rFonts w:ascii="Segoe UI" w:hAnsi="Segoe UI" w:cs="Segoe UI"/>
                <w:sz w:val="22"/>
              </w:rPr>
              <w:t>$4,393</w:t>
            </w:r>
          </w:p>
        </w:tc>
        <w:tc>
          <w:tcPr>
            <w:tcW w:w="1108" w:type="dxa"/>
            <w:tcBorders>
              <w:top w:val="nil"/>
              <w:left w:val="nil"/>
              <w:bottom w:val="single" w:sz="8" w:space="0" w:color="auto"/>
              <w:right w:val="single" w:sz="8" w:space="0" w:color="auto"/>
            </w:tcBorders>
            <w:shd w:val="clear" w:color="auto" w:fill="auto"/>
            <w:noWrap/>
            <w:vAlign w:val="center"/>
            <w:hideMark/>
          </w:tcPr>
          <w:p w14:paraId="288E8FB6" w14:textId="278920B0" w:rsidR="0061637C" w:rsidRPr="0061637C" w:rsidRDefault="0061637C" w:rsidP="0061637C">
            <w:pPr>
              <w:spacing w:line="276" w:lineRule="auto"/>
              <w:jc w:val="right"/>
              <w:rPr>
                <w:rFonts w:ascii="Segoe UI" w:eastAsia="Times New Roman" w:hAnsi="Segoe UI" w:cs="Segoe UI"/>
                <w:b/>
                <w:bCs/>
                <w:sz w:val="22"/>
                <w:szCs w:val="22"/>
                <w:highlight w:val="yellow"/>
              </w:rPr>
            </w:pPr>
            <w:r w:rsidRPr="00B64020">
              <w:rPr>
                <w:rFonts w:ascii="Segoe UI" w:hAnsi="Segoe UI" w:cs="Segoe UI"/>
                <w:sz w:val="22"/>
              </w:rPr>
              <w:t>$4,358</w:t>
            </w:r>
          </w:p>
        </w:tc>
        <w:tc>
          <w:tcPr>
            <w:tcW w:w="1108" w:type="dxa"/>
            <w:tcBorders>
              <w:top w:val="nil"/>
              <w:left w:val="nil"/>
              <w:bottom w:val="single" w:sz="8" w:space="0" w:color="auto"/>
              <w:right w:val="single" w:sz="8" w:space="0" w:color="auto"/>
            </w:tcBorders>
            <w:shd w:val="clear" w:color="auto" w:fill="auto"/>
            <w:noWrap/>
            <w:vAlign w:val="center"/>
            <w:hideMark/>
          </w:tcPr>
          <w:p w14:paraId="002BFD3B" w14:textId="52B7C5B2" w:rsidR="0061637C" w:rsidRPr="0061637C" w:rsidRDefault="0061637C" w:rsidP="0061637C">
            <w:pPr>
              <w:spacing w:line="276" w:lineRule="auto"/>
              <w:jc w:val="right"/>
              <w:rPr>
                <w:rFonts w:ascii="Segoe UI" w:eastAsia="Times New Roman" w:hAnsi="Segoe UI" w:cs="Segoe UI"/>
                <w:b/>
                <w:bCs/>
                <w:sz w:val="22"/>
                <w:szCs w:val="22"/>
                <w:highlight w:val="yellow"/>
              </w:rPr>
            </w:pPr>
            <w:r w:rsidRPr="00B64020">
              <w:rPr>
                <w:rFonts w:ascii="Segoe UI" w:hAnsi="Segoe UI" w:cs="Segoe UI"/>
                <w:sz w:val="22"/>
              </w:rPr>
              <w:t>$4,367</w:t>
            </w:r>
          </w:p>
        </w:tc>
        <w:tc>
          <w:tcPr>
            <w:tcW w:w="1108" w:type="dxa"/>
            <w:tcBorders>
              <w:top w:val="nil"/>
              <w:left w:val="nil"/>
              <w:bottom w:val="single" w:sz="8" w:space="0" w:color="auto"/>
              <w:right w:val="single" w:sz="8" w:space="0" w:color="auto"/>
            </w:tcBorders>
            <w:shd w:val="clear" w:color="auto" w:fill="FFFFFF" w:themeFill="background1"/>
            <w:noWrap/>
            <w:vAlign w:val="center"/>
            <w:hideMark/>
          </w:tcPr>
          <w:p w14:paraId="329E782E" w14:textId="6F281B9F" w:rsidR="0061637C" w:rsidRPr="0061637C" w:rsidRDefault="0061637C" w:rsidP="0061637C">
            <w:pPr>
              <w:spacing w:line="276" w:lineRule="auto"/>
              <w:jc w:val="right"/>
              <w:rPr>
                <w:rFonts w:ascii="Segoe UI" w:eastAsia="Times New Roman" w:hAnsi="Segoe UI" w:cs="Segoe UI"/>
                <w:b/>
                <w:bCs/>
                <w:sz w:val="22"/>
                <w:szCs w:val="22"/>
                <w:highlight w:val="yellow"/>
              </w:rPr>
            </w:pPr>
            <w:r w:rsidRPr="00B64020">
              <w:rPr>
                <w:rFonts w:ascii="Segoe UI" w:hAnsi="Segoe UI" w:cs="Segoe UI"/>
                <w:sz w:val="22"/>
              </w:rPr>
              <w:t>$21,420</w:t>
            </w:r>
          </w:p>
        </w:tc>
      </w:tr>
      <w:tr w:rsidR="0061637C" w:rsidRPr="00A54FC1" w14:paraId="0CC47DC8" w14:textId="77777777" w:rsidTr="00B64020">
        <w:trPr>
          <w:trHeight w:val="330"/>
          <w:jc w:val="center"/>
        </w:trPr>
        <w:tc>
          <w:tcPr>
            <w:tcW w:w="3247" w:type="dxa"/>
            <w:shd w:val="clear" w:color="auto" w:fill="F2F2F2" w:themeFill="background1" w:themeFillShade="F2"/>
            <w:vAlign w:val="center"/>
            <w:hideMark/>
          </w:tcPr>
          <w:p w14:paraId="255535F9" w14:textId="1BF49D43" w:rsidR="0061637C" w:rsidRPr="00A47EBE" w:rsidRDefault="0061637C" w:rsidP="0061637C">
            <w:pPr>
              <w:spacing w:line="276" w:lineRule="auto"/>
              <w:rPr>
                <w:rFonts w:ascii="Segoe UI" w:eastAsia="Times New Roman" w:hAnsi="Segoe UI" w:cs="Segoe UI"/>
                <w:color w:val="000000"/>
                <w:sz w:val="22"/>
                <w:szCs w:val="22"/>
              </w:rPr>
            </w:pPr>
            <w:r w:rsidRPr="00A47EBE">
              <w:rPr>
                <w:rFonts w:ascii="Segoe UI" w:hAnsi="Segoe UI" w:cs="Segoe UI"/>
                <w:color w:val="000000"/>
                <w:sz w:val="22"/>
                <w:szCs w:val="22"/>
              </w:rPr>
              <w:t>Operating reserve</w:t>
            </w:r>
          </w:p>
        </w:tc>
        <w:tc>
          <w:tcPr>
            <w:tcW w:w="1108" w:type="dxa"/>
            <w:tcBorders>
              <w:top w:val="nil"/>
              <w:left w:val="single" w:sz="8" w:space="0" w:color="auto"/>
              <w:bottom w:val="single" w:sz="8" w:space="0" w:color="auto"/>
              <w:right w:val="single" w:sz="8" w:space="0" w:color="auto"/>
            </w:tcBorders>
            <w:shd w:val="clear" w:color="auto" w:fill="F2F2F2" w:themeFill="background1" w:themeFillShade="F2"/>
            <w:noWrap/>
            <w:vAlign w:val="center"/>
            <w:hideMark/>
          </w:tcPr>
          <w:p w14:paraId="510449E1" w14:textId="70B89A6B" w:rsidR="0061637C" w:rsidRPr="0061637C" w:rsidRDefault="0061637C" w:rsidP="0061637C">
            <w:pPr>
              <w:spacing w:line="276" w:lineRule="auto"/>
              <w:jc w:val="right"/>
              <w:rPr>
                <w:rFonts w:ascii="Segoe UI" w:eastAsia="Times New Roman" w:hAnsi="Segoe UI" w:cs="Segoe UI"/>
                <w:sz w:val="22"/>
                <w:szCs w:val="22"/>
                <w:highlight w:val="yellow"/>
              </w:rPr>
            </w:pPr>
            <w:r w:rsidRPr="00B64020">
              <w:rPr>
                <w:rFonts w:ascii="Segoe UI" w:hAnsi="Segoe UI" w:cs="Segoe UI"/>
                <w:sz w:val="22"/>
              </w:rPr>
              <w:t>$831</w:t>
            </w:r>
          </w:p>
        </w:tc>
        <w:tc>
          <w:tcPr>
            <w:tcW w:w="1108" w:type="dxa"/>
            <w:tcBorders>
              <w:top w:val="nil"/>
              <w:left w:val="nil"/>
              <w:bottom w:val="single" w:sz="8" w:space="0" w:color="auto"/>
              <w:right w:val="single" w:sz="8" w:space="0" w:color="auto"/>
            </w:tcBorders>
            <w:shd w:val="clear" w:color="auto" w:fill="F2F2F2" w:themeFill="background1" w:themeFillShade="F2"/>
            <w:noWrap/>
            <w:vAlign w:val="center"/>
            <w:hideMark/>
          </w:tcPr>
          <w:p w14:paraId="2C930DF6" w14:textId="7508FE38" w:rsidR="0061637C" w:rsidRPr="0061637C" w:rsidRDefault="0061637C" w:rsidP="0061637C">
            <w:pPr>
              <w:spacing w:line="276" w:lineRule="auto"/>
              <w:jc w:val="right"/>
              <w:rPr>
                <w:rFonts w:ascii="Segoe UI" w:eastAsia="Times New Roman" w:hAnsi="Segoe UI" w:cs="Segoe UI"/>
                <w:sz w:val="22"/>
                <w:szCs w:val="22"/>
                <w:highlight w:val="yellow"/>
              </w:rPr>
            </w:pPr>
            <w:r w:rsidRPr="00B64020">
              <w:rPr>
                <w:rFonts w:ascii="Segoe UI" w:hAnsi="Segoe UI" w:cs="Segoe UI"/>
                <w:sz w:val="22"/>
              </w:rPr>
              <w:t>$1,018</w:t>
            </w:r>
          </w:p>
        </w:tc>
        <w:tc>
          <w:tcPr>
            <w:tcW w:w="1108" w:type="dxa"/>
            <w:tcBorders>
              <w:top w:val="nil"/>
              <w:left w:val="nil"/>
              <w:bottom w:val="single" w:sz="8" w:space="0" w:color="auto"/>
              <w:right w:val="single" w:sz="8" w:space="0" w:color="auto"/>
            </w:tcBorders>
            <w:shd w:val="clear" w:color="auto" w:fill="F2F2F2" w:themeFill="background1" w:themeFillShade="F2"/>
            <w:noWrap/>
            <w:vAlign w:val="center"/>
            <w:hideMark/>
          </w:tcPr>
          <w:p w14:paraId="208B6C50" w14:textId="750D9437" w:rsidR="0061637C" w:rsidRPr="0061637C" w:rsidRDefault="0061637C" w:rsidP="0061637C">
            <w:pPr>
              <w:spacing w:line="276" w:lineRule="auto"/>
              <w:jc w:val="right"/>
              <w:rPr>
                <w:rFonts w:ascii="Segoe UI" w:eastAsia="Times New Roman" w:hAnsi="Segoe UI" w:cs="Segoe UI"/>
                <w:sz w:val="22"/>
                <w:szCs w:val="22"/>
                <w:highlight w:val="yellow"/>
              </w:rPr>
            </w:pPr>
            <w:r w:rsidRPr="00B64020">
              <w:rPr>
                <w:rFonts w:ascii="Segoe UI" w:hAnsi="Segoe UI" w:cs="Segoe UI"/>
                <w:sz w:val="22"/>
              </w:rPr>
              <w:t>$1,143</w:t>
            </w:r>
          </w:p>
        </w:tc>
        <w:tc>
          <w:tcPr>
            <w:tcW w:w="1108" w:type="dxa"/>
            <w:tcBorders>
              <w:top w:val="nil"/>
              <w:left w:val="nil"/>
              <w:bottom w:val="single" w:sz="8" w:space="0" w:color="auto"/>
              <w:right w:val="single" w:sz="8" w:space="0" w:color="auto"/>
            </w:tcBorders>
            <w:shd w:val="clear" w:color="auto" w:fill="F2F2F2" w:themeFill="background1" w:themeFillShade="F2"/>
            <w:noWrap/>
            <w:vAlign w:val="center"/>
            <w:hideMark/>
          </w:tcPr>
          <w:p w14:paraId="1FC6F9A7" w14:textId="24FBF526" w:rsidR="0061637C" w:rsidRPr="0061637C" w:rsidRDefault="0061637C" w:rsidP="0061637C">
            <w:pPr>
              <w:spacing w:line="276" w:lineRule="auto"/>
              <w:jc w:val="right"/>
              <w:rPr>
                <w:rFonts w:ascii="Segoe UI" w:eastAsia="Times New Roman" w:hAnsi="Segoe UI" w:cs="Segoe UI"/>
                <w:sz w:val="22"/>
                <w:szCs w:val="22"/>
                <w:highlight w:val="yellow"/>
              </w:rPr>
            </w:pPr>
            <w:r w:rsidRPr="00B64020">
              <w:rPr>
                <w:rFonts w:ascii="Segoe UI" w:hAnsi="Segoe UI" w:cs="Segoe UI"/>
                <w:sz w:val="22"/>
              </w:rPr>
              <w:t>$1,070</w:t>
            </w:r>
          </w:p>
        </w:tc>
        <w:tc>
          <w:tcPr>
            <w:tcW w:w="1108" w:type="dxa"/>
            <w:tcBorders>
              <w:top w:val="nil"/>
              <w:left w:val="nil"/>
              <w:bottom w:val="single" w:sz="8" w:space="0" w:color="auto"/>
              <w:right w:val="single" w:sz="8" w:space="0" w:color="auto"/>
            </w:tcBorders>
            <w:shd w:val="clear" w:color="auto" w:fill="F2F2F2" w:themeFill="background1" w:themeFillShade="F2"/>
            <w:noWrap/>
            <w:vAlign w:val="center"/>
            <w:hideMark/>
          </w:tcPr>
          <w:p w14:paraId="2F64452D" w14:textId="70F86D52" w:rsidR="0061637C" w:rsidRPr="0061637C" w:rsidRDefault="0061637C" w:rsidP="0061637C">
            <w:pPr>
              <w:spacing w:line="276" w:lineRule="auto"/>
              <w:jc w:val="right"/>
              <w:rPr>
                <w:rFonts w:ascii="Segoe UI" w:eastAsia="Times New Roman" w:hAnsi="Segoe UI" w:cs="Segoe UI"/>
                <w:sz w:val="22"/>
                <w:szCs w:val="22"/>
                <w:highlight w:val="yellow"/>
              </w:rPr>
            </w:pPr>
            <w:r w:rsidRPr="00B64020">
              <w:rPr>
                <w:rFonts w:ascii="Segoe UI" w:hAnsi="Segoe UI" w:cs="Segoe UI"/>
                <w:sz w:val="22"/>
              </w:rPr>
              <w:t>$837</w:t>
            </w:r>
          </w:p>
        </w:tc>
        <w:tc>
          <w:tcPr>
            <w:tcW w:w="1108" w:type="dxa"/>
            <w:tcBorders>
              <w:top w:val="nil"/>
              <w:left w:val="nil"/>
              <w:bottom w:val="single" w:sz="8" w:space="0" w:color="auto"/>
              <w:right w:val="single" w:sz="8" w:space="0" w:color="auto"/>
            </w:tcBorders>
            <w:shd w:val="clear" w:color="auto" w:fill="F2F2F2" w:themeFill="background1" w:themeFillShade="F2"/>
            <w:noWrap/>
            <w:vAlign w:val="center"/>
            <w:hideMark/>
          </w:tcPr>
          <w:p w14:paraId="34BE8A18" w14:textId="2D9B4D61" w:rsidR="0061637C" w:rsidRPr="0061637C" w:rsidRDefault="0061637C" w:rsidP="0061637C">
            <w:pPr>
              <w:spacing w:line="276" w:lineRule="auto"/>
              <w:jc w:val="right"/>
              <w:rPr>
                <w:rFonts w:ascii="Segoe UI" w:eastAsia="Times New Roman" w:hAnsi="Segoe UI" w:cs="Segoe UI"/>
                <w:sz w:val="22"/>
                <w:szCs w:val="22"/>
                <w:highlight w:val="yellow"/>
              </w:rPr>
            </w:pPr>
          </w:p>
        </w:tc>
      </w:tr>
      <w:tr w:rsidR="0061637C" w:rsidRPr="00A54FC1" w14:paraId="5B6AF7D1" w14:textId="77777777" w:rsidTr="00B64020">
        <w:trPr>
          <w:trHeight w:val="645"/>
          <w:jc w:val="center"/>
        </w:trPr>
        <w:tc>
          <w:tcPr>
            <w:tcW w:w="3247" w:type="dxa"/>
            <w:vAlign w:val="center"/>
            <w:hideMark/>
          </w:tcPr>
          <w:p w14:paraId="691A2AEF" w14:textId="57D62B7D" w:rsidR="0061637C" w:rsidRPr="00A47EBE" w:rsidRDefault="0061637C" w:rsidP="0061637C">
            <w:pPr>
              <w:spacing w:line="276" w:lineRule="auto"/>
              <w:rPr>
                <w:rFonts w:ascii="Segoe UI" w:eastAsia="Times New Roman" w:hAnsi="Segoe UI" w:cs="Segoe UI"/>
                <w:color w:val="000000"/>
                <w:sz w:val="22"/>
                <w:szCs w:val="22"/>
              </w:rPr>
            </w:pPr>
            <w:r w:rsidRPr="00A47EBE">
              <w:rPr>
                <w:rFonts w:ascii="Segoe UI" w:hAnsi="Segoe UI" w:cs="Segoe UI"/>
                <w:color w:val="000000"/>
                <w:sz w:val="22"/>
                <w:szCs w:val="22"/>
              </w:rPr>
              <w:t>Optimal operating reserve</w:t>
            </w:r>
          </w:p>
        </w:tc>
        <w:tc>
          <w:tcPr>
            <w:tcW w:w="1108" w:type="dxa"/>
            <w:tcBorders>
              <w:top w:val="nil"/>
              <w:left w:val="nil"/>
              <w:bottom w:val="single" w:sz="8" w:space="0" w:color="auto"/>
              <w:right w:val="single" w:sz="8" w:space="0" w:color="auto"/>
            </w:tcBorders>
            <w:shd w:val="clear" w:color="auto" w:fill="auto"/>
            <w:noWrap/>
            <w:vAlign w:val="center"/>
            <w:hideMark/>
          </w:tcPr>
          <w:p w14:paraId="2BEE0564" w14:textId="0586DDAD" w:rsidR="0061637C" w:rsidRPr="0061637C" w:rsidRDefault="0061637C" w:rsidP="0061637C">
            <w:pPr>
              <w:spacing w:line="276" w:lineRule="auto"/>
              <w:jc w:val="right"/>
              <w:rPr>
                <w:rFonts w:ascii="Segoe UI" w:eastAsia="Times New Roman" w:hAnsi="Segoe UI" w:cs="Segoe UI"/>
                <w:sz w:val="22"/>
                <w:szCs w:val="22"/>
                <w:highlight w:val="yellow"/>
              </w:rPr>
            </w:pPr>
            <w:r w:rsidRPr="00B64020">
              <w:rPr>
                <w:rFonts w:ascii="Segoe UI" w:hAnsi="Segoe UI" w:cs="Segoe UI"/>
                <w:sz w:val="22"/>
              </w:rPr>
              <w:t>$874</w:t>
            </w:r>
          </w:p>
        </w:tc>
        <w:tc>
          <w:tcPr>
            <w:tcW w:w="1108" w:type="dxa"/>
            <w:tcBorders>
              <w:top w:val="nil"/>
              <w:left w:val="nil"/>
              <w:bottom w:val="single" w:sz="8" w:space="0" w:color="auto"/>
              <w:right w:val="single" w:sz="8" w:space="0" w:color="auto"/>
            </w:tcBorders>
            <w:shd w:val="clear" w:color="auto" w:fill="auto"/>
            <w:noWrap/>
            <w:vAlign w:val="center"/>
            <w:hideMark/>
          </w:tcPr>
          <w:p w14:paraId="65519CC0" w14:textId="21F2E521" w:rsidR="0061637C" w:rsidRPr="0061637C" w:rsidRDefault="0061637C" w:rsidP="0061637C">
            <w:pPr>
              <w:spacing w:line="276" w:lineRule="auto"/>
              <w:jc w:val="right"/>
              <w:rPr>
                <w:rFonts w:ascii="Segoe UI" w:eastAsia="Times New Roman" w:hAnsi="Segoe UI" w:cs="Segoe UI"/>
                <w:sz w:val="22"/>
                <w:szCs w:val="22"/>
                <w:highlight w:val="yellow"/>
              </w:rPr>
            </w:pPr>
            <w:r w:rsidRPr="00B64020">
              <w:rPr>
                <w:rFonts w:ascii="Segoe UI" w:hAnsi="Segoe UI" w:cs="Segoe UI"/>
                <w:sz w:val="22"/>
              </w:rPr>
              <w:t>$902</w:t>
            </w:r>
          </w:p>
        </w:tc>
        <w:tc>
          <w:tcPr>
            <w:tcW w:w="1108" w:type="dxa"/>
            <w:tcBorders>
              <w:top w:val="nil"/>
              <w:left w:val="nil"/>
              <w:bottom w:val="single" w:sz="8" w:space="0" w:color="auto"/>
              <w:right w:val="single" w:sz="8" w:space="0" w:color="auto"/>
            </w:tcBorders>
            <w:shd w:val="clear" w:color="auto" w:fill="auto"/>
            <w:noWrap/>
            <w:vAlign w:val="center"/>
            <w:hideMark/>
          </w:tcPr>
          <w:p w14:paraId="06F76046" w14:textId="7E4CEE10" w:rsidR="0061637C" w:rsidRPr="0061637C" w:rsidRDefault="0061637C" w:rsidP="0061637C">
            <w:pPr>
              <w:spacing w:line="276" w:lineRule="auto"/>
              <w:jc w:val="right"/>
              <w:rPr>
                <w:rFonts w:ascii="Segoe UI" w:eastAsia="Times New Roman" w:hAnsi="Segoe UI" w:cs="Segoe UI"/>
                <w:sz w:val="22"/>
                <w:szCs w:val="22"/>
                <w:highlight w:val="yellow"/>
              </w:rPr>
            </w:pPr>
            <w:r w:rsidRPr="00B64020">
              <w:rPr>
                <w:rFonts w:ascii="Segoe UI" w:hAnsi="Segoe UI" w:cs="Segoe UI"/>
                <w:sz w:val="22"/>
              </w:rPr>
              <w:t>$939</w:t>
            </w:r>
          </w:p>
        </w:tc>
        <w:tc>
          <w:tcPr>
            <w:tcW w:w="1108" w:type="dxa"/>
            <w:tcBorders>
              <w:top w:val="nil"/>
              <w:left w:val="nil"/>
              <w:bottom w:val="single" w:sz="8" w:space="0" w:color="auto"/>
              <w:right w:val="single" w:sz="8" w:space="0" w:color="auto"/>
            </w:tcBorders>
            <w:shd w:val="clear" w:color="auto" w:fill="auto"/>
            <w:noWrap/>
            <w:vAlign w:val="center"/>
            <w:hideMark/>
          </w:tcPr>
          <w:p w14:paraId="5B350DD5" w14:textId="6855DC2A" w:rsidR="0061637C" w:rsidRPr="0061637C" w:rsidRDefault="0061637C" w:rsidP="0061637C">
            <w:pPr>
              <w:spacing w:line="276" w:lineRule="auto"/>
              <w:jc w:val="right"/>
              <w:rPr>
                <w:rFonts w:ascii="Segoe UI" w:eastAsia="Times New Roman" w:hAnsi="Segoe UI" w:cs="Segoe UI"/>
                <w:sz w:val="22"/>
                <w:szCs w:val="22"/>
                <w:highlight w:val="yellow"/>
              </w:rPr>
            </w:pPr>
            <w:r w:rsidRPr="00B64020">
              <w:rPr>
                <w:rFonts w:ascii="Segoe UI" w:hAnsi="Segoe UI" w:cs="Segoe UI"/>
                <w:sz w:val="22"/>
              </w:rPr>
              <w:t>$975</w:t>
            </w:r>
          </w:p>
        </w:tc>
        <w:tc>
          <w:tcPr>
            <w:tcW w:w="1108" w:type="dxa"/>
            <w:tcBorders>
              <w:top w:val="nil"/>
              <w:left w:val="nil"/>
              <w:bottom w:val="single" w:sz="8" w:space="0" w:color="auto"/>
              <w:right w:val="single" w:sz="8" w:space="0" w:color="auto"/>
            </w:tcBorders>
            <w:shd w:val="clear" w:color="auto" w:fill="auto"/>
            <w:noWrap/>
            <w:vAlign w:val="center"/>
            <w:hideMark/>
          </w:tcPr>
          <w:p w14:paraId="1D608B42" w14:textId="40EC16F1" w:rsidR="0061637C" w:rsidRPr="0061637C" w:rsidRDefault="0061637C" w:rsidP="0061637C">
            <w:pPr>
              <w:spacing w:line="276" w:lineRule="auto"/>
              <w:jc w:val="right"/>
              <w:rPr>
                <w:rFonts w:ascii="Segoe UI" w:eastAsia="Times New Roman" w:hAnsi="Segoe UI" w:cs="Segoe UI"/>
                <w:sz w:val="22"/>
                <w:szCs w:val="22"/>
                <w:highlight w:val="yellow"/>
              </w:rPr>
            </w:pPr>
            <w:r w:rsidRPr="00B64020">
              <w:rPr>
                <w:rFonts w:ascii="Segoe UI" w:hAnsi="Segoe UI" w:cs="Segoe UI"/>
                <w:sz w:val="22"/>
              </w:rPr>
              <w:t>$1,012</w:t>
            </w:r>
          </w:p>
        </w:tc>
        <w:tc>
          <w:tcPr>
            <w:tcW w:w="1108" w:type="dxa"/>
            <w:tcBorders>
              <w:top w:val="nil"/>
              <w:left w:val="nil"/>
              <w:bottom w:val="single" w:sz="8" w:space="0" w:color="auto"/>
              <w:right w:val="single" w:sz="8" w:space="0" w:color="auto"/>
            </w:tcBorders>
            <w:shd w:val="clear" w:color="auto" w:fill="auto"/>
            <w:noWrap/>
            <w:vAlign w:val="center"/>
            <w:hideMark/>
          </w:tcPr>
          <w:p w14:paraId="1BCB2584" w14:textId="5991FE8D" w:rsidR="0061637C" w:rsidRPr="0061637C" w:rsidRDefault="0061637C" w:rsidP="0061637C">
            <w:pPr>
              <w:spacing w:line="276" w:lineRule="auto"/>
              <w:jc w:val="right"/>
              <w:rPr>
                <w:rFonts w:ascii="Segoe UI" w:eastAsia="Times New Roman" w:hAnsi="Segoe UI" w:cs="Segoe UI"/>
                <w:sz w:val="22"/>
                <w:szCs w:val="22"/>
                <w:highlight w:val="yellow"/>
              </w:rPr>
            </w:pPr>
          </w:p>
        </w:tc>
      </w:tr>
      <w:tr w:rsidR="0061637C" w:rsidRPr="00A54FC1" w14:paraId="1F2CB6E0" w14:textId="77777777" w:rsidTr="00B64020">
        <w:trPr>
          <w:trHeight w:val="551"/>
          <w:jc w:val="center"/>
        </w:trPr>
        <w:tc>
          <w:tcPr>
            <w:tcW w:w="3247" w:type="dxa"/>
            <w:shd w:val="clear" w:color="auto" w:fill="D9D9D6"/>
            <w:vAlign w:val="center"/>
            <w:hideMark/>
          </w:tcPr>
          <w:p w14:paraId="31B1F5FA" w14:textId="0AEC458D" w:rsidR="0061637C" w:rsidRPr="00A47EBE" w:rsidRDefault="0061637C" w:rsidP="0061637C">
            <w:pPr>
              <w:spacing w:line="276" w:lineRule="auto"/>
              <w:rPr>
                <w:rFonts w:ascii="Segoe UI" w:eastAsia="Times New Roman" w:hAnsi="Segoe UI" w:cs="Segoe UI"/>
                <w:b/>
                <w:bCs/>
                <w:color w:val="000000"/>
                <w:sz w:val="22"/>
                <w:szCs w:val="22"/>
              </w:rPr>
            </w:pPr>
            <w:r w:rsidRPr="00A47EBE">
              <w:rPr>
                <w:rFonts w:ascii="Segoe UI" w:hAnsi="Segoe UI" w:cs="Segoe UI"/>
                <w:b/>
                <w:bCs/>
                <w:color w:val="000000"/>
                <w:sz w:val="22"/>
                <w:szCs w:val="22"/>
              </w:rPr>
              <w:t>Optimal operating reserve surplus (deficit)</w:t>
            </w:r>
          </w:p>
        </w:tc>
        <w:tc>
          <w:tcPr>
            <w:tcW w:w="1108" w:type="dxa"/>
            <w:tcBorders>
              <w:top w:val="nil"/>
              <w:left w:val="nil"/>
              <w:bottom w:val="single" w:sz="8" w:space="0" w:color="auto"/>
              <w:right w:val="single" w:sz="8" w:space="0" w:color="auto"/>
            </w:tcBorders>
            <w:shd w:val="clear" w:color="auto" w:fill="D9D9D6"/>
            <w:noWrap/>
            <w:vAlign w:val="center"/>
            <w:hideMark/>
          </w:tcPr>
          <w:p w14:paraId="133644A0" w14:textId="5BC20FFA" w:rsidR="0061637C" w:rsidRPr="0061637C" w:rsidRDefault="0061637C" w:rsidP="0061637C">
            <w:pPr>
              <w:spacing w:line="276" w:lineRule="auto"/>
              <w:jc w:val="right"/>
              <w:rPr>
                <w:rFonts w:ascii="Segoe UI" w:eastAsia="Times New Roman" w:hAnsi="Segoe UI" w:cs="Segoe UI"/>
                <w:b/>
                <w:bCs/>
                <w:sz w:val="22"/>
                <w:szCs w:val="22"/>
                <w:highlight w:val="yellow"/>
              </w:rPr>
            </w:pPr>
            <w:r w:rsidRPr="00B64020">
              <w:rPr>
                <w:rFonts w:ascii="Segoe UI" w:hAnsi="Segoe UI" w:cs="Segoe UI"/>
                <w:sz w:val="22"/>
              </w:rPr>
              <w:t>($43)</w:t>
            </w:r>
          </w:p>
        </w:tc>
        <w:tc>
          <w:tcPr>
            <w:tcW w:w="1108" w:type="dxa"/>
            <w:tcBorders>
              <w:top w:val="nil"/>
              <w:left w:val="nil"/>
              <w:bottom w:val="single" w:sz="8" w:space="0" w:color="auto"/>
              <w:right w:val="single" w:sz="8" w:space="0" w:color="auto"/>
            </w:tcBorders>
            <w:shd w:val="clear" w:color="auto" w:fill="D9D9D6"/>
            <w:noWrap/>
            <w:vAlign w:val="center"/>
            <w:hideMark/>
          </w:tcPr>
          <w:p w14:paraId="23F36892" w14:textId="3C38F3AB" w:rsidR="0061637C" w:rsidRPr="0061637C" w:rsidRDefault="0061637C" w:rsidP="0061637C">
            <w:pPr>
              <w:spacing w:line="276" w:lineRule="auto"/>
              <w:jc w:val="right"/>
              <w:rPr>
                <w:rFonts w:ascii="Segoe UI" w:eastAsia="Times New Roman" w:hAnsi="Segoe UI" w:cs="Segoe UI"/>
                <w:b/>
                <w:bCs/>
                <w:sz w:val="22"/>
                <w:szCs w:val="22"/>
                <w:highlight w:val="yellow"/>
              </w:rPr>
            </w:pPr>
            <w:r w:rsidRPr="00B64020">
              <w:rPr>
                <w:rFonts w:ascii="Segoe UI" w:hAnsi="Segoe UI" w:cs="Segoe UI"/>
                <w:sz w:val="22"/>
              </w:rPr>
              <w:t>$116</w:t>
            </w:r>
          </w:p>
        </w:tc>
        <w:tc>
          <w:tcPr>
            <w:tcW w:w="1108" w:type="dxa"/>
            <w:tcBorders>
              <w:top w:val="nil"/>
              <w:left w:val="nil"/>
              <w:bottom w:val="single" w:sz="8" w:space="0" w:color="auto"/>
              <w:right w:val="single" w:sz="8" w:space="0" w:color="auto"/>
            </w:tcBorders>
            <w:shd w:val="clear" w:color="auto" w:fill="D9D9D6"/>
            <w:noWrap/>
            <w:vAlign w:val="center"/>
            <w:hideMark/>
          </w:tcPr>
          <w:p w14:paraId="4BFF7697" w14:textId="6FE8B1F9" w:rsidR="0061637C" w:rsidRPr="0061637C" w:rsidRDefault="0061637C" w:rsidP="0061637C">
            <w:pPr>
              <w:spacing w:line="276" w:lineRule="auto"/>
              <w:jc w:val="right"/>
              <w:rPr>
                <w:rFonts w:ascii="Segoe UI" w:eastAsia="Times New Roman" w:hAnsi="Segoe UI" w:cs="Segoe UI"/>
                <w:b/>
                <w:bCs/>
                <w:sz w:val="22"/>
                <w:szCs w:val="22"/>
                <w:highlight w:val="yellow"/>
              </w:rPr>
            </w:pPr>
            <w:r w:rsidRPr="00B64020">
              <w:rPr>
                <w:rFonts w:ascii="Segoe UI" w:hAnsi="Segoe UI" w:cs="Segoe UI"/>
                <w:sz w:val="22"/>
              </w:rPr>
              <w:t>$204</w:t>
            </w:r>
          </w:p>
        </w:tc>
        <w:tc>
          <w:tcPr>
            <w:tcW w:w="1108" w:type="dxa"/>
            <w:tcBorders>
              <w:top w:val="nil"/>
              <w:left w:val="nil"/>
              <w:bottom w:val="single" w:sz="8" w:space="0" w:color="auto"/>
              <w:right w:val="single" w:sz="8" w:space="0" w:color="auto"/>
            </w:tcBorders>
            <w:shd w:val="clear" w:color="auto" w:fill="D9D9D6"/>
            <w:noWrap/>
            <w:vAlign w:val="center"/>
            <w:hideMark/>
          </w:tcPr>
          <w:p w14:paraId="2275589F" w14:textId="4D0088E7" w:rsidR="0061637C" w:rsidRPr="0061637C" w:rsidRDefault="0061637C" w:rsidP="0061637C">
            <w:pPr>
              <w:spacing w:line="276" w:lineRule="auto"/>
              <w:jc w:val="right"/>
              <w:rPr>
                <w:rFonts w:ascii="Segoe UI" w:eastAsia="Times New Roman" w:hAnsi="Segoe UI" w:cs="Segoe UI"/>
                <w:b/>
                <w:bCs/>
                <w:sz w:val="22"/>
                <w:szCs w:val="22"/>
                <w:highlight w:val="yellow"/>
              </w:rPr>
            </w:pPr>
            <w:r w:rsidRPr="00B64020">
              <w:rPr>
                <w:rFonts w:ascii="Segoe UI" w:hAnsi="Segoe UI" w:cs="Segoe UI"/>
                <w:sz w:val="22"/>
              </w:rPr>
              <w:t>$95</w:t>
            </w:r>
          </w:p>
        </w:tc>
        <w:tc>
          <w:tcPr>
            <w:tcW w:w="1108" w:type="dxa"/>
            <w:tcBorders>
              <w:top w:val="nil"/>
              <w:left w:val="nil"/>
              <w:bottom w:val="single" w:sz="8" w:space="0" w:color="auto"/>
              <w:right w:val="single" w:sz="8" w:space="0" w:color="auto"/>
            </w:tcBorders>
            <w:shd w:val="clear" w:color="auto" w:fill="D9D9D6"/>
            <w:noWrap/>
            <w:vAlign w:val="center"/>
            <w:hideMark/>
          </w:tcPr>
          <w:p w14:paraId="0AD59678" w14:textId="28BFF989" w:rsidR="0061637C" w:rsidRPr="0061637C" w:rsidRDefault="0061637C" w:rsidP="0061637C">
            <w:pPr>
              <w:spacing w:line="276" w:lineRule="auto"/>
              <w:jc w:val="right"/>
              <w:rPr>
                <w:rFonts w:ascii="Segoe UI" w:eastAsia="Times New Roman" w:hAnsi="Segoe UI" w:cs="Segoe UI"/>
                <w:b/>
                <w:bCs/>
                <w:sz w:val="22"/>
                <w:szCs w:val="22"/>
                <w:highlight w:val="yellow"/>
              </w:rPr>
            </w:pPr>
            <w:r w:rsidRPr="00B64020">
              <w:rPr>
                <w:rFonts w:ascii="Segoe UI" w:hAnsi="Segoe UI" w:cs="Segoe UI"/>
                <w:sz w:val="22"/>
              </w:rPr>
              <w:t>($175)</w:t>
            </w:r>
          </w:p>
        </w:tc>
        <w:tc>
          <w:tcPr>
            <w:tcW w:w="1108" w:type="dxa"/>
            <w:tcBorders>
              <w:top w:val="nil"/>
              <w:left w:val="nil"/>
              <w:bottom w:val="single" w:sz="8" w:space="0" w:color="auto"/>
              <w:right w:val="single" w:sz="8" w:space="0" w:color="auto"/>
            </w:tcBorders>
            <w:shd w:val="clear" w:color="auto" w:fill="D9D9D6"/>
            <w:noWrap/>
            <w:vAlign w:val="center"/>
            <w:hideMark/>
          </w:tcPr>
          <w:p w14:paraId="3EFA30BE" w14:textId="70E167E6" w:rsidR="0061637C" w:rsidRPr="0061637C" w:rsidRDefault="0061637C" w:rsidP="0061637C">
            <w:pPr>
              <w:spacing w:line="276" w:lineRule="auto"/>
              <w:jc w:val="right"/>
              <w:rPr>
                <w:rFonts w:ascii="Segoe UI" w:eastAsia="Times New Roman" w:hAnsi="Segoe UI" w:cs="Segoe UI"/>
                <w:sz w:val="22"/>
                <w:szCs w:val="22"/>
                <w:highlight w:val="yellow"/>
              </w:rPr>
            </w:pPr>
          </w:p>
        </w:tc>
      </w:tr>
    </w:tbl>
    <w:p w14:paraId="11707EA7" w14:textId="5E77C1C1" w:rsidR="00490224" w:rsidRPr="00CF6436" w:rsidRDefault="00490224" w:rsidP="00CF6436">
      <w:pPr>
        <w:pStyle w:val="BottomofTableSpacing"/>
        <w:tabs>
          <w:tab w:val="center" w:pos="4457"/>
          <w:tab w:val="left" w:pos="5820"/>
        </w:tabs>
        <w:spacing w:line="360" w:lineRule="auto"/>
        <w:jc w:val="center"/>
        <w:rPr>
          <w:rFonts w:ascii="Segoe UI" w:hAnsi="Segoe UI" w:cs="Segoe UI"/>
          <w:sz w:val="22"/>
        </w:rPr>
      </w:pPr>
    </w:p>
    <w:p w14:paraId="23B786E4" w14:textId="4494E81C" w:rsidR="007356DF" w:rsidRPr="00CF6436" w:rsidRDefault="736CF229" w:rsidP="00EA247B">
      <w:pPr>
        <w:pStyle w:val="Heading3Numbering"/>
        <w:numPr>
          <w:ilvl w:val="2"/>
          <w:numId w:val="14"/>
        </w:numPr>
        <w:spacing w:after="0" w:line="360" w:lineRule="auto"/>
        <w:ind w:left="810" w:hanging="810"/>
        <w:rPr>
          <w:rFonts w:ascii="Segoe UI" w:hAnsi="Segoe UI" w:cs="Segoe UI"/>
        </w:rPr>
      </w:pPr>
      <w:r w:rsidRPr="293D3C50">
        <w:rPr>
          <w:rFonts w:ascii="Segoe UI" w:hAnsi="Segoe UI" w:cs="Segoe UI"/>
        </w:rPr>
        <w:t xml:space="preserve">Description of </w:t>
      </w:r>
      <w:r w:rsidR="000F20DC">
        <w:rPr>
          <w:rFonts w:ascii="Segoe UI" w:hAnsi="Segoe UI" w:cs="Segoe UI"/>
        </w:rPr>
        <w:t>Final</w:t>
      </w:r>
      <w:r w:rsidR="6D63A46F" w:rsidRPr="293D3C50">
        <w:rPr>
          <w:rFonts w:ascii="Segoe UI" w:hAnsi="Segoe UI" w:cs="Segoe UI"/>
        </w:rPr>
        <w:t xml:space="preserve"> Patent Fee Schedule (</w:t>
      </w:r>
      <w:r w:rsidRPr="293D3C50">
        <w:rPr>
          <w:rFonts w:ascii="Segoe UI" w:hAnsi="Segoe UI" w:cs="Segoe UI"/>
        </w:rPr>
        <w:t>Alternative 1</w:t>
      </w:r>
      <w:r w:rsidR="6D63A46F" w:rsidRPr="293D3C50">
        <w:rPr>
          <w:rFonts w:ascii="Segoe UI" w:hAnsi="Segoe UI" w:cs="Segoe UI"/>
        </w:rPr>
        <w:t>)</w:t>
      </w:r>
    </w:p>
    <w:p w14:paraId="100F1D74" w14:textId="6E3BB502" w:rsidR="00541670" w:rsidRDefault="401A371C" w:rsidP="293D3C50">
      <w:pPr>
        <w:spacing w:line="360" w:lineRule="auto"/>
        <w:ind w:firstLine="450"/>
        <w:rPr>
          <w:rFonts w:ascii="Segoe UI" w:hAnsi="Segoe UI" w:cs="Segoe UI"/>
        </w:rPr>
      </w:pPr>
      <w:r w:rsidRPr="524BF87A">
        <w:rPr>
          <w:rFonts w:ascii="Segoe UI" w:hAnsi="Segoe UI" w:cs="Segoe UI"/>
        </w:rPr>
        <w:t xml:space="preserve">The </w:t>
      </w:r>
      <w:r w:rsidR="000F20DC">
        <w:rPr>
          <w:rFonts w:ascii="Segoe UI" w:hAnsi="Segoe UI" w:cs="Segoe UI"/>
        </w:rPr>
        <w:t>Final</w:t>
      </w:r>
      <w:r w:rsidRPr="524BF87A">
        <w:rPr>
          <w:rFonts w:ascii="Segoe UI" w:hAnsi="Segoe UI" w:cs="Segoe UI"/>
        </w:rPr>
        <w:t xml:space="preserve"> </w:t>
      </w:r>
      <w:r w:rsidR="5D5F6BA9" w:rsidRPr="524BF87A">
        <w:rPr>
          <w:rFonts w:ascii="Segoe UI" w:hAnsi="Segoe UI" w:cs="Segoe UI"/>
        </w:rPr>
        <w:t xml:space="preserve">Patent </w:t>
      </w:r>
      <w:r w:rsidRPr="524BF87A">
        <w:rPr>
          <w:rFonts w:ascii="Segoe UI" w:hAnsi="Segoe UI" w:cs="Segoe UI"/>
        </w:rPr>
        <w:t>Fee Schedule (</w:t>
      </w:r>
      <w:r w:rsidR="5C84F2B9" w:rsidRPr="524BF87A">
        <w:rPr>
          <w:rFonts w:ascii="Segoe UI" w:hAnsi="Segoe UI" w:cs="Segoe UI"/>
        </w:rPr>
        <w:t>Alternative 1</w:t>
      </w:r>
      <w:r w:rsidRPr="524BF87A">
        <w:rPr>
          <w:rFonts w:ascii="Segoe UI" w:hAnsi="Segoe UI" w:cs="Segoe UI"/>
        </w:rPr>
        <w:t>)</w:t>
      </w:r>
      <w:r w:rsidR="5C84F2B9" w:rsidRPr="524BF87A">
        <w:rPr>
          <w:rFonts w:ascii="Segoe UI" w:hAnsi="Segoe UI" w:cs="Segoe UI"/>
        </w:rPr>
        <w:t xml:space="preserve"> is the recommended fee schedule set forth in the</w:t>
      </w:r>
      <w:r w:rsidR="000E20E9">
        <w:rPr>
          <w:rFonts w:ascii="Segoe UI" w:hAnsi="Segoe UI" w:cs="Segoe UI"/>
        </w:rPr>
        <w:t xml:space="preserve"> final rule</w:t>
      </w:r>
      <w:r w:rsidR="5C84F2B9" w:rsidRPr="524BF87A">
        <w:rPr>
          <w:rFonts w:ascii="Segoe UI" w:hAnsi="Segoe UI" w:cs="Segoe UI"/>
        </w:rPr>
        <w:t>.</w:t>
      </w:r>
      <w:r w:rsidR="1B256616" w:rsidRPr="524BF87A">
        <w:rPr>
          <w:rFonts w:ascii="Segoe UI" w:hAnsi="Segoe UI" w:cs="Segoe UI"/>
        </w:rPr>
        <w:t xml:space="preserve"> </w:t>
      </w:r>
      <w:r w:rsidR="65FE6A41" w:rsidRPr="524BF87A">
        <w:rPr>
          <w:rFonts w:ascii="Segoe UI" w:hAnsi="Segoe UI" w:cs="Segoe UI"/>
        </w:rPr>
        <w:t xml:space="preserve">Based on assumptions found in </w:t>
      </w:r>
      <w:r w:rsidR="13BFC73A" w:rsidRPr="524BF87A">
        <w:rPr>
          <w:rFonts w:ascii="Segoe UI" w:hAnsi="Segoe UI" w:cs="Segoe UI"/>
        </w:rPr>
        <w:t>the</w:t>
      </w:r>
      <w:r w:rsidR="000E20E9">
        <w:rPr>
          <w:rFonts w:ascii="Segoe UI" w:hAnsi="Segoe UI" w:cs="Segoe UI"/>
        </w:rPr>
        <w:t xml:space="preserve"> final rule</w:t>
      </w:r>
      <w:r w:rsidR="65FE6A41" w:rsidRPr="524BF87A">
        <w:rPr>
          <w:rFonts w:ascii="Segoe UI" w:hAnsi="Segoe UI" w:cs="Segoe UI"/>
        </w:rPr>
        <w:t xml:space="preserve"> and the FY </w:t>
      </w:r>
      <w:r w:rsidR="1E4DC7DD" w:rsidRPr="524BF87A">
        <w:rPr>
          <w:rFonts w:ascii="Segoe UI" w:hAnsi="Segoe UI" w:cs="Segoe UI"/>
        </w:rPr>
        <w:t>2025 Budget</w:t>
      </w:r>
      <w:r w:rsidR="19B16F3F" w:rsidRPr="524BF87A">
        <w:rPr>
          <w:rFonts w:ascii="Segoe UI" w:hAnsi="Segoe UI" w:cs="Segoe UI"/>
        </w:rPr>
        <w:t>,</w:t>
      </w:r>
      <w:r w:rsidR="65FE6A41" w:rsidRPr="524BF87A">
        <w:rPr>
          <w:rFonts w:ascii="Segoe UI" w:hAnsi="Segoe UI" w:cs="Segoe UI"/>
        </w:rPr>
        <w:t xml:space="preserve"> t</w:t>
      </w:r>
      <w:r w:rsidR="5C84F2B9" w:rsidRPr="524BF87A">
        <w:rPr>
          <w:rFonts w:ascii="Segoe UI" w:hAnsi="Segoe UI" w:cs="Segoe UI"/>
        </w:rPr>
        <w:t xml:space="preserve">ransitioning to the </w:t>
      </w:r>
      <w:r w:rsidR="000F20DC">
        <w:rPr>
          <w:rFonts w:ascii="Segoe UI" w:hAnsi="Segoe UI" w:cs="Segoe UI"/>
        </w:rPr>
        <w:t>Final</w:t>
      </w:r>
      <w:r w:rsidR="0306E46D" w:rsidRPr="524BF87A">
        <w:rPr>
          <w:rFonts w:ascii="Segoe UI" w:hAnsi="Segoe UI" w:cs="Segoe UI"/>
        </w:rPr>
        <w:t xml:space="preserve"> </w:t>
      </w:r>
      <w:r w:rsidR="5D5F6BA9" w:rsidRPr="524BF87A">
        <w:rPr>
          <w:rFonts w:ascii="Segoe UI" w:hAnsi="Segoe UI" w:cs="Segoe UI"/>
        </w:rPr>
        <w:t xml:space="preserve">Patent </w:t>
      </w:r>
      <w:r w:rsidR="0306E46D" w:rsidRPr="524BF87A">
        <w:rPr>
          <w:rFonts w:ascii="Segoe UI" w:hAnsi="Segoe UI" w:cs="Segoe UI"/>
        </w:rPr>
        <w:t>Fee Schedule</w:t>
      </w:r>
      <w:r w:rsidR="2EA1070C" w:rsidRPr="524BF87A">
        <w:rPr>
          <w:rFonts w:ascii="Segoe UI" w:hAnsi="Segoe UI" w:cs="Segoe UI"/>
        </w:rPr>
        <w:t xml:space="preserve"> in FY 202</w:t>
      </w:r>
      <w:r w:rsidR="67B87622" w:rsidRPr="524BF87A">
        <w:rPr>
          <w:rFonts w:ascii="Segoe UI" w:hAnsi="Segoe UI" w:cs="Segoe UI"/>
        </w:rPr>
        <w:t>5</w:t>
      </w:r>
      <w:r w:rsidR="5C84F2B9" w:rsidRPr="524BF87A">
        <w:rPr>
          <w:rFonts w:ascii="Segoe UI" w:hAnsi="Segoe UI" w:cs="Segoe UI"/>
        </w:rPr>
        <w:t xml:space="preserve"> </w:t>
      </w:r>
      <w:r w:rsidR="2EA1070C" w:rsidRPr="524BF87A">
        <w:rPr>
          <w:rFonts w:ascii="Segoe UI" w:hAnsi="Segoe UI" w:cs="Segoe UI"/>
        </w:rPr>
        <w:t>w</w:t>
      </w:r>
      <w:r w:rsidR="13BFC73A" w:rsidRPr="524BF87A">
        <w:rPr>
          <w:rFonts w:ascii="Segoe UI" w:hAnsi="Segoe UI" w:cs="Segoe UI"/>
        </w:rPr>
        <w:t>ill</w:t>
      </w:r>
      <w:r w:rsidR="2EA1070C" w:rsidRPr="524BF87A">
        <w:rPr>
          <w:rFonts w:ascii="Segoe UI" w:hAnsi="Segoe UI" w:cs="Segoe UI"/>
        </w:rPr>
        <w:t xml:space="preserve"> provide the USPTO a </w:t>
      </w:r>
      <w:r w:rsidR="00D20F5A">
        <w:rPr>
          <w:rFonts w:ascii="Segoe UI" w:hAnsi="Segoe UI" w:cs="Segoe UI"/>
        </w:rPr>
        <w:t>7.9</w:t>
      </w:r>
      <w:r w:rsidR="15905AFD" w:rsidRPr="524BF87A">
        <w:rPr>
          <w:rFonts w:ascii="Segoe UI" w:hAnsi="Segoe UI" w:cs="Segoe UI"/>
        </w:rPr>
        <w:t xml:space="preserve">% </w:t>
      </w:r>
      <w:r w:rsidR="5C84F2B9" w:rsidRPr="524BF87A">
        <w:rPr>
          <w:rFonts w:ascii="Segoe UI" w:hAnsi="Segoe UI" w:cs="Segoe UI"/>
        </w:rPr>
        <w:t>increase in fee collections over the Baseline fee collection level.</w:t>
      </w:r>
      <w:r w:rsidR="1B256616" w:rsidRPr="524BF87A">
        <w:rPr>
          <w:rFonts w:ascii="Segoe UI" w:hAnsi="Segoe UI" w:cs="Segoe UI"/>
        </w:rPr>
        <w:t xml:space="preserve"> </w:t>
      </w:r>
      <w:r w:rsidR="5C84F2B9" w:rsidRPr="524BF87A">
        <w:rPr>
          <w:rFonts w:ascii="Segoe UI" w:hAnsi="Segoe UI" w:cs="Segoe UI"/>
        </w:rPr>
        <w:t xml:space="preserve">Once fully transitioned to the new fee </w:t>
      </w:r>
      <w:r w:rsidR="0DD7D90D" w:rsidRPr="524BF87A">
        <w:rPr>
          <w:rFonts w:ascii="Segoe UI" w:hAnsi="Segoe UI" w:cs="Segoe UI"/>
        </w:rPr>
        <w:t xml:space="preserve">schedule, the agency estimates </w:t>
      </w:r>
      <w:r w:rsidR="2EA1070C" w:rsidRPr="524BF87A">
        <w:rPr>
          <w:rFonts w:ascii="Segoe UI" w:hAnsi="Segoe UI" w:cs="Segoe UI"/>
        </w:rPr>
        <w:t>that F</w:t>
      </w:r>
      <w:r w:rsidR="2D04F590" w:rsidRPr="524BF87A">
        <w:rPr>
          <w:rFonts w:ascii="Segoe UI" w:hAnsi="Segoe UI" w:cs="Segoe UI"/>
        </w:rPr>
        <w:t>Y 202</w:t>
      </w:r>
      <w:r w:rsidR="15905AFD" w:rsidRPr="524BF87A">
        <w:rPr>
          <w:rFonts w:ascii="Segoe UI" w:hAnsi="Segoe UI" w:cs="Segoe UI"/>
        </w:rPr>
        <w:t>6</w:t>
      </w:r>
      <w:r w:rsidR="5C84F2B9" w:rsidRPr="524BF87A">
        <w:rPr>
          <w:rFonts w:ascii="Segoe UI" w:hAnsi="Segoe UI" w:cs="Segoe UI"/>
        </w:rPr>
        <w:t xml:space="preserve"> fee</w:t>
      </w:r>
      <w:r w:rsidR="2EA1070C" w:rsidRPr="524BF87A">
        <w:rPr>
          <w:rFonts w:ascii="Segoe UI" w:hAnsi="Segoe UI" w:cs="Segoe UI"/>
        </w:rPr>
        <w:t xml:space="preserve"> </w:t>
      </w:r>
      <w:r w:rsidR="2D04F590" w:rsidRPr="524BF87A">
        <w:rPr>
          <w:rFonts w:ascii="Segoe UI" w:hAnsi="Segoe UI" w:cs="Segoe UI"/>
        </w:rPr>
        <w:t>collections w</w:t>
      </w:r>
      <w:r w:rsidR="0DD7D90D" w:rsidRPr="524BF87A">
        <w:rPr>
          <w:rFonts w:ascii="Segoe UI" w:hAnsi="Segoe UI" w:cs="Segoe UI"/>
        </w:rPr>
        <w:t xml:space="preserve">ill </w:t>
      </w:r>
      <w:r w:rsidR="2D04F590" w:rsidRPr="524BF87A">
        <w:rPr>
          <w:rFonts w:ascii="Segoe UI" w:hAnsi="Segoe UI" w:cs="Segoe UI"/>
        </w:rPr>
        <w:t>exceed FY 202</w:t>
      </w:r>
      <w:r w:rsidR="15905AFD" w:rsidRPr="524BF87A">
        <w:rPr>
          <w:rFonts w:ascii="Segoe UI" w:hAnsi="Segoe UI" w:cs="Segoe UI"/>
        </w:rPr>
        <w:t>6</w:t>
      </w:r>
      <w:r w:rsidR="2EA1070C" w:rsidRPr="524BF87A">
        <w:rPr>
          <w:rFonts w:ascii="Segoe UI" w:hAnsi="Segoe UI" w:cs="Segoe UI"/>
        </w:rPr>
        <w:t xml:space="preserve"> Baseline fee collections </w:t>
      </w:r>
      <w:r w:rsidR="2EA1070C" w:rsidRPr="00D20F5A">
        <w:rPr>
          <w:rFonts w:ascii="Segoe UI" w:hAnsi="Segoe UI" w:cs="Segoe UI"/>
        </w:rPr>
        <w:t xml:space="preserve">by </w:t>
      </w:r>
      <w:r w:rsidR="008B6167" w:rsidRPr="00D20F5A">
        <w:rPr>
          <w:rFonts w:ascii="Segoe UI" w:hAnsi="Segoe UI" w:cs="Segoe UI"/>
        </w:rPr>
        <w:t>11.</w:t>
      </w:r>
      <w:r w:rsidR="00D20F5A" w:rsidRPr="00D20F5A">
        <w:rPr>
          <w:rFonts w:ascii="Segoe UI" w:hAnsi="Segoe UI" w:cs="Segoe UI"/>
        </w:rPr>
        <w:t>4</w:t>
      </w:r>
      <w:r w:rsidR="15905AFD" w:rsidRPr="524BF87A">
        <w:rPr>
          <w:rFonts w:ascii="Segoe UI" w:hAnsi="Segoe UI" w:cs="Segoe UI"/>
        </w:rPr>
        <w:t>%</w:t>
      </w:r>
      <w:r w:rsidR="5C84F2B9" w:rsidRPr="524BF87A">
        <w:rPr>
          <w:rFonts w:ascii="Segoe UI" w:hAnsi="Segoe UI" w:cs="Segoe UI"/>
        </w:rPr>
        <w:t>.</w:t>
      </w:r>
      <w:r w:rsidR="1B256616" w:rsidRPr="524BF87A">
        <w:rPr>
          <w:rFonts w:ascii="Segoe UI" w:hAnsi="Segoe UI" w:cs="Segoe UI"/>
        </w:rPr>
        <w:t xml:space="preserve"> </w:t>
      </w:r>
      <w:r w:rsidR="67B87622" w:rsidRPr="524BF87A">
        <w:rPr>
          <w:rFonts w:ascii="Segoe UI" w:hAnsi="Segoe UI" w:cs="Segoe UI"/>
        </w:rPr>
        <w:t>In FY</w:t>
      </w:r>
      <w:r w:rsidR="00D20F5A">
        <w:rPr>
          <w:rFonts w:ascii="Segoe UI" w:hAnsi="Segoe UI" w:cs="Segoe UI"/>
        </w:rPr>
        <w:t>s</w:t>
      </w:r>
      <w:r w:rsidR="67B87622" w:rsidRPr="524BF87A">
        <w:rPr>
          <w:rFonts w:ascii="Segoe UI" w:hAnsi="Segoe UI" w:cs="Segoe UI"/>
        </w:rPr>
        <w:t xml:space="preserve"> 202</w:t>
      </w:r>
      <w:r w:rsidR="00D20F5A">
        <w:rPr>
          <w:rFonts w:ascii="Segoe UI" w:hAnsi="Segoe UI" w:cs="Segoe UI"/>
        </w:rPr>
        <w:t>8 and 2029</w:t>
      </w:r>
      <w:r w:rsidR="67B87622" w:rsidRPr="524BF87A">
        <w:rPr>
          <w:rFonts w:ascii="Segoe UI" w:hAnsi="Segoe UI" w:cs="Segoe UI"/>
        </w:rPr>
        <w:t xml:space="preserve">, </w:t>
      </w:r>
      <w:r w:rsidR="5C84F2B9" w:rsidRPr="524BF87A">
        <w:rPr>
          <w:rFonts w:ascii="Segoe UI" w:hAnsi="Segoe UI" w:cs="Segoe UI"/>
        </w:rPr>
        <w:t>aggregate revenue</w:t>
      </w:r>
      <w:r w:rsidR="67B87622" w:rsidRPr="524BF87A">
        <w:rPr>
          <w:rFonts w:ascii="Segoe UI" w:hAnsi="Segoe UI" w:cs="Segoe UI"/>
        </w:rPr>
        <w:t>, supplemented by the operating reserve</w:t>
      </w:r>
      <w:r w:rsidR="22972556" w:rsidRPr="524BF87A">
        <w:rPr>
          <w:rFonts w:ascii="Segoe UI" w:hAnsi="Segoe UI" w:cs="Segoe UI"/>
        </w:rPr>
        <w:t>,</w:t>
      </w:r>
      <w:r w:rsidR="5C84F2B9" w:rsidRPr="524BF87A">
        <w:rPr>
          <w:rFonts w:ascii="Segoe UI" w:hAnsi="Segoe UI" w:cs="Segoe UI"/>
        </w:rPr>
        <w:t xml:space="preserve"> w</w:t>
      </w:r>
      <w:r w:rsidR="56C69FF6" w:rsidRPr="524BF87A">
        <w:rPr>
          <w:rFonts w:ascii="Segoe UI" w:hAnsi="Segoe UI" w:cs="Segoe UI"/>
        </w:rPr>
        <w:t xml:space="preserve">ill </w:t>
      </w:r>
      <w:r w:rsidR="5C84F2B9" w:rsidRPr="524BF87A">
        <w:rPr>
          <w:rFonts w:ascii="Segoe UI" w:hAnsi="Segoe UI" w:cs="Segoe UI"/>
        </w:rPr>
        <w:t>be sufficient to recover the aggregate cost</w:t>
      </w:r>
      <w:r w:rsidR="4577728E" w:rsidRPr="524BF87A">
        <w:rPr>
          <w:rFonts w:ascii="Segoe UI" w:hAnsi="Segoe UI" w:cs="Segoe UI"/>
        </w:rPr>
        <w:t>s</w:t>
      </w:r>
      <w:r w:rsidR="1D221A8E" w:rsidRPr="524BF87A">
        <w:rPr>
          <w:rFonts w:ascii="Segoe UI" w:hAnsi="Segoe UI" w:cs="Segoe UI"/>
        </w:rPr>
        <w:t xml:space="preserve"> of patent operations</w:t>
      </w:r>
      <w:r w:rsidR="4577728E" w:rsidRPr="524BF87A">
        <w:rPr>
          <w:rFonts w:ascii="Segoe UI" w:hAnsi="Segoe UI" w:cs="Segoe UI"/>
        </w:rPr>
        <w:t xml:space="preserve"> and</w:t>
      </w:r>
      <w:r w:rsidR="7A7142D9" w:rsidRPr="524BF87A">
        <w:rPr>
          <w:rFonts w:ascii="Segoe UI" w:hAnsi="Segoe UI" w:cs="Segoe UI"/>
        </w:rPr>
        <w:t xml:space="preserve"> support the </w:t>
      </w:r>
      <w:r w:rsidR="56C69FF6" w:rsidRPr="524BF87A">
        <w:rPr>
          <w:rFonts w:ascii="Segoe UI" w:hAnsi="Segoe UI" w:cs="Segoe UI"/>
        </w:rPr>
        <w:t xml:space="preserve">USPTO’s </w:t>
      </w:r>
      <w:r w:rsidR="5C84F2B9" w:rsidRPr="524BF87A">
        <w:rPr>
          <w:rFonts w:ascii="Segoe UI" w:hAnsi="Segoe UI" w:cs="Segoe UI"/>
        </w:rPr>
        <w:t>strategi</w:t>
      </w:r>
      <w:r w:rsidR="7A7142D9" w:rsidRPr="524BF87A">
        <w:rPr>
          <w:rFonts w:ascii="Segoe UI" w:hAnsi="Segoe UI" w:cs="Segoe UI"/>
        </w:rPr>
        <w:t xml:space="preserve">c </w:t>
      </w:r>
      <w:r w:rsidR="67B87622" w:rsidRPr="524BF87A">
        <w:rPr>
          <w:rFonts w:ascii="Segoe UI" w:hAnsi="Segoe UI" w:cs="Segoe UI"/>
        </w:rPr>
        <w:t xml:space="preserve">objectives to issue and maintain robust and reliable patents; improve patent application pendency; optimize the patent application process to enable efficiencies for applicants and other stakeholders; and enhance internal processes to prevent fraudulent and abusive behaviors that do not embody the </w:t>
      </w:r>
      <w:r w:rsidR="20CA6B03" w:rsidRPr="524BF87A">
        <w:rPr>
          <w:rFonts w:ascii="Segoe UI" w:hAnsi="Segoe UI" w:cs="Segoe UI"/>
        </w:rPr>
        <w:t>agency</w:t>
      </w:r>
      <w:r w:rsidR="67B87622" w:rsidRPr="524BF87A">
        <w:rPr>
          <w:rFonts w:ascii="Segoe UI" w:hAnsi="Segoe UI" w:cs="Segoe UI"/>
        </w:rPr>
        <w:t>’s mission.</w:t>
      </w:r>
    </w:p>
    <w:p w14:paraId="692D0FF2" w14:textId="1B409A1F" w:rsidR="0021038B" w:rsidRDefault="20CA6B03" w:rsidP="293D3C50">
      <w:pPr>
        <w:spacing w:line="360" w:lineRule="auto"/>
        <w:ind w:firstLine="450"/>
        <w:rPr>
          <w:rFonts w:ascii="Segoe UI" w:hAnsi="Segoe UI" w:cs="Segoe UI"/>
        </w:rPr>
      </w:pPr>
      <w:r w:rsidRPr="293D3C50">
        <w:rPr>
          <w:rFonts w:ascii="Segoe UI" w:hAnsi="Segoe UI" w:cs="Segoe UI"/>
        </w:rPr>
        <w:lastRenderedPageBreak/>
        <w:t xml:space="preserve">The </w:t>
      </w:r>
      <w:r w:rsidR="000F20DC">
        <w:rPr>
          <w:rFonts w:ascii="Segoe UI" w:hAnsi="Segoe UI" w:cs="Segoe UI"/>
        </w:rPr>
        <w:t>Final</w:t>
      </w:r>
      <w:r w:rsidRPr="293D3C50">
        <w:rPr>
          <w:rFonts w:ascii="Segoe UI" w:hAnsi="Segoe UI" w:cs="Segoe UI"/>
        </w:rPr>
        <w:t xml:space="preserve"> Patent Fee Schedule</w:t>
      </w:r>
      <w:r w:rsidR="00C40F3B">
        <w:rPr>
          <w:rFonts w:ascii="Segoe UI" w:hAnsi="Segoe UI" w:cs="Segoe UI"/>
        </w:rPr>
        <w:t xml:space="preserve">, using the assumptions laid out in the FY 2025 </w:t>
      </w:r>
      <w:r w:rsidR="00903148">
        <w:rPr>
          <w:rFonts w:ascii="Segoe UI" w:hAnsi="Segoe UI" w:cs="Segoe UI"/>
        </w:rPr>
        <w:t>B</w:t>
      </w:r>
      <w:r w:rsidR="00C40F3B">
        <w:rPr>
          <w:rFonts w:ascii="Segoe UI" w:hAnsi="Segoe UI" w:cs="Segoe UI"/>
        </w:rPr>
        <w:t>udget,</w:t>
      </w:r>
      <w:r w:rsidRPr="293D3C50">
        <w:rPr>
          <w:rFonts w:ascii="Segoe UI" w:hAnsi="Segoe UI" w:cs="Segoe UI"/>
        </w:rPr>
        <w:t xml:space="preserve"> </w:t>
      </w:r>
      <w:r w:rsidR="00C40F3B">
        <w:rPr>
          <w:rFonts w:ascii="Segoe UI" w:hAnsi="Segoe UI" w:cs="Segoe UI"/>
        </w:rPr>
        <w:t>enhances</w:t>
      </w:r>
      <w:r w:rsidR="4E39F9BC" w:rsidRPr="293D3C50">
        <w:rPr>
          <w:rFonts w:ascii="Segoe UI" w:hAnsi="Segoe UI" w:cs="Segoe UI"/>
        </w:rPr>
        <w:t xml:space="preserve"> </w:t>
      </w:r>
      <w:r w:rsidR="6DA127A6" w:rsidRPr="293D3C50">
        <w:rPr>
          <w:rFonts w:ascii="Segoe UI" w:hAnsi="Segoe UI" w:cs="Segoe UI"/>
        </w:rPr>
        <w:t xml:space="preserve">resiliency against financial shocks by </w:t>
      </w:r>
      <w:r w:rsidR="4DAD3A1E" w:rsidRPr="293D3C50">
        <w:rPr>
          <w:rFonts w:ascii="Segoe UI" w:hAnsi="Segoe UI" w:cs="Segoe UI"/>
        </w:rPr>
        <w:t>maintain</w:t>
      </w:r>
      <w:r w:rsidR="6DA127A6" w:rsidRPr="293D3C50">
        <w:rPr>
          <w:rFonts w:ascii="Segoe UI" w:hAnsi="Segoe UI" w:cs="Segoe UI"/>
        </w:rPr>
        <w:t>ing</w:t>
      </w:r>
      <w:r w:rsidR="4DAD3A1E" w:rsidRPr="293D3C50">
        <w:rPr>
          <w:rFonts w:ascii="Segoe UI" w:hAnsi="Segoe UI" w:cs="Segoe UI"/>
        </w:rPr>
        <w:t xml:space="preserve"> the minimum operating reserve balance while </w:t>
      </w:r>
      <w:r w:rsidR="6DA127A6" w:rsidRPr="293D3C50">
        <w:rPr>
          <w:rFonts w:ascii="Segoe UI" w:hAnsi="Segoe UI" w:cs="Segoe UI"/>
        </w:rPr>
        <w:t xml:space="preserve">building </w:t>
      </w:r>
      <w:r w:rsidR="4E39F9BC" w:rsidRPr="293D3C50">
        <w:rPr>
          <w:rFonts w:ascii="Segoe UI" w:hAnsi="Segoe UI" w:cs="Segoe UI"/>
        </w:rPr>
        <w:t xml:space="preserve">it to </w:t>
      </w:r>
      <w:r w:rsidR="6DA127A6" w:rsidRPr="293D3C50">
        <w:rPr>
          <w:rFonts w:ascii="Segoe UI" w:hAnsi="Segoe UI" w:cs="Segoe UI"/>
        </w:rPr>
        <w:t>the optimal reserve target</w:t>
      </w:r>
      <w:r w:rsidR="7BD2729E" w:rsidRPr="293D3C50">
        <w:rPr>
          <w:rFonts w:ascii="Segoe UI" w:hAnsi="Segoe UI" w:cs="Segoe UI"/>
        </w:rPr>
        <w:t xml:space="preserve"> (approximately three months of operating expenses)</w:t>
      </w:r>
      <w:r w:rsidR="6DA127A6" w:rsidRPr="293D3C50">
        <w:rPr>
          <w:rFonts w:ascii="Segoe UI" w:hAnsi="Segoe UI" w:cs="Segoe UI"/>
        </w:rPr>
        <w:t xml:space="preserve">. </w:t>
      </w:r>
      <w:r w:rsidR="54C34F30" w:rsidRPr="293D3C50">
        <w:rPr>
          <w:rFonts w:ascii="Segoe UI" w:hAnsi="Segoe UI" w:cs="Segoe UI"/>
        </w:rPr>
        <w:t>With</w:t>
      </w:r>
      <w:r w:rsidR="0B0E4C8E" w:rsidRPr="293D3C50">
        <w:rPr>
          <w:rFonts w:ascii="Segoe UI" w:hAnsi="Segoe UI" w:cs="Segoe UI"/>
        </w:rPr>
        <w:t xml:space="preserve"> </w:t>
      </w:r>
      <w:r w:rsidR="54C34F30" w:rsidRPr="293D3C50">
        <w:rPr>
          <w:rFonts w:ascii="Segoe UI" w:hAnsi="Segoe UI" w:cs="Segoe UI"/>
        </w:rPr>
        <w:t>Alternative 1</w:t>
      </w:r>
      <w:r w:rsidR="0B0E4C8E" w:rsidRPr="293D3C50">
        <w:rPr>
          <w:rFonts w:ascii="Segoe UI" w:hAnsi="Segoe UI" w:cs="Segoe UI"/>
        </w:rPr>
        <w:t>, in</w:t>
      </w:r>
      <w:r w:rsidR="6DA127A6" w:rsidRPr="293D3C50">
        <w:rPr>
          <w:rFonts w:ascii="Segoe UI" w:hAnsi="Segoe UI" w:cs="Segoe UI"/>
        </w:rPr>
        <w:t xml:space="preserve"> FY 202</w:t>
      </w:r>
      <w:r w:rsidR="0B0E4C8E" w:rsidRPr="293D3C50">
        <w:rPr>
          <w:rFonts w:ascii="Segoe UI" w:hAnsi="Segoe UI" w:cs="Segoe UI"/>
        </w:rPr>
        <w:t>6</w:t>
      </w:r>
      <w:r w:rsidR="6DA127A6" w:rsidRPr="293D3C50">
        <w:rPr>
          <w:rFonts w:ascii="Segoe UI" w:hAnsi="Segoe UI" w:cs="Segoe UI"/>
        </w:rPr>
        <w:t xml:space="preserve">, the </w:t>
      </w:r>
      <w:r w:rsidR="5D2A7C2A" w:rsidRPr="293D3C50">
        <w:rPr>
          <w:rFonts w:ascii="Segoe UI" w:hAnsi="Segoe UI" w:cs="Segoe UI"/>
        </w:rPr>
        <w:t xml:space="preserve">agency’s </w:t>
      </w:r>
      <w:r w:rsidR="6DA127A6" w:rsidRPr="293D3C50">
        <w:rPr>
          <w:rFonts w:ascii="Segoe UI" w:hAnsi="Segoe UI" w:cs="Segoe UI"/>
        </w:rPr>
        <w:t xml:space="preserve">optimal </w:t>
      </w:r>
      <w:r w:rsidR="5D2A7C2A" w:rsidRPr="293D3C50">
        <w:rPr>
          <w:rFonts w:ascii="Segoe UI" w:hAnsi="Segoe UI" w:cs="Segoe UI"/>
        </w:rPr>
        <w:t xml:space="preserve">operating </w:t>
      </w:r>
      <w:r w:rsidR="6DA127A6" w:rsidRPr="293D3C50">
        <w:rPr>
          <w:rFonts w:ascii="Segoe UI" w:hAnsi="Segoe UI" w:cs="Segoe UI"/>
        </w:rPr>
        <w:t>reserve target is $1</w:t>
      </w:r>
      <w:r w:rsidR="0B0E4C8E" w:rsidRPr="293D3C50">
        <w:rPr>
          <w:rFonts w:ascii="Segoe UI" w:hAnsi="Segoe UI" w:cs="Segoe UI"/>
        </w:rPr>
        <w:t>.</w:t>
      </w:r>
      <w:r w:rsidR="6DA127A6" w:rsidRPr="293D3C50">
        <w:rPr>
          <w:rFonts w:ascii="Segoe UI" w:hAnsi="Segoe UI" w:cs="Segoe UI"/>
        </w:rPr>
        <w:t xml:space="preserve">0 </w:t>
      </w:r>
      <w:r w:rsidR="0B0E4C8E" w:rsidRPr="293D3C50">
        <w:rPr>
          <w:rFonts w:ascii="Segoe UI" w:hAnsi="Segoe UI" w:cs="Segoe UI"/>
        </w:rPr>
        <w:t>billion</w:t>
      </w:r>
      <w:r w:rsidR="5D2A7C2A" w:rsidRPr="293D3C50">
        <w:rPr>
          <w:rFonts w:ascii="Segoe UI" w:hAnsi="Segoe UI" w:cs="Segoe UI"/>
        </w:rPr>
        <w:t>,</w:t>
      </w:r>
      <w:r w:rsidR="0B0E4C8E" w:rsidRPr="293D3C50">
        <w:rPr>
          <w:rFonts w:ascii="Segoe UI" w:hAnsi="Segoe UI" w:cs="Segoe UI"/>
        </w:rPr>
        <w:t xml:space="preserve"> a</w:t>
      </w:r>
      <w:r w:rsidR="6DA127A6" w:rsidRPr="293D3C50">
        <w:rPr>
          <w:rFonts w:ascii="Segoe UI" w:hAnsi="Segoe UI" w:cs="Segoe UI"/>
        </w:rPr>
        <w:t>n</w:t>
      </w:r>
      <w:r w:rsidR="0B0E4C8E" w:rsidRPr="293D3C50">
        <w:rPr>
          <w:rFonts w:ascii="Segoe UI" w:hAnsi="Segoe UI" w:cs="Segoe UI"/>
        </w:rPr>
        <w:t>d the EOY anticipated operating reserve balance is $1.</w:t>
      </w:r>
      <w:r w:rsidR="008B6167">
        <w:rPr>
          <w:rFonts w:ascii="Segoe UI" w:hAnsi="Segoe UI" w:cs="Segoe UI"/>
        </w:rPr>
        <w:t>0</w:t>
      </w:r>
      <w:r w:rsidR="0B0E4C8E" w:rsidRPr="293D3C50">
        <w:rPr>
          <w:rFonts w:ascii="Segoe UI" w:hAnsi="Segoe UI" w:cs="Segoe UI"/>
        </w:rPr>
        <w:t xml:space="preserve"> billion</w:t>
      </w:r>
      <w:r w:rsidR="0947199F" w:rsidRPr="293D3C50">
        <w:rPr>
          <w:rFonts w:ascii="Segoe UI" w:hAnsi="Segoe UI" w:cs="Segoe UI"/>
        </w:rPr>
        <w:t xml:space="preserve">. The </w:t>
      </w:r>
      <w:r w:rsidR="66E08BAD" w:rsidRPr="293D3C50">
        <w:rPr>
          <w:rFonts w:ascii="Segoe UI" w:hAnsi="Segoe UI" w:cs="Segoe UI"/>
        </w:rPr>
        <w:t>agency</w:t>
      </w:r>
      <w:r w:rsidR="2D0B5775" w:rsidRPr="293D3C50">
        <w:rPr>
          <w:rFonts w:ascii="Segoe UI" w:hAnsi="Segoe UI" w:cs="Segoe UI"/>
        </w:rPr>
        <w:t xml:space="preserve"> expects the </w:t>
      </w:r>
      <w:r w:rsidR="0947199F" w:rsidRPr="293D3C50">
        <w:rPr>
          <w:rFonts w:ascii="Segoe UI" w:hAnsi="Segoe UI" w:cs="Segoe UI"/>
        </w:rPr>
        <w:t>operating reserve</w:t>
      </w:r>
      <w:r w:rsidR="0372CDBB" w:rsidRPr="293D3C50">
        <w:rPr>
          <w:rFonts w:ascii="Segoe UI" w:hAnsi="Segoe UI" w:cs="Segoe UI"/>
        </w:rPr>
        <w:t xml:space="preserve"> to exceed the</w:t>
      </w:r>
      <w:r w:rsidR="0947199F" w:rsidRPr="293D3C50">
        <w:rPr>
          <w:rFonts w:ascii="Segoe UI" w:hAnsi="Segoe UI" w:cs="Segoe UI"/>
        </w:rPr>
        <w:t xml:space="preserve"> target in FY 2027 </w:t>
      </w:r>
      <w:r w:rsidR="008B6167">
        <w:rPr>
          <w:rFonts w:ascii="Segoe UI" w:hAnsi="Segoe UI" w:cs="Segoe UI"/>
        </w:rPr>
        <w:t xml:space="preserve">and FY 2028 </w:t>
      </w:r>
      <w:r w:rsidR="0947199F" w:rsidRPr="293D3C50">
        <w:rPr>
          <w:rFonts w:ascii="Segoe UI" w:hAnsi="Segoe UI" w:cs="Segoe UI"/>
        </w:rPr>
        <w:t>but</w:t>
      </w:r>
      <w:r w:rsidR="0F97130C" w:rsidRPr="293D3C50">
        <w:rPr>
          <w:rFonts w:ascii="Segoe UI" w:hAnsi="Segoe UI" w:cs="Segoe UI"/>
        </w:rPr>
        <w:t xml:space="preserve"> fall below the optimal level</w:t>
      </w:r>
      <w:r w:rsidR="0947199F" w:rsidRPr="293D3C50">
        <w:rPr>
          <w:rFonts w:ascii="Segoe UI" w:hAnsi="Segoe UI" w:cs="Segoe UI"/>
        </w:rPr>
        <w:t xml:space="preserve"> </w:t>
      </w:r>
      <w:r w:rsidR="6DA127A6" w:rsidRPr="293D3C50">
        <w:rPr>
          <w:rFonts w:ascii="Segoe UI" w:hAnsi="Segoe UI" w:cs="Segoe UI"/>
        </w:rPr>
        <w:t xml:space="preserve">to supplement anticipated fee collections </w:t>
      </w:r>
      <w:r w:rsidR="2FD057CD" w:rsidRPr="293D3C50">
        <w:rPr>
          <w:rFonts w:ascii="Segoe UI" w:hAnsi="Segoe UI" w:cs="Segoe UI"/>
        </w:rPr>
        <w:t>during</w:t>
      </w:r>
      <w:r w:rsidR="6DA127A6" w:rsidRPr="293D3C50">
        <w:rPr>
          <w:rFonts w:ascii="Segoe UI" w:hAnsi="Segoe UI" w:cs="Segoe UI"/>
        </w:rPr>
        <w:t xml:space="preserve"> </w:t>
      </w:r>
      <w:r w:rsidR="2FD057CD" w:rsidRPr="293D3C50">
        <w:rPr>
          <w:rFonts w:ascii="Segoe UI" w:hAnsi="Segoe UI" w:cs="Segoe UI"/>
        </w:rPr>
        <w:t xml:space="preserve">FY </w:t>
      </w:r>
      <w:r w:rsidR="6DA127A6" w:rsidRPr="293D3C50">
        <w:rPr>
          <w:rFonts w:ascii="Segoe UI" w:hAnsi="Segoe UI" w:cs="Segoe UI"/>
        </w:rPr>
        <w:t>2029.</w:t>
      </w:r>
    </w:p>
    <w:p w14:paraId="76BC93FD" w14:textId="37BD6D8D" w:rsidR="00B06FCC" w:rsidRPr="00CF6436" w:rsidRDefault="021951F0" w:rsidP="293D3C50">
      <w:pPr>
        <w:spacing w:line="360" w:lineRule="auto"/>
        <w:ind w:firstLine="450"/>
        <w:rPr>
          <w:rFonts w:ascii="Segoe UI" w:hAnsi="Segoe UI" w:cs="Segoe UI"/>
        </w:rPr>
      </w:pPr>
      <w:r w:rsidRPr="524BF87A">
        <w:rPr>
          <w:rFonts w:ascii="Segoe UI" w:hAnsi="Segoe UI" w:cs="Segoe UI"/>
        </w:rPr>
        <w:t>The USPTO will continue to assess the patent operating reserve balance against its target annually</w:t>
      </w:r>
      <w:r w:rsidR="1CDC1E39" w:rsidRPr="524BF87A">
        <w:rPr>
          <w:rFonts w:ascii="Segoe UI" w:hAnsi="Segoe UI" w:cs="Segoe UI"/>
        </w:rPr>
        <w:t xml:space="preserve">; </w:t>
      </w:r>
      <w:r w:rsidRPr="524BF87A">
        <w:rPr>
          <w:rFonts w:ascii="Segoe UI" w:hAnsi="Segoe UI" w:cs="Segoe UI"/>
        </w:rPr>
        <w:t xml:space="preserve">at least every </w:t>
      </w:r>
      <w:r w:rsidR="38E20B9F" w:rsidRPr="524BF87A">
        <w:rPr>
          <w:rFonts w:ascii="Segoe UI" w:hAnsi="Segoe UI" w:cs="Segoe UI"/>
        </w:rPr>
        <w:t xml:space="preserve">three </w:t>
      </w:r>
      <w:r w:rsidRPr="524BF87A">
        <w:rPr>
          <w:rFonts w:ascii="Segoe UI" w:hAnsi="Segoe UI" w:cs="Segoe UI"/>
        </w:rPr>
        <w:t>years,</w:t>
      </w:r>
      <w:r w:rsidR="1CDC1E39" w:rsidRPr="524BF87A">
        <w:rPr>
          <w:rFonts w:ascii="Segoe UI" w:hAnsi="Segoe UI" w:cs="Segoe UI"/>
        </w:rPr>
        <w:t xml:space="preserve"> the agency will</w:t>
      </w:r>
      <w:r w:rsidRPr="524BF87A">
        <w:rPr>
          <w:rFonts w:ascii="Segoe UI" w:hAnsi="Segoe UI" w:cs="Segoe UI"/>
        </w:rPr>
        <w:t xml:space="preserve"> </w:t>
      </w:r>
      <w:r w:rsidR="4248ECBD" w:rsidRPr="524BF87A">
        <w:rPr>
          <w:rFonts w:ascii="Segoe UI" w:hAnsi="Segoe UI" w:cs="Segoe UI"/>
        </w:rPr>
        <w:t xml:space="preserve">evaluate </w:t>
      </w:r>
      <w:r w:rsidRPr="524BF87A">
        <w:rPr>
          <w:rFonts w:ascii="Segoe UI" w:hAnsi="Segoe UI" w:cs="Segoe UI"/>
        </w:rPr>
        <w:t>the target balance</w:t>
      </w:r>
      <w:r w:rsidR="40DB1450" w:rsidRPr="524BF87A">
        <w:rPr>
          <w:rFonts w:ascii="Segoe UI" w:hAnsi="Segoe UI" w:cs="Segoe UI"/>
        </w:rPr>
        <w:t xml:space="preserve"> to determine if it</w:t>
      </w:r>
      <w:r w:rsidR="17090AA1" w:rsidRPr="524BF87A">
        <w:rPr>
          <w:rFonts w:ascii="Segoe UI" w:hAnsi="Segoe UI" w:cs="Segoe UI"/>
        </w:rPr>
        <w:t xml:space="preserve"> is </w:t>
      </w:r>
      <w:r w:rsidR="3065AAF9" w:rsidRPr="524BF87A">
        <w:rPr>
          <w:rFonts w:ascii="Segoe UI" w:hAnsi="Segoe UI" w:cs="Segoe UI"/>
        </w:rPr>
        <w:t xml:space="preserve">necessary and </w:t>
      </w:r>
      <w:r w:rsidRPr="524BF87A">
        <w:rPr>
          <w:rFonts w:ascii="Segoe UI" w:hAnsi="Segoe UI" w:cs="Segoe UI"/>
        </w:rPr>
        <w:t xml:space="preserve">sufficient to provide </w:t>
      </w:r>
      <w:r w:rsidR="28F235D9" w:rsidRPr="524BF87A">
        <w:rPr>
          <w:rFonts w:ascii="Segoe UI" w:hAnsi="Segoe UI" w:cs="Segoe UI"/>
        </w:rPr>
        <w:t xml:space="preserve">needed </w:t>
      </w:r>
      <w:r w:rsidRPr="524BF87A">
        <w:rPr>
          <w:rFonts w:ascii="Segoe UI" w:hAnsi="Segoe UI" w:cs="Segoe UI"/>
        </w:rPr>
        <w:t xml:space="preserve">funding stability. </w:t>
      </w:r>
      <w:r w:rsidR="1D221A8E" w:rsidRPr="524BF87A">
        <w:rPr>
          <w:rFonts w:ascii="Segoe UI" w:hAnsi="Segoe UI" w:cs="Segoe UI"/>
        </w:rPr>
        <w:t xml:space="preserve">It is important to balance accomplishing </w:t>
      </w:r>
      <w:r w:rsidR="14674EDE" w:rsidRPr="524BF87A">
        <w:rPr>
          <w:rFonts w:ascii="Segoe UI" w:hAnsi="Segoe UI" w:cs="Segoe UI"/>
        </w:rPr>
        <w:t xml:space="preserve">strategic </w:t>
      </w:r>
      <w:r w:rsidR="1D221A8E" w:rsidRPr="524BF87A">
        <w:rPr>
          <w:rFonts w:ascii="Segoe UI" w:hAnsi="Segoe UI" w:cs="Segoe UI"/>
        </w:rPr>
        <w:t xml:space="preserve">priorities </w:t>
      </w:r>
      <w:r w:rsidR="13D26F9E" w:rsidRPr="524BF87A">
        <w:rPr>
          <w:rFonts w:ascii="Segoe UI" w:hAnsi="Segoe UI" w:cs="Segoe UI"/>
        </w:rPr>
        <w:t xml:space="preserve">with building the operating reserve </w:t>
      </w:r>
      <w:r w:rsidR="1D8A53EA" w:rsidRPr="524BF87A">
        <w:rPr>
          <w:rFonts w:ascii="Segoe UI" w:hAnsi="Segoe UI" w:cs="Segoe UI"/>
        </w:rPr>
        <w:t xml:space="preserve">to ensure </w:t>
      </w:r>
      <w:r w:rsidR="1D221A8E" w:rsidRPr="524BF87A">
        <w:rPr>
          <w:rFonts w:ascii="Segoe UI" w:hAnsi="Segoe UI" w:cs="Segoe UI"/>
        </w:rPr>
        <w:t xml:space="preserve">sufficient resources </w:t>
      </w:r>
      <w:r w:rsidR="1D8A53EA" w:rsidRPr="524BF87A">
        <w:rPr>
          <w:rFonts w:ascii="Segoe UI" w:hAnsi="Segoe UI" w:cs="Segoe UI"/>
        </w:rPr>
        <w:t xml:space="preserve">are available </w:t>
      </w:r>
      <w:r w:rsidR="1D221A8E" w:rsidRPr="524BF87A">
        <w:rPr>
          <w:rFonts w:ascii="Segoe UI" w:hAnsi="Segoe UI" w:cs="Segoe UI"/>
        </w:rPr>
        <w:t xml:space="preserve">to maintain </w:t>
      </w:r>
      <w:r w:rsidR="510087E2" w:rsidRPr="524BF87A">
        <w:rPr>
          <w:rFonts w:ascii="Segoe UI" w:hAnsi="Segoe UI" w:cs="Segoe UI"/>
        </w:rPr>
        <w:t xml:space="preserve">agency </w:t>
      </w:r>
      <w:r w:rsidR="2AD2837A" w:rsidRPr="524BF87A">
        <w:rPr>
          <w:rFonts w:ascii="Segoe UI" w:hAnsi="Segoe UI" w:cs="Segoe UI"/>
        </w:rPr>
        <w:t>operations at desired service levels</w:t>
      </w:r>
      <w:r w:rsidR="1D221A8E" w:rsidRPr="524BF87A">
        <w:rPr>
          <w:rFonts w:ascii="Segoe UI" w:hAnsi="Segoe UI" w:cs="Segoe UI"/>
        </w:rPr>
        <w:t>.</w:t>
      </w:r>
    </w:p>
    <w:p w14:paraId="015E8745" w14:textId="72F6E138" w:rsidR="00E516EA" w:rsidRPr="00CF6436" w:rsidRDefault="6774367B" w:rsidP="293D3C50">
      <w:pPr>
        <w:spacing w:line="360" w:lineRule="auto"/>
        <w:ind w:firstLine="450"/>
        <w:rPr>
          <w:rFonts w:ascii="Segoe UI" w:hAnsi="Segoe UI" w:cs="Segoe UI"/>
          <w:color w:val="000000" w:themeColor="text1"/>
        </w:rPr>
      </w:pPr>
      <w:r w:rsidRPr="293D3C50">
        <w:rPr>
          <w:rFonts w:ascii="Segoe UI" w:hAnsi="Segoe UI" w:cs="Segoe UI"/>
        </w:rPr>
        <w:t xml:space="preserve">The </w:t>
      </w:r>
      <w:r w:rsidR="000F20DC">
        <w:rPr>
          <w:rFonts w:ascii="Segoe UI" w:hAnsi="Segoe UI" w:cs="Segoe UI"/>
        </w:rPr>
        <w:t>Final</w:t>
      </w:r>
      <w:r w:rsidR="6B95B53A" w:rsidRPr="293D3C50">
        <w:rPr>
          <w:rFonts w:ascii="Segoe UI" w:hAnsi="Segoe UI" w:cs="Segoe UI"/>
        </w:rPr>
        <w:t xml:space="preserve"> </w:t>
      </w:r>
      <w:r w:rsidR="3E1ECF6E" w:rsidRPr="293D3C50">
        <w:rPr>
          <w:rFonts w:ascii="Segoe UI" w:hAnsi="Segoe UI" w:cs="Segoe UI"/>
        </w:rPr>
        <w:t xml:space="preserve">Patent </w:t>
      </w:r>
      <w:r w:rsidR="6B95B53A" w:rsidRPr="293D3C50">
        <w:rPr>
          <w:rFonts w:ascii="Segoe UI" w:hAnsi="Segoe UI" w:cs="Segoe UI"/>
        </w:rPr>
        <w:t>Fee Schedule</w:t>
      </w:r>
      <w:r w:rsidRPr="293D3C50">
        <w:rPr>
          <w:rFonts w:ascii="Segoe UI" w:hAnsi="Segoe UI" w:cs="Segoe UI"/>
        </w:rPr>
        <w:t xml:space="preserve"> aligns with </w:t>
      </w:r>
      <w:r w:rsidR="510087E2" w:rsidRPr="293D3C50">
        <w:rPr>
          <w:rFonts w:ascii="Segoe UI" w:hAnsi="Segoe UI" w:cs="Segoe UI"/>
        </w:rPr>
        <w:t xml:space="preserve">the USPTO’s </w:t>
      </w:r>
      <w:r w:rsidRPr="293D3C50">
        <w:rPr>
          <w:rFonts w:ascii="Segoe UI" w:hAnsi="Segoe UI" w:cs="Segoe UI"/>
        </w:rPr>
        <w:t>fee setting policy factors.</w:t>
      </w:r>
      <w:r w:rsidR="138178D1" w:rsidRPr="293D3C50">
        <w:rPr>
          <w:rFonts w:ascii="Segoe UI" w:hAnsi="Segoe UI" w:cs="Segoe UI"/>
        </w:rPr>
        <w:t xml:space="preserve"> </w:t>
      </w:r>
      <w:r w:rsidR="6ABD343F" w:rsidRPr="293D3C50">
        <w:rPr>
          <w:rFonts w:ascii="Segoe UI" w:hAnsi="Segoe UI" w:cs="Segoe UI"/>
        </w:rPr>
        <w:t>Like the Baseline, Alternative 1 sets many fees either below or above cost</w:t>
      </w:r>
      <w:r w:rsidR="509F2171" w:rsidRPr="293D3C50">
        <w:rPr>
          <w:rFonts w:ascii="Segoe UI" w:hAnsi="Segoe UI" w:cs="Segoe UI"/>
        </w:rPr>
        <w:t>,</w:t>
      </w:r>
      <w:r w:rsidR="6ABD343F" w:rsidRPr="293D3C50">
        <w:rPr>
          <w:rFonts w:ascii="Segoe UI" w:hAnsi="Segoe UI" w:cs="Segoe UI"/>
        </w:rPr>
        <w:t xml:space="preserve"> consistent with the key policy factors of </w:t>
      </w:r>
      <w:r w:rsidR="41E9D9A6" w:rsidRPr="293D3C50">
        <w:rPr>
          <w:rFonts w:ascii="Segoe UI" w:hAnsi="Segoe UI" w:cs="Segoe UI"/>
        </w:rPr>
        <w:t>promoting innovation strategies, aligning fees with the full cost of products and services, facilitating effective administration of the patent system, and offering patent processing options to applicants</w:t>
      </w:r>
      <w:r w:rsidR="2CCFB964" w:rsidRPr="293D3C50">
        <w:rPr>
          <w:rFonts w:ascii="Segoe UI" w:hAnsi="Segoe UI" w:cs="Segoe UI"/>
          <w:color w:val="000000" w:themeColor="text1"/>
        </w:rPr>
        <w:t xml:space="preserve"> (see Table 4-3)</w:t>
      </w:r>
      <w:r w:rsidR="6ABD343F" w:rsidRPr="293D3C50">
        <w:rPr>
          <w:rFonts w:ascii="Segoe UI" w:hAnsi="Segoe UI" w:cs="Segoe UI"/>
          <w:color w:val="000000" w:themeColor="text1"/>
        </w:rPr>
        <w:t>.</w:t>
      </w:r>
      <w:r w:rsidR="138178D1" w:rsidRPr="293D3C50">
        <w:rPr>
          <w:rFonts w:ascii="Segoe UI" w:hAnsi="Segoe UI" w:cs="Segoe UI"/>
          <w:color w:val="000000" w:themeColor="text1"/>
        </w:rPr>
        <w:t xml:space="preserve"> </w:t>
      </w:r>
      <w:r w:rsidR="6ABD343F" w:rsidRPr="293D3C50">
        <w:rPr>
          <w:rFonts w:ascii="Segoe UI" w:hAnsi="Segoe UI" w:cs="Segoe UI"/>
          <w:color w:val="000000" w:themeColor="text1"/>
        </w:rPr>
        <w:t xml:space="preserve">The </w:t>
      </w:r>
      <w:r w:rsidR="000F20DC">
        <w:rPr>
          <w:rFonts w:ascii="Segoe UI" w:hAnsi="Segoe UI" w:cs="Segoe UI"/>
          <w:color w:val="000000" w:themeColor="text1"/>
        </w:rPr>
        <w:t>Final</w:t>
      </w:r>
      <w:r w:rsidR="6B95B53A" w:rsidRPr="293D3C50">
        <w:rPr>
          <w:rFonts w:ascii="Segoe UI" w:hAnsi="Segoe UI" w:cs="Segoe UI"/>
          <w:color w:val="000000" w:themeColor="text1"/>
        </w:rPr>
        <w:t xml:space="preserve"> </w:t>
      </w:r>
      <w:r w:rsidR="3E1ECF6E" w:rsidRPr="293D3C50">
        <w:rPr>
          <w:rFonts w:ascii="Segoe UI" w:hAnsi="Segoe UI" w:cs="Segoe UI"/>
          <w:color w:val="000000" w:themeColor="text1"/>
        </w:rPr>
        <w:t xml:space="preserve">Patent </w:t>
      </w:r>
      <w:r w:rsidR="6B95B53A" w:rsidRPr="293D3C50">
        <w:rPr>
          <w:rFonts w:ascii="Segoe UI" w:hAnsi="Segoe UI" w:cs="Segoe UI"/>
          <w:color w:val="000000" w:themeColor="text1"/>
        </w:rPr>
        <w:t>Fee Schedule</w:t>
      </w:r>
      <w:r w:rsidR="6ABD343F" w:rsidRPr="293D3C50">
        <w:rPr>
          <w:rFonts w:ascii="Segoe UI" w:hAnsi="Segoe UI" w:cs="Segoe UI"/>
          <w:color w:val="000000" w:themeColor="text1"/>
        </w:rPr>
        <w:t xml:space="preserve"> also maintains the front-end/back-end balance that </w:t>
      </w:r>
      <w:r w:rsidR="7FC27CC8" w:rsidRPr="293D3C50">
        <w:rPr>
          <w:rFonts w:ascii="Segoe UI" w:hAnsi="Segoe UI" w:cs="Segoe UI"/>
          <w:color w:val="000000" w:themeColor="text1"/>
        </w:rPr>
        <w:t xml:space="preserve">is the </w:t>
      </w:r>
      <w:r w:rsidR="71E03D5F" w:rsidRPr="293D3C50">
        <w:rPr>
          <w:rFonts w:ascii="Segoe UI" w:hAnsi="Segoe UI" w:cs="Segoe UI"/>
          <w:color w:val="000000" w:themeColor="text1"/>
        </w:rPr>
        <w:t xml:space="preserve">enduring </w:t>
      </w:r>
      <w:r w:rsidR="6ABD343F" w:rsidRPr="293D3C50">
        <w:rPr>
          <w:rFonts w:ascii="Segoe UI" w:hAnsi="Segoe UI" w:cs="Segoe UI"/>
          <w:color w:val="000000" w:themeColor="text1"/>
        </w:rPr>
        <w:t xml:space="preserve">cornerstone of </w:t>
      </w:r>
      <w:r w:rsidR="5C4EDA18" w:rsidRPr="293D3C50">
        <w:rPr>
          <w:rFonts w:ascii="Segoe UI" w:hAnsi="Segoe UI" w:cs="Segoe UI"/>
          <w:color w:val="000000" w:themeColor="text1"/>
        </w:rPr>
        <w:t xml:space="preserve">the </w:t>
      </w:r>
      <w:r w:rsidR="71E03D5F" w:rsidRPr="293D3C50">
        <w:rPr>
          <w:rFonts w:ascii="Segoe UI" w:hAnsi="Segoe UI" w:cs="Segoe UI"/>
          <w:color w:val="000000" w:themeColor="text1"/>
        </w:rPr>
        <w:t xml:space="preserve">agency’s </w:t>
      </w:r>
      <w:r w:rsidR="6ABD343F" w:rsidRPr="293D3C50">
        <w:rPr>
          <w:rFonts w:ascii="Segoe UI" w:hAnsi="Segoe UI" w:cs="Segoe UI"/>
          <w:color w:val="000000" w:themeColor="text1"/>
        </w:rPr>
        <w:t xml:space="preserve">patent fee </w:t>
      </w:r>
      <w:r w:rsidR="5C4EDA18" w:rsidRPr="293D3C50">
        <w:rPr>
          <w:rFonts w:ascii="Segoe UI" w:hAnsi="Segoe UI" w:cs="Segoe UI"/>
          <w:color w:val="000000" w:themeColor="text1"/>
        </w:rPr>
        <w:t xml:space="preserve">schedule </w:t>
      </w:r>
      <w:r w:rsidR="6ABD343F" w:rsidRPr="293D3C50">
        <w:rPr>
          <w:rFonts w:ascii="Segoe UI" w:hAnsi="Segoe UI" w:cs="Segoe UI"/>
          <w:color w:val="000000" w:themeColor="text1"/>
        </w:rPr>
        <w:t>design.</w:t>
      </w:r>
    </w:p>
    <w:p w14:paraId="7F7D58C4" w14:textId="77777777" w:rsidR="006E501B" w:rsidRPr="00CF6436" w:rsidRDefault="006E501B" w:rsidP="00CF6436">
      <w:pPr>
        <w:spacing w:line="360" w:lineRule="auto"/>
        <w:rPr>
          <w:rFonts w:ascii="Segoe UI" w:hAnsi="Segoe UI" w:cs="Segoe UI"/>
          <w:b/>
          <w:sz w:val="22"/>
        </w:rPr>
      </w:pPr>
    </w:p>
    <w:p w14:paraId="22780895" w14:textId="163075A3" w:rsidR="00CC447F" w:rsidRDefault="013CC37E" w:rsidP="17CECF10">
      <w:pPr>
        <w:pStyle w:val="BottomofTableSpacing"/>
        <w:keepNext/>
        <w:tabs>
          <w:tab w:val="center" w:pos="4457"/>
          <w:tab w:val="left" w:pos="5820"/>
        </w:tabs>
        <w:spacing w:line="360" w:lineRule="auto"/>
        <w:jc w:val="center"/>
        <w:rPr>
          <w:rFonts w:ascii="Segoe UI" w:hAnsi="Segoe UI" w:cs="Segoe UI"/>
          <w:b/>
          <w:bCs/>
          <w:szCs w:val="24"/>
        </w:rPr>
      </w:pPr>
      <w:r w:rsidRPr="17CECF10">
        <w:rPr>
          <w:rFonts w:ascii="Segoe UI" w:hAnsi="Segoe UI" w:cs="Segoe UI"/>
          <w:b/>
          <w:bCs/>
          <w:szCs w:val="24"/>
        </w:rPr>
        <w:t>Table 4-</w:t>
      </w:r>
      <w:r w:rsidR="0351A825" w:rsidRPr="17CECF10">
        <w:rPr>
          <w:rFonts w:ascii="Segoe UI" w:hAnsi="Segoe UI" w:cs="Segoe UI"/>
          <w:b/>
          <w:bCs/>
          <w:szCs w:val="24"/>
        </w:rPr>
        <w:t>3</w:t>
      </w:r>
    </w:p>
    <w:tbl>
      <w:tblPr>
        <w:tblW w:w="7345" w:type="dxa"/>
        <w:jc w:val="center"/>
        <w:tblLook w:val="04A0" w:firstRow="1" w:lastRow="0" w:firstColumn="1" w:lastColumn="0" w:noHBand="0" w:noVBand="1"/>
      </w:tblPr>
      <w:tblGrid>
        <w:gridCol w:w="2605"/>
        <w:gridCol w:w="2120"/>
        <w:gridCol w:w="2620"/>
      </w:tblGrid>
      <w:tr w:rsidR="007F7D60" w:rsidRPr="007F7D60" w14:paraId="1397A848" w14:textId="77777777" w:rsidTr="17CECF10">
        <w:trPr>
          <w:trHeight w:val="312"/>
          <w:tblHeader/>
          <w:jc w:val="center"/>
        </w:trPr>
        <w:tc>
          <w:tcPr>
            <w:tcW w:w="7345"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0E3A5A" w14:textId="05B045C2" w:rsidR="007F7D60" w:rsidRPr="00777046" w:rsidRDefault="007F7D60" w:rsidP="17CECF10">
            <w:pPr>
              <w:spacing w:line="240" w:lineRule="auto"/>
              <w:jc w:val="center"/>
              <w:rPr>
                <w:rFonts w:ascii="Segoe UI" w:eastAsia="Times New Roman" w:hAnsi="Segoe UI" w:cs="Segoe UI"/>
                <w:b/>
                <w:bCs/>
                <w:color w:val="000000" w:themeColor="text1"/>
                <w:sz w:val="22"/>
              </w:rPr>
            </w:pPr>
          </w:p>
          <w:p w14:paraId="425B6921" w14:textId="77777777" w:rsidR="408493B9" w:rsidRDefault="408493B9" w:rsidP="17CECF10">
            <w:pPr>
              <w:spacing w:line="240" w:lineRule="auto"/>
              <w:jc w:val="center"/>
              <w:rPr>
                <w:rFonts w:ascii="Segoe UI" w:eastAsia="Times New Roman" w:hAnsi="Segoe UI" w:cs="Segoe UI"/>
                <w:b/>
                <w:bCs/>
                <w:color w:val="000000" w:themeColor="text1"/>
                <w:szCs w:val="24"/>
              </w:rPr>
            </w:pPr>
            <w:r w:rsidRPr="17CECF10">
              <w:rPr>
                <w:rFonts w:ascii="Segoe UI" w:eastAsia="Times New Roman" w:hAnsi="Segoe UI" w:cs="Segoe UI"/>
                <w:b/>
                <w:bCs/>
                <w:color w:val="000000" w:themeColor="text1"/>
                <w:sz w:val="22"/>
              </w:rPr>
              <w:t>Patent Fee Rates</w:t>
            </w:r>
          </w:p>
        </w:tc>
      </w:tr>
      <w:tr w:rsidR="007F7D60" w:rsidRPr="007F7D60" w14:paraId="0B0C79A6" w14:textId="77777777" w:rsidTr="17CECF10">
        <w:trPr>
          <w:trHeight w:val="312"/>
          <w:tblHeader/>
          <w:jc w:val="center"/>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14:paraId="3C1F9811" w14:textId="401315E9" w:rsidR="007F7D60" w:rsidRPr="00777046" w:rsidRDefault="007F7D60" w:rsidP="17CECF10">
            <w:pPr>
              <w:spacing w:line="240" w:lineRule="auto"/>
              <w:jc w:val="center"/>
              <w:rPr>
                <w:rFonts w:ascii="Segoe UI" w:eastAsia="Times New Roman" w:hAnsi="Segoe UI" w:cs="Segoe UI"/>
                <w:color w:val="000000" w:themeColor="text1"/>
                <w:sz w:val="22"/>
              </w:rPr>
            </w:pPr>
          </w:p>
        </w:tc>
        <w:tc>
          <w:tcPr>
            <w:tcW w:w="2120" w:type="dxa"/>
            <w:tcBorders>
              <w:top w:val="nil"/>
              <w:left w:val="nil"/>
              <w:bottom w:val="single" w:sz="4" w:space="0" w:color="auto"/>
              <w:right w:val="single" w:sz="4" w:space="0" w:color="auto"/>
            </w:tcBorders>
            <w:shd w:val="clear" w:color="auto" w:fill="auto"/>
            <w:vAlign w:val="center"/>
            <w:hideMark/>
          </w:tcPr>
          <w:p w14:paraId="231989B6" w14:textId="5DB718DA" w:rsidR="007F7D60" w:rsidRPr="007F7D60" w:rsidRDefault="63E05CD1" w:rsidP="17CECF10">
            <w:pPr>
              <w:spacing w:line="240" w:lineRule="auto"/>
              <w:jc w:val="center"/>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 xml:space="preserve">Baseline </w:t>
            </w:r>
            <w:r w:rsidR="7055145B" w:rsidRPr="17CECF10">
              <w:rPr>
                <w:rFonts w:ascii="Segoe UI" w:eastAsia="Times New Roman" w:hAnsi="Segoe UI" w:cs="Segoe UI"/>
                <w:b/>
                <w:bCs/>
                <w:color w:val="000000" w:themeColor="text1"/>
                <w:sz w:val="22"/>
              </w:rPr>
              <w:t>f</w:t>
            </w:r>
            <w:r w:rsidRPr="17CECF10">
              <w:rPr>
                <w:rFonts w:ascii="Segoe UI" w:eastAsia="Times New Roman" w:hAnsi="Segoe UI" w:cs="Segoe UI"/>
                <w:b/>
                <w:bCs/>
                <w:color w:val="000000" w:themeColor="text1"/>
                <w:sz w:val="22"/>
              </w:rPr>
              <w:t xml:space="preserve">ee </w:t>
            </w:r>
            <w:r w:rsidR="60142FC0" w:rsidRPr="17CECF10">
              <w:rPr>
                <w:rFonts w:ascii="Segoe UI" w:eastAsia="Times New Roman" w:hAnsi="Segoe UI" w:cs="Segoe UI"/>
                <w:b/>
                <w:bCs/>
                <w:color w:val="000000" w:themeColor="text1"/>
                <w:sz w:val="22"/>
              </w:rPr>
              <w:t>r</w:t>
            </w:r>
            <w:r w:rsidRPr="17CECF10">
              <w:rPr>
                <w:rFonts w:ascii="Segoe UI" w:eastAsia="Times New Roman" w:hAnsi="Segoe UI" w:cs="Segoe UI"/>
                <w:b/>
                <w:bCs/>
                <w:color w:val="000000" w:themeColor="text1"/>
                <w:sz w:val="22"/>
              </w:rPr>
              <w:t>ate</w:t>
            </w:r>
          </w:p>
        </w:tc>
        <w:tc>
          <w:tcPr>
            <w:tcW w:w="2620" w:type="dxa"/>
            <w:tcBorders>
              <w:top w:val="nil"/>
              <w:left w:val="nil"/>
              <w:bottom w:val="single" w:sz="4" w:space="0" w:color="auto"/>
              <w:right w:val="single" w:sz="4" w:space="0" w:color="auto"/>
            </w:tcBorders>
            <w:shd w:val="clear" w:color="auto" w:fill="auto"/>
            <w:vAlign w:val="center"/>
            <w:hideMark/>
          </w:tcPr>
          <w:p w14:paraId="25C4D42D" w14:textId="49B6D8CD" w:rsidR="007F7D60" w:rsidRPr="007F7D60" w:rsidRDefault="63E05CD1" w:rsidP="17CECF10">
            <w:pPr>
              <w:spacing w:line="240" w:lineRule="auto"/>
              <w:jc w:val="center"/>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 xml:space="preserve">Alternative 1 </w:t>
            </w:r>
            <w:r w:rsidR="29D2BEF5" w:rsidRPr="17CECF10">
              <w:rPr>
                <w:rFonts w:ascii="Segoe UI" w:eastAsia="Times New Roman" w:hAnsi="Segoe UI" w:cs="Segoe UI"/>
                <w:b/>
                <w:bCs/>
                <w:color w:val="000000" w:themeColor="text1"/>
                <w:sz w:val="22"/>
              </w:rPr>
              <w:t>f</w:t>
            </w:r>
            <w:r w:rsidRPr="17CECF10">
              <w:rPr>
                <w:rFonts w:ascii="Segoe UI" w:eastAsia="Times New Roman" w:hAnsi="Segoe UI" w:cs="Segoe UI"/>
                <w:b/>
                <w:bCs/>
                <w:color w:val="000000" w:themeColor="text1"/>
                <w:sz w:val="22"/>
              </w:rPr>
              <w:t xml:space="preserve">ee </w:t>
            </w:r>
            <w:r w:rsidR="4FCD7C14" w:rsidRPr="17CECF10">
              <w:rPr>
                <w:rFonts w:ascii="Segoe UI" w:eastAsia="Times New Roman" w:hAnsi="Segoe UI" w:cs="Segoe UI"/>
                <w:b/>
                <w:bCs/>
                <w:color w:val="000000" w:themeColor="text1"/>
                <w:sz w:val="22"/>
              </w:rPr>
              <w:t>r</w:t>
            </w:r>
            <w:r w:rsidRPr="17CECF10">
              <w:rPr>
                <w:rFonts w:ascii="Segoe UI" w:eastAsia="Times New Roman" w:hAnsi="Segoe UI" w:cs="Segoe UI"/>
                <w:b/>
                <w:bCs/>
                <w:color w:val="000000" w:themeColor="text1"/>
                <w:sz w:val="22"/>
              </w:rPr>
              <w:t>ate</w:t>
            </w:r>
          </w:p>
        </w:tc>
      </w:tr>
      <w:tr w:rsidR="007F7D60" w:rsidRPr="007F7D60" w14:paraId="66D34CC7" w14:textId="77777777" w:rsidTr="17CECF10">
        <w:trPr>
          <w:trHeight w:val="324"/>
          <w:jc w:val="center"/>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14:paraId="78A38ABA" w14:textId="77777777" w:rsidR="007F7D60" w:rsidRPr="007F7D60" w:rsidRDefault="408493B9" w:rsidP="17CECF10">
            <w:pPr>
              <w:spacing w:line="240" w:lineRule="auto"/>
              <w:rPr>
                <w:rFonts w:ascii="Segoe UI" w:eastAsia="Times New Roman" w:hAnsi="Segoe UI" w:cs="Segoe UI"/>
                <w:color w:val="000000"/>
                <w:szCs w:val="24"/>
              </w:rPr>
            </w:pPr>
            <w:r w:rsidRPr="17CECF10">
              <w:rPr>
                <w:rFonts w:ascii="Segoe UI" w:eastAsia="Times New Roman" w:hAnsi="Segoe UI" w:cs="Segoe UI"/>
                <w:color w:val="000000" w:themeColor="text1"/>
                <w:sz w:val="22"/>
              </w:rPr>
              <w:t>Filing</w:t>
            </w:r>
          </w:p>
        </w:tc>
        <w:tc>
          <w:tcPr>
            <w:tcW w:w="2120" w:type="dxa"/>
            <w:tcBorders>
              <w:top w:val="nil"/>
              <w:left w:val="nil"/>
              <w:bottom w:val="single" w:sz="8" w:space="0" w:color="auto"/>
              <w:right w:val="single" w:sz="8" w:space="0" w:color="auto"/>
            </w:tcBorders>
            <w:shd w:val="clear" w:color="auto" w:fill="auto"/>
            <w:noWrap/>
            <w:vAlign w:val="center"/>
            <w:hideMark/>
          </w:tcPr>
          <w:p w14:paraId="350DEEF7" w14:textId="039C10DB" w:rsidR="007F7D60" w:rsidRPr="007F7D60" w:rsidRDefault="408493B9" w:rsidP="17CECF10">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$320</w:t>
            </w:r>
          </w:p>
        </w:tc>
        <w:tc>
          <w:tcPr>
            <w:tcW w:w="2620" w:type="dxa"/>
            <w:tcBorders>
              <w:top w:val="nil"/>
              <w:left w:val="nil"/>
              <w:bottom w:val="single" w:sz="8" w:space="0" w:color="auto"/>
              <w:right w:val="single" w:sz="8" w:space="0" w:color="auto"/>
            </w:tcBorders>
            <w:shd w:val="clear" w:color="auto" w:fill="auto"/>
            <w:noWrap/>
            <w:hideMark/>
          </w:tcPr>
          <w:p w14:paraId="72955B0F" w14:textId="153F503E" w:rsidR="007F7D60" w:rsidRPr="000F20DC" w:rsidRDefault="408493B9" w:rsidP="17CECF10">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$350</w:t>
            </w:r>
          </w:p>
        </w:tc>
      </w:tr>
      <w:tr w:rsidR="007F7D60" w:rsidRPr="007F7D60" w14:paraId="48C04E38" w14:textId="77777777" w:rsidTr="17CECF10">
        <w:trPr>
          <w:trHeight w:val="324"/>
          <w:jc w:val="center"/>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14:paraId="533551B9" w14:textId="77777777" w:rsidR="007F7D60" w:rsidRPr="007F7D60" w:rsidRDefault="408493B9" w:rsidP="17CECF10">
            <w:pPr>
              <w:spacing w:line="240" w:lineRule="auto"/>
              <w:rPr>
                <w:rFonts w:ascii="Segoe UI" w:eastAsia="Times New Roman" w:hAnsi="Segoe UI" w:cs="Segoe UI"/>
                <w:color w:val="000000"/>
                <w:szCs w:val="24"/>
              </w:rPr>
            </w:pPr>
            <w:r w:rsidRPr="17CECF10">
              <w:rPr>
                <w:rFonts w:ascii="Segoe UI" w:eastAsia="Times New Roman" w:hAnsi="Segoe UI" w:cs="Segoe UI"/>
                <w:color w:val="000000" w:themeColor="text1"/>
                <w:sz w:val="22"/>
              </w:rPr>
              <w:t>Search</w:t>
            </w:r>
          </w:p>
        </w:tc>
        <w:tc>
          <w:tcPr>
            <w:tcW w:w="2120" w:type="dxa"/>
            <w:tcBorders>
              <w:top w:val="nil"/>
              <w:left w:val="nil"/>
              <w:bottom w:val="single" w:sz="8" w:space="0" w:color="auto"/>
              <w:right w:val="single" w:sz="8" w:space="0" w:color="auto"/>
            </w:tcBorders>
            <w:shd w:val="clear" w:color="auto" w:fill="auto"/>
            <w:noWrap/>
            <w:vAlign w:val="center"/>
            <w:hideMark/>
          </w:tcPr>
          <w:p w14:paraId="3F8D0178" w14:textId="38F61438" w:rsidR="007F7D60" w:rsidRPr="007F7D60" w:rsidRDefault="408493B9" w:rsidP="17CECF10">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$700</w:t>
            </w:r>
          </w:p>
        </w:tc>
        <w:tc>
          <w:tcPr>
            <w:tcW w:w="2620" w:type="dxa"/>
            <w:tcBorders>
              <w:top w:val="nil"/>
              <w:left w:val="nil"/>
              <w:bottom w:val="single" w:sz="8" w:space="0" w:color="auto"/>
              <w:right w:val="single" w:sz="8" w:space="0" w:color="auto"/>
            </w:tcBorders>
            <w:shd w:val="clear" w:color="auto" w:fill="auto"/>
            <w:noWrap/>
            <w:hideMark/>
          </w:tcPr>
          <w:p w14:paraId="1F7E3B94" w14:textId="53727CF0" w:rsidR="007F7D60" w:rsidRPr="000F20DC" w:rsidRDefault="408493B9" w:rsidP="17CECF10">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$770</w:t>
            </w:r>
          </w:p>
        </w:tc>
      </w:tr>
      <w:tr w:rsidR="007F7D60" w:rsidRPr="007F7D60" w14:paraId="29680C5B" w14:textId="77777777" w:rsidTr="17CECF10">
        <w:trPr>
          <w:trHeight w:val="324"/>
          <w:jc w:val="center"/>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14:paraId="14858FB1" w14:textId="77777777" w:rsidR="007F7D60" w:rsidRPr="007F7D60" w:rsidRDefault="408493B9" w:rsidP="17CECF10">
            <w:pPr>
              <w:spacing w:line="240" w:lineRule="auto"/>
              <w:rPr>
                <w:rFonts w:ascii="Segoe UI" w:eastAsia="Times New Roman" w:hAnsi="Segoe UI" w:cs="Segoe UI"/>
                <w:color w:val="000000"/>
                <w:szCs w:val="24"/>
              </w:rPr>
            </w:pPr>
            <w:r w:rsidRPr="17CECF10">
              <w:rPr>
                <w:rFonts w:ascii="Segoe UI" w:eastAsia="Times New Roman" w:hAnsi="Segoe UI" w:cs="Segoe UI"/>
                <w:color w:val="000000" w:themeColor="text1"/>
                <w:sz w:val="22"/>
              </w:rPr>
              <w:t>Examination</w:t>
            </w:r>
          </w:p>
        </w:tc>
        <w:tc>
          <w:tcPr>
            <w:tcW w:w="2120" w:type="dxa"/>
            <w:tcBorders>
              <w:top w:val="nil"/>
              <w:left w:val="nil"/>
              <w:bottom w:val="single" w:sz="8" w:space="0" w:color="auto"/>
              <w:right w:val="single" w:sz="8" w:space="0" w:color="auto"/>
            </w:tcBorders>
            <w:shd w:val="clear" w:color="auto" w:fill="auto"/>
            <w:noWrap/>
            <w:vAlign w:val="center"/>
            <w:hideMark/>
          </w:tcPr>
          <w:p w14:paraId="62E62881" w14:textId="6A2FDFCC" w:rsidR="007F7D60" w:rsidRPr="007F7D60" w:rsidRDefault="408493B9" w:rsidP="17CECF10">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$800</w:t>
            </w:r>
          </w:p>
        </w:tc>
        <w:tc>
          <w:tcPr>
            <w:tcW w:w="2620" w:type="dxa"/>
            <w:tcBorders>
              <w:top w:val="nil"/>
              <w:left w:val="nil"/>
              <w:bottom w:val="single" w:sz="8" w:space="0" w:color="auto"/>
              <w:right w:val="single" w:sz="8" w:space="0" w:color="auto"/>
            </w:tcBorders>
            <w:shd w:val="clear" w:color="auto" w:fill="auto"/>
            <w:noWrap/>
            <w:hideMark/>
          </w:tcPr>
          <w:p w14:paraId="32ACC756" w14:textId="49A9826E" w:rsidR="007F7D60" w:rsidRPr="000F20DC" w:rsidRDefault="408493B9" w:rsidP="17CECF10">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$880</w:t>
            </w:r>
          </w:p>
        </w:tc>
      </w:tr>
      <w:tr w:rsidR="007F7D60" w:rsidRPr="007F7D60" w14:paraId="48734EE0" w14:textId="77777777" w:rsidTr="17CECF10">
        <w:trPr>
          <w:trHeight w:val="324"/>
          <w:jc w:val="center"/>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14:paraId="17AEB7EF" w14:textId="1985E07D" w:rsidR="007F7D60" w:rsidRPr="007F7D60" w:rsidRDefault="7634755D" w:rsidP="17CECF10">
            <w:pPr>
              <w:spacing w:line="240" w:lineRule="auto"/>
              <w:rPr>
                <w:rFonts w:ascii="Segoe UI" w:eastAsia="Times New Roman" w:hAnsi="Segoe UI" w:cs="Segoe UI"/>
                <w:color w:val="000000"/>
                <w:szCs w:val="24"/>
              </w:rPr>
            </w:pPr>
            <w:r w:rsidRPr="17CECF10">
              <w:rPr>
                <w:rFonts w:ascii="Segoe UI" w:eastAsia="Times New Roman" w:hAnsi="Segoe UI" w:cs="Segoe UI"/>
                <w:color w:val="000000" w:themeColor="text1"/>
                <w:sz w:val="22"/>
              </w:rPr>
              <w:lastRenderedPageBreak/>
              <w:t xml:space="preserve">First </w:t>
            </w:r>
            <w:r w:rsidR="640DC665" w:rsidRPr="17CECF10">
              <w:rPr>
                <w:rFonts w:ascii="Segoe UI" w:eastAsia="Times New Roman" w:hAnsi="Segoe UI" w:cs="Segoe UI"/>
                <w:color w:val="000000" w:themeColor="text1"/>
                <w:sz w:val="22"/>
              </w:rPr>
              <w:t>r</w:t>
            </w:r>
            <w:r w:rsidR="6E133922" w:rsidRPr="17CECF10">
              <w:rPr>
                <w:rFonts w:ascii="Segoe UI" w:eastAsia="Times New Roman" w:hAnsi="Segoe UI" w:cs="Segoe UI"/>
                <w:color w:val="000000" w:themeColor="text1"/>
                <w:sz w:val="22"/>
              </w:rPr>
              <w:t xml:space="preserve">equest for </w:t>
            </w:r>
            <w:r w:rsidR="640DC665" w:rsidRPr="17CECF10">
              <w:rPr>
                <w:rFonts w:ascii="Segoe UI" w:eastAsia="Times New Roman" w:hAnsi="Segoe UI" w:cs="Segoe UI"/>
                <w:color w:val="000000" w:themeColor="text1"/>
                <w:sz w:val="22"/>
              </w:rPr>
              <w:t>c</w:t>
            </w:r>
            <w:r w:rsidR="6E133922" w:rsidRPr="17CECF10">
              <w:rPr>
                <w:rFonts w:ascii="Segoe UI" w:eastAsia="Times New Roman" w:hAnsi="Segoe UI" w:cs="Segoe UI"/>
                <w:color w:val="000000" w:themeColor="text1"/>
                <w:sz w:val="22"/>
              </w:rPr>
              <w:t xml:space="preserve">ontinued </w:t>
            </w:r>
            <w:r w:rsidR="640DC665" w:rsidRPr="17CECF10">
              <w:rPr>
                <w:rFonts w:ascii="Segoe UI" w:eastAsia="Times New Roman" w:hAnsi="Segoe UI" w:cs="Segoe UI"/>
                <w:color w:val="000000" w:themeColor="text1"/>
                <w:sz w:val="22"/>
              </w:rPr>
              <w:t>e</w:t>
            </w:r>
            <w:r w:rsidR="6E133922" w:rsidRPr="17CECF10">
              <w:rPr>
                <w:rFonts w:ascii="Segoe UI" w:eastAsia="Times New Roman" w:hAnsi="Segoe UI" w:cs="Segoe UI"/>
                <w:color w:val="000000" w:themeColor="text1"/>
                <w:sz w:val="22"/>
              </w:rPr>
              <w:t>xamination (RCE)</w:t>
            </w:r>
          </w:p>
        </w:tc>
        <w:tc>
          <w:tcPr>
            <w:tcW w:w="2120" w:type="dxa"/>
            <w:tcBorders>
              <w:top w:val="nil"/>
              <w:left w:val="nil"/>
              <w:bottom w:val="single" w:sz="8" w:space="0" w:color="auto"/>
              <w:right w:val="single" w:sz="8" w:space="0" w:color="auto"/>
            </w:tcBorders>
            <w:shd w:val="clear" w:color="auto" w:fill="auto"/>
            <w:noWrap/>
            <w:vAlign w:val="center"/>
            <w:hideMark/>
          </w:tcPr>
          <w:p w14:paraId="24D2FA22" w14:textId="06FD9054" w:rsidR="007F7D60" w:rsidRPr="007F7D60" w:rsidRDefault="7634755D" w:rsidP="17CECF10">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$1,360</w:t>
            </w:r>
          </w:p>
        </w:tc>
        <w:tc>
          <w:tcPr>
            <w:tcW w:w="2620" w:type="dxa"/>
            <w:tcBorders>
              <w:top w:val="nil"/>
              <w:left w:val="nil"/>
              <w:bottom w:val="single" w:sz="8" w:space="0" w:color="auto"/>
              <w:right w:val="single" w:sz="8" w:space="0" w:color="auto"/>
            </w:tcBorders>
            <w:shd w:val="clear" w:color="auto" w:fill="auto"/>
            <w:noWrap/>
            <w:vAlign w:val="center"/>
            <w:hideMark/>
          </w:tcPr>
          <w:p w14:paraId="4CD2A791" w14:textId="48969C3D" w:rsidR="007F7D60" w:rsidRPr="000F20DC" w:rsidRDefault="7634755D" w:rsidP="17CECF10">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$1,500</w:t>
            </w:r>
          </w:p>
        </w:tc>
      </w:tr>
      <w:tr w:rsidR="007F7D60" w:rsidRPr="007F7D60" w14:paraId="0645BC1D" w14:textId="77777777" w:rsidTr="00777046">
        <w:trPr>
          <w:trHeight w:val="324"/>
          <w:jc w:val="center"/>
        </w:trPr>
        <w:tc>
          <w:tcPr>
            <w:tcW w:w="260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AA5C21E" w14:textId="40521F47" w:rsidR="007F7D60" w:rsidRPr="007F7D60" w:rsidRDefault="70596DCB" w:rsidP="17CECF10">
            <w:pPr>
              <w:spacing w:line="240" w:lineRule="auto"/>
              <w:jc w:val="right"/>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 xml:space="preserve">Front-end </w:t>
            </w:r>
            <w:r w:rsidR="27429FB9" w:rsidRPr="17CECF10">
              <w:rPr>
                <w:rFonts w:ascii="Segoe UI" w:eastAsia="Times New Roman" w:hAnsi="Segoe UI" w:cs="Segoe UI"/>
                <w:b/>
                <w:bCs/>
                <w:color w:val="000000" w:themeColor="text1"/>
                <w:sz w:val="22"/>
              </w:rPr>
              <w:t>f</w:t>
            </w:r>
            <w:r w:rsidRPr="17CECF10">
              <w:rPr>
                <w:rFonts w:ascii="Segoe UI" w:eastAsia="Times New Roman" w:hAnsi="Segoe UI" w:cs="Segoe UI"/>
                <w:b/>
                <w:bCs/>
                <w:color w:val="000000" w:themeColor="text1"/>
                <w:sz w:val="22"/>
              </w:rPr>
              <w:t>ees</w:t>
            </w:r>
          </w:p>
        </w:tc>
        <w:tc>
          <w:tcPr>
            <w:tcW w:w="2120" w:type="dxa"/>
            <w:tcBorders>
              <w:top w:val="nil"/>
              <w:left w:val="nil"/>
              <w:bottom w:val="single" w:sz="8" w:space="0" w:color="auto"/>
              <w:right w:val="single" w:sz="8" w:space="0" w:color="auto"/>
            </w:tcBorders>
            <w:shd w:val="clear" w:color="auto" w:fill="F2F2F2" w:themeFill="background1" w:themeFillShade="F2"/>
            <w:noWrap/>
            <w:vAlign w:val="center"/>
            <w:hideMark/>
          </w:tcPr>
          <w:p w14:paraId="1414AB1A" w14:textId="54F4B311" w:rsidR="007F7D60" w:rsidRPr="007F7D60" w:rsidRDefault="408493B9" w:rsidP="17CECF10">
            <w:pPr>
              <w:spacing w:line="240" w:lineRule="auto"/>
              <w:jc w:val="right"/>
              <w:rPr>
                <w:rFonts w:ascii="Segoe UI" w:eastAsia="Times New Roman" w:hAnsi="Segoe UI" w:cs="Segoe UI"/>
                <w:b/>
                <w:bCs/>
                <w:color w:val="000000"/>
                <w:szCs w:val="24"/>
              </w:rPr>
            </w:pPr>
            <w:r w:rsidRPr="17CECF10">
              <w:rPr>
                <w:rFonts w:ascii="Segoe UI" w:hAnsi="Segoe UI" w:cs="Segoe UI"/>
                <w:b/>
                <w:bCs/>
                <w:color w:val="000000" w:themeColor="text1"/>
                <w:sz w:val="22"/>
              </w:rPr>
              <w:t>$3,180</w:t>
            </w:r>
          </w:p>
        </w:tc>
        <w:tc>
          <w:tcPr>
            <w:tcW w:w="2620" w:type="dxa"/>
            <w:tcBorders>
              <w:top w:val="nil"/>
              <w:left w:val="nil"/>
              <w:bottom w:val="single" w:sz="8" w:space="0" w:color="auto"/>
              <w:right w:val="single" w:sz="8" w:space="0" w:color="auto"/>
            </w:tcBorders>
            <w:shd w:val="clear" w:color="auto" w:fill="F2F2F2" w:themeFill="background1" w:themeFillShade="F2"/>
            <w:noWrap/>
            <w:hideMark/>
          </w:tcPr>
          <w:p w14:paraId="77F4D2BE" w14:textId="4A866406" w:rsidR="007F7D60" w:rsidRPr="000F20DC" w:rsidRDefault="408493B9" w:rsidP="17CECF10">
            <w:pPr>
              <w:spacing w:line="240" w:lineRule="auto"/>
              <w:jc w:val="right"/>
              <w:rPr>
                <w:rFonts w:ascii="Segoe UI" w:eastAsia="Times New Roman" w:hAnsi="Segoe UI" w:cs="Segoe UI"/>
                <w:b/>
                <w:bCs/>
                <w:color w:val="000000"/>
                <w:szCs w:val="24"/>
              </w:rPr>
            </w:pPr>
            <w:r w:rsidRPr="17CECF10">
              <w:rPr>
                <w:rFonts w:ascii="Segoe UI" w:hAnsi="Segoe UI" w:cs="Segoe UI"/>
                <w:b/>
                <w:bCs/>
                <w:color w:val="000000" w:themeColor="text1"/>
                <w:sz w:val="22"/>
              </w:rPr>
              <w:t>$3,500</w:t>
            </w:r>
          </w:p>
        </w:tc>
      </w:tr>
      <w:tr w:rsidR="0061637C" w:rsidRPr="007F7D60" w14:paraId="4F651AFF" w14:textId="77777777" w:rsidTr="00B64020">
        <w:trPr>
          <w:trHeight w:val="324"/>
          <w:jc w:val="center"/>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14:paraId="3C4E4607" w14:textId="77777777" w:rsidR="0061637C" w:rsidRPr="007F7D60" w:rsidRDefault="0061637C" w:rsidP="0061637C">
            <w:pPr>
              <w:spacing w:line="240" w:lineRule="auto"/>
              <w:rPr>
                <w:rFonts w:ascii="Segoe UI" w:eastAsia="Times New Roman" w:hAnsi="Segoe UI" w:cs="Segoe UI"/>
                <w:color w:val="000000"/>
                <w:szCs w:val="24"/>
              </w:rPr>
            </w:pPr>
            <w:r w:rsidRPr="17CECF10">
              <w:rPr>
                <w:rFonts w:ascii="Segoe UI" w:eastAsia="Times New Roman" w:hAnsi="Segoe UI" w:cs="Segoe UI"/>
                <w:color w:val="000000" w:themeColor="text1"/>
                <w:sz w:val="22"/>
              </w:rPr>
              <w:t>Issue</w:t>
            </w:r>
          </w:p>
        </w:tc>
        <w:tc>
          <w:tcPr>
            <w:tcW w:w="2120" w:type="dxa"/>
            <w:tcBorders>
              <w:top w:val="nil"/>
              <w:left w:val="nil"/>
              <w:bottom w:val="single" w:sz="8" w:space="0" w:color="auto"/>
              <w:right w:val="single" w:sz="8" w:space="0" w:color="auto"/>
            </w:tcBorders>
            <w:shd w:val="clear" w:color="auto" w:fill="auto"/>
            <w:noWrap/>
            <w:vAlign w:val="center"/>
            <w:hideMark/>
          </w:tcPr>
          <w:p w14:paraId="21E15BCD" w14:textId="20B813A5" w:rsidR="0061637C" w:rsidRPr="007F7D60" w:rsidRDefault="0061637C" w:rsidP="0061637C">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$1,200</w:t>
            </w:r>
          </w:p>
        </w:tc>
        <w:tc>
          <w:tcPr>
            <w:tcW w:w="2620" w:type="dxa"/>
            <w:tcBorders>
              <w:top w:val="nil"/>
              <w:left w:val="nil"/>
              <w:bottom w:val="single" w:sz="8" w:space="0" w:color="auto"/>
              <w:right w:val="single" w:sz="8" w:space="0" w:color="auto"/>
            </w:tcBorders>
            <w:shd w:val="clear" w:color="auto" w:fill="auto"/>
            <w:noWrap/>
            <w:vAlign w:val="center"/>
            <w:hideMark/>
          </w:tcPr>
          <w:p w14:paraId="5D8B9878" w14:textId="2890F20B" w:rsidR="0061637C" w:rsidRPr="00B64020" w:rsidRDefault="0061637C" w:rsidP="0061637C">
            <w:pPr>
              <w:spacing w:line="240" w:lineRule="auto"/>
              <w:jc w:val="right"/>
              <w:rPr>
                <w:rFonts w:ascii="Segoe UI" w:eastAsia="Times New Roman" w:hAnsi="Segoe UI" w:cs="Segoe UI"/>
                <w:color w:val="000000"/>
                <w:sz w:val="22"/>
              </w:rPr>
            </w:pPr>
            <w:r w:rsidRPr="00B64020">
              <w:rPr>
                <w:rFonts w:ascii="Segoe UI" w:hAnsi="Segoe UI" w:cs="Segoe UI"/>
                <w:sz w:val="22"/>
              </w:rPr>
              <w:t>$1,290</w:t>
            </w:r>
          </w:p>
        </w:tc>
      </w:tr>
      <w:tr w:rsidR="0061637C" w:rsidRPr="007F7D60" w14:paraId="1759F4ED" w14:textId="77777777" w:rsidTr="00B64020">
        <w:trPr>
          <w:trHeight w:val="324"/>
          <w:jc w:val="center"/>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14:paraId="74C97596" w14:textId="3DACB89B" w:rsidR="0061637C" w:rsidRPr="007F7D60" w:rsidRDefault="0061637C" w:rsidP="0061637C">
            <w:pPr>
              <w:spacing w:line="240" w:lineRule="auto"/>
              <w:rPr>
                <w:rFonts w:ascii="Segoe UI" w:eastAsia="Times New Roman" w:hAnsi="Segoe UI" w:cs="Segoe UI"/>
                <w:color w:val="000000"/>
                <w:szCs w:val="24"/>
              </w:rPr>
            </w:pPr>
            <w:r w:rsidRPr="17CECF10">
              <w:rPr>
                <w:rFonts w:ascii="Segoe UI" w:eastAsia="Times New Roman" w:hAnsi="Segoe UI" w:cs="Segoe UI"/>
                <w:color w:val="000000" w:themeColor="text1"/>
                <w:sz w:val="22"/>
              </w:rPr>
              <w:t>1st stage maintenance</w:t>
            </w:r>
          </w:p>
        </w:tc>
        <w:tc>
          <w:tcPr>
            <w:tcW w:w="2120" w:type="dxa"/>
            <w:tcBorders>
              <w:top w:val="nil"/>
              <w:left w:val="nil"/>
              <w:bottom w:val="single" w:sz="8" w:space="0" w:color="auto"/>
              <w:right w:val="single" w:sz="8" w:space="0" w:color="auto"/>
            </w:tcBorders>
            <w:shd w:val="clear" w:color="auto" w:fill="auto"/>
            <w:noWrap/>
            <w:vAlign w:val="center"/>
            <w:hideMark/>
          </w:tcPr>
          <w:p w14:paraId="6FB0EA3C" w14:textId="4E7EE459" w:rsidR="0061637C" w:rsidRPr="007F7D60" w:rsidRDefault="0061637C" w:rsidP="0061637C">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$2,000</w:t>
            </w:r>
          </w:p>
        </w:tc>
        <w:tc>
          <w:tcPr>
            <w:tcW w:w="2620" w:type="dxa"/>
            <w:tcBorders>
              <w:top w:val="nil"/>
              <w:left w:val="nil"/>
              <w:bottom w:val="single" w:sz="8" w:space="0" w:color="auto"/>
              <w:right w:val="single" w:sz="8" w:space="0" w:color="auto"/>
            </w:tcBorders>
            <w:shd w:val="clear" w:color="auto" w:fill="auto"/>
            <w:noWrap/>
            <w:vAlign w:val="center"/>
            <w:hideMark/>
          </w:tcPr>
          <w:p w14:paraId="7116EB9E" w14:textId="5BA24797" w:rsidR="0061637C" w:rsidRPr="00B64020" w:rsidRDefault="0061637C" w:rsidP="0061637C">
            <w:pPr>
              <w:spacing w:line="240" w:lineRule="auto"/>
              <w:jc w:val="right"/>
              <w:rPr>
                <w:rFonts w:ascii="Segoe UI" w:eastAsia="Times New Roman" w:hAnsi="Segoe UI" w:cs="Segoe UI"/>
                <w:color w:val="000000"/>
                <w:sz w:val="22"/>
              </w:rPr>
            </w:pPr>
            <w:r w:rsidRPr="00B64020">
              <w:rPr>
                <w:rFonts w:ascii="Segoe UI" w:hAnsi="Segoe UI" w:cs="Segoe UI"/>
                <w:sz w:val="22"/>
              </w:rPr>
              <w:t>$2,150</w:t>
            </w:r>
          </w:p>
        </w:tc>
      </w:tr>
      <w:tr w:rsidR="0061637C" w:rsidRPr="007F7D60" w14:paraId="10F2C5D8" w14:textId="77777777" w:rsidTr="00B64020">
        <w:trPr>
          <w:trHeight w:val="324"/>
          <w:jc w:val="center"/>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14:paraId="7115EA8E" w14:textId="0EA0DF88" w:rsidR="0061637C" w:rsidRPr="007F7D60" w:rsidRDefault="0061637C" w:rsidP="0061637C">
            <w:pPr>
              <w:spacing w:line="240" w:lineRule="auto"/>
              <w:rPr>
                <w:rFonts w:ascii="Segoe UI" w:eastAsia="Times New Roman" w:hAnsi="Segoe UI" w:cs="Segoe UI"/>
                <w:color w:val="000000"/>
                <w:szCs w:val="24"/>
              </w:rPr>
            </w:pPr>
            <w:r w:rsidRPr="17CECF10">
              <w:rPr>
                <w:rFonts w:ascii="Segoe UI" w:eastAsia="Times New Roman" w:hAnsi="Segoe UI" w:cs="Segoe UI"/>
                <w:color w:val="000000" w:themeColor="text1"/>
                <w:sz w:val="22"/>
              </w:rPr>
              <w:t>2nd stage maintenance</w:t>
            </w:r>
          </w:p>
        </w:tc>
        <w:tc>
          <w:tcPr>
            <w:tcW w:w="2120" w:type="dxa"/>
            <w:tcBorders>
              <w:top w:val="nil"/>
              <w:left w:val="nil"/>
              <w:bottom w:val="single" w:sz="8" w:space="0" w:color="auto"/>
              <w:right w:val="single" w:sz="8" w:space="0" w:color="auto"/>
            </w:tcBorders>
            <w:shd w:val="clear" w:color="auto" w:fill="auto"/>
            <w:noWrap/>
            <w:vAlign w:val="center"/>
            <w:hideMark/>
          </w:tcPr>
          <w:p w14:paraId="70D44E35" w14:textId="40A674EF" w:rsidR="0061637C" w:rsidRPr="007F7D60" w:rsidRDefault="0061637C" w:rsidP="0061637C">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$3,760</w:t>
            </w:r>
          </w:p>
        </w:tc>
        <w:tc>
          <w:tcPr>
            <w:tcW w:w="2620" w:type="dxa"/>
            <w:tcBorders>
              <w:top w:val="nil"/>
              <w:left w:val="nil"/>
              <w:bottom w:val="single" w:sz="8" w:space="0" w:color="auto"/>
              <w:right w:val="single" w:sz="8" w:space="0" w:color="auto"/>
            </w:tcBorders>
            <w:shd w:val="clear" w:color="auto" w:fill="auto"/>
            <w:noWrap/>
            <w:vAlign w:val="center"/>
            <w:hideMark/>
          </w:tcPr>
          <w:p w14:paraId="1BC93494" w14:textId="7BA16383" w:rsidR="0061637C" w:rsidRPr="00B64020" w:rsidRDefault="0061637C" w:rsidP="0061637C">
            <w:pPr>
              <w:spacing w:line="240" w:lineRule="auto"/>
              <w:jc w:val="right"/>
              <w:rPr>
                <w:rFonts w:ascii="Segoe UI" w:eastAsia="Times New Roman" w:hAnsi="Segoe UI" w:cs="Segoe UI"/>
                <w:color w:val="000000"/>
                <w:sz w:val="22"/>
              </w:rPr>
            </w:pPr>
            <w:r w:rsidRPr="00B64020">
              <w:rPr>
                <w:rFonts w:ascii="Segoe UI" w:hAnsi="Segoe UI" w:cs="Segoe UI"/>
                <w:sz w:val="22"/>
              </w:rPr>
              <w:t>$4,040</w:t>
            </w:r>
          </w:p>
        </w:tc>
      </w:tr>
      <w:tr w:rsidR="0061637C" w:rsidRPr="007F7D60" w14:paraId="6FAA0344" w14:textId="77777777" w:rsidTr="00B64020">
        <w:trPr>
          <w:trHeight w:val="324"/>
          <w:jc w:val="center"/>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14:paraId="4C9CAC29" w14:textId="4D926817" w:rsidR="0061637C" w:rsidRPr="007F7D60" w:rsidRDefault="0061637C" w:rsidP="0061637C">
            <w:pPr>
              <w:spacing w:line="240" w:lineRule="auto"/>
              <w:rPr>
                <w:rFonts w:ascii="Segoe UI" w:eastAsia="Times New Roman" w:hAnsi="Segoe UI" w:cs="Segoe UI"/>
                <w:color w:val="000000"/>
                <w:szCs w:val="24"/>
              </w:rPr>
            </w:pPr>
            <w:r w:rsidRPr="17CECF10">
              <w:rPr>
                <w:rFonts w:ascii="Segoe UI" w:eastAsia="Times New Roman" w:hAnsi="Segoe UI" w:cs="Segoe UI"/>
                <w:color w:val="000000" w:themeColor="text1"/>
                <w:sz w:val="22"/>
              </w:rPr>
              <w:t>3rd stage maintenance</w:t>
            </w:r>
          </w:p>
        </w:tc>
        <w:tc>
          <w:tcPr>
            <w:tcW w:w="2120" w:type="dxa"/>
            <w:tcBorders>
              <w:top w:val="nil"/>
              <w:left w:val="nil"/>
              <w:bottom w:val="single" w:sz="8" w:space="0" w:color="auto"/>
              <w:right w:val="single" w:sz="8" w:space="0" w:color="auto"/>
            </w:tcBorders>
            <w:shd w:val="clear" w:color="auto" w:fill="auto"/>
            <w:noWrap/>
            <w:vAlign w:val="center"/>
            <w:hideMark/>
          </w:tcPr>
          <w:p w14:paraId="31857FAE" w14:textId="69480BB3" w:rsidR="0061637C" w:rsidRPr="007F7D60" w:rsidRDefault="0061637C" w:rsidP="0061637C">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$7,700</w:t>
            </w:r>
          </w:p>
        </w:tc>
        <w:tc>
          <w:tcPr>
            <w:tcW w:w="2620" w:type="dxa"/>
            <w:tcBorders>
              <w:top w:val="nil"/>
              <w:left w:val="nil"/>
              <w:bottom w:val="single" w:sz="8" w:space="0" w:color="auto"/>
              <w:right w:val="single" w:sz="8" w:space="0" w:color="auto"/>
            </w:tcBorders>
            <w:shd w:val="clear" w:color="auto" w:fill="auto"/>
            <w:noWrap/>
            <w:vAlign w:val="center"/>
            <w:hideMark/>
          </w:tcPr>
          <w:p w14:paraId="6980076E" w14:textId="79739BDC" w:rsidR="0061637C" w:rsidRPr="00B64020" w:rsidRDefault="0061637C" w:rsidP="0061637C">
            <w:pPr>
              <w:spacing w:line="240" w:lineRule="auto"/>
              <w:jc w:val="right"/>
              <w:rPr>
                <w:rFonts w:ascii="Segoe UI" w:eastAsia="Times New Roman" w:hAnsi="Segoe UI" w:cs="Segoe UI"/>
                <w:color w:val="000000"/>
                <w:sz w:val="22"/>
              </w:rPr>
            </w:pPr>
            <w:r w:rsidRPr="00B64020">
              <w:rPr>
                <w:rFonts w:ascii="Segoe UI" w:hAnsi="Segoe UI" w:cs="Segoe UI"/>
                <w:sz w:val="22"/>
              </w:rPr>
              <w:t>$8,280</w:t>
            </w:r>
          </w:p>
        </w:tc>
      </w:tr>
      <w:tr w:rsidR="0061637C" w:rsidRPr="007F7D60" w14:paraId="21272295" w14:textId="77777777" w:rsidTr="00B64020">
        <w:trPr>
          <w:trHeight w:val="324"/>
          <w:jc w:val="center"/>
        </w:trPr>
        <w:tc>
          <w:tcPr>
            <w:tcW w:w="260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84C2EA7" w14:textId="786F3BCB" w:rsidR="0061637C" w:rsidRPr="007F7D60" w:rsidRDefault="0061637C" w:rsidP="0061637C">
            <w:pPr>
              <w:spacing w:line="240" w:lineRule="auto"/>
              <w:jc w:val="right"/>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Back-end fees</w:t>
            </w:r>
          </w:p>
        </w:tc>
        <w:tc>
          <w:tcPr>
            <w:tcW w:w="2120" w:type="dxa"/>
            <w:tcBorders>
              <w:top w:val="nil"/>
              <w:left w:val="nil"/>
              <w:bottom w:val="single" w:sz="8" w:space="0" w:color="auto"/>
              <w:right w:val="single" w:sz="8" w:space="0" w:color="auto"/>
            </w:tcBorders>
            <w:shd w:val="clear" w:color="auto" w:fill="F2F2F2" w:themeFill="background1" w:themeFillShade="F2"/>
            <w:noWrap/>
            <w:vAlign w:val="center"/>
            <w:hideMark/>
          </w:tcPr>
          <w:p w14:paraId="4DA6ACAF" w14:textId="7038B6FC" w:rsidR="0061637C" w:rsidRPr="007F7D60" w:rsidRDefault="0061637C" w:rsidP="0061637C">
            <w:pPr>
              <w:spacing w:line="240" w:lineRule="auto"/>
              <w:jc w:val="right"/>
              <w:rPr>
                <w:rFonts w:ascii="Segoe UI" w:eastAsia="Times New Roman" w:hAnsi="Segoe UI" w:cs="Segoe UI"/>
                <w:b/>
                <w:bCs/>
                <w:color w:val="000000"/>
                <w:szCs w:val="24"/>
              </w:rPr>
            </w:pPr>
            <w:r w:rsidRPr="17CECF10">
              <w:rPr>
                <w:rFonts w:ascii="Segoe UI" w:hAnsi="Segoe UI" w:cs="Segoe UI"/>
                <w:b/>
                <w:bCs/>
                <w:color w:val="000000" w:themeColor="text1"/>
                <w:sz w:val="22"/>
              </w:rPr>
              <w:t>$14,660</w:t>
            </w:r>
          </w:p>
        </w:tc>
        <w:tc>
          <w:tcPr>
            <w:tcW w:w="2620" w:type="dxa"/>
            <w:tcBorders>
              <w:top w:val="nil"/>
              <w:left w:val="nil"/>
              <w:bottom w:val="single" w:sz="8" w:space="0" w:color="auto"/>
              <w:right w:val="single" w:sz="8" w:space="0" w:color="auto"/>
            </w:tcBorders>
            <w:shd w:val="clear" w:color="auto" w:fill="F2F2F2" w:themeFill="background1" w:themeFillShade="F2"/>
            <w:noWrap/>
            <w:vAlign w:val="center"/>
            <w:hideMark/>
          </w:tcPr>
          <w:p w14:paraId="0E3BA49F" w14:textId="632F501D" w:rsidR="0061637C" w:rsidRPr="00B64020" w:rsidRDefault="0061637C" w:rsidP="0061637C">
            <w:pPr>
              <w:spacing w:line="240" w:lineRule="auto"/>
              <w:jc w:val="right"/>
              <w:rPr>
                <w:rFonts w:ascii="Segoe UI" w:eastAsia="Times New Roman" w:hAnsi="Segoe UI" w:cs="Segoe UI"/>
                <w:b/>
                <w:bCs/>
                <w:color w:val="000000"/>
                <w:sz w:val="22"/>
              </w:rPr>
            </w:pPr>
            <w:r w:rsidRPr="00B64020">
              <w:rPr>
                <w:rFonts w:ascii="Segoe UI" w:hAnsi="Segoe UI" w:cs="Segoe UI"/>
                <w:b/>
                <w:bCs/>
                <w:sz w:val="22"/>
              </w:rPr>
              <w:t>$15,760</w:t>
            </w:r>
          </w:p>
        </w:tc>
      </w:tr>
      <w:tr w:rsidR="0061637C" w:rsidRPr="007F7D60" w14:paraId="34EC689B" w14:textId="77777777" w:rsidTr="00B64020">
        <w:trPr>
          <w:trHeight w:val="324"/>
          <w:jc w:val="center"/>
        </w:trPr>
        <w:tc>
          <w:tcPr>
            <w:tcW w:w="260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5667828" w14:textId="0797639F" w:rsidR="0061637C" w:rsidRPr="007F7D60" w:rsidRDefault="0061637C" w:rsidP="0061637C">
            <w:pPr>
              <w:spacing w:line="240" w:lineRule="auto"/>
              <w:jc w:val="right"/>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Total fees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71C820D" w14:textId="45E808BF" w:rsidR="0061637C" w:rsidRPr="007F7D60" w:rsidRDefault="0061637C" w:rsidP="0061637C">
            <w:pPr>
              <w:spacing w:line="240" w:lineRule="auto"/>
              <w:jc w:val="right"/>
              <w:rPr>
                <w:rFonts w:ascii="Segoe UI" w:eastAsia="Times New Roman" w:hAnsi="Segoe UI" w:cs="Segoe UI"/>
                <w:b/>
                <w:bCs/>
                <w:color w:val="000000"/>
                <w:szCs w:val="24"/>
              </w:rPr>
            </w:pPr>
            <w:r w:rsidRPr="17CECF10">
              <w:rPr>
                <w:rFonts w:ascii="Segoe UI" w:hAnsi="Segoe UI" w:cs="Segoe UI"/>
                <w:b/>
                <w:bCs/>
                <w:color w:val="000000" w:themeColor="text1"/>
                <w:sz w:val="22"/>
              </w:rPr>
              <w:t>$17,840</w:t>
            </w:r>
          </w:p>
        </w:tc>
        <w:tc>
          <w:tcPr>
            <w:tcW w:w="26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BB61FBD" w14:textId="292158DB" w:rsidR="0061637C" w:rsidRPr="00B64020" w:rsidRDefault="0061637C" w:rsidP="0061637C">
            <w:pPr>
              <w:spacing w:line="240" w:lineRule="auto"/>
              <w:jc w:val="right"/>
              <w:rPr>
                <w:rFonts w:ascii="Segoe UI" w:eastAsia="Times New Roman" w:hAnsi="Segoe UI" w:cs="Segoe UI"/>
                <w:b/>
                <w:bCs/>
                <w:color w:val="000000"/>
                <w:sz w:val="22"/>
              </w:rPr>
            </w:pPr>
            <w:r w:rsidRPr="00B64020">
              <w:rPr>
                <w:rFonts w:ascii="Segoe UI" w:hAnsi="Segoe UI" w:cs="Segoe UI"/>
                <w:b/>
                <w:bCs/>
                <w:sz w:val="22"/>
              </w:rPr>
              <w:t>$19,260</w:t>
            </w:r>
          </w:p>
        </w:tc>
      </w:tr>
    </w:tbl>
    <w:p w14:paraId="5DD7B009" w14:textId="5620C1C7" w:rsidR="00CC447F" w:rsidRPr="009008DD" w:rsidRDefault="00CC447F" w:rsidP="17CECF10">
      <w:pPr>
        <w:pStyle w:val="ParagraphSpace"/>
        <w:spacing w:line="360" w:lineRule="auto"/>
        <w:rPr>
          <w:rFonts w:ascii="Segoe UI" w:hAnsi="Segoe UI" w:cs="Segoe UI"/>
          <w:szCs w:val="24"/>
        </w:rPr>
      </w:pPr>
    </w:p>
    <w:p w14:paraId="368932FF" w14:textId="62DFCF40" w:rsidR="00E516EA" w:rsidRPr="00CF6436" w:rsidRDefault="5EFCAB9E" w:rsidP="293D3C50">
      <w:pPr>
        <w:spacing w:line="360" w:lineRule="auto"/>
        <w:rPr>
          <w:rFonts w:ascii="Segoe UI" w:hAnsi="Segoe UI" w:cs="Segoe UI"/>
          <w:color w:val="000000" w:themeColor="text1"/>
        </w:rPr>
      </w:pPr>
      <w:r w:rsidRPr="524BF87A">
        <w:rPr>
          <w:rFonts w:ascii="Segoe UI" w:hAnsi="Segoe UI" w:cs="Segoe UI"/>
          <w:color w:val="000000" w:themeColor="text1"/>
        </w:rPr>
        <w:t xml:space="preserve">As shown in Table 4-3, the cost </w:t>
      </w:r>
      <w:r w:rsidR="61881D2B" w:rsidRPr="524BF87A">
        <w:rPr>
          <w:rFonts w:ascii="Segoe UI" w:hAnsi="Segoe UI" w:cs="Segoe UI"/>
          <w:color w:val="000000" w:themeColor="text1"/>
        </w:rPr>
        <w:t>for</w:t>
      </w:r>
      <w:r w:rsidRPr="524BF87A">
        <w:rPr>
          <w:rFonts w:ascii="Segoe UI" w:hAnsi="Segoe UI" w:cs="Segoe UI"/>
          <w:color w:val="000000" w:themeColor="text1"/>
        </w:rPr>
        <w:t xml:space="preserve"> </w:t>
      </w:r>
      <w:r w:rsidR="006B4F9F">
        <w:rPr>
          <w:rFonts w:ascii="Segoe UI" w:hAnsi="Segoe UI" w:cs="Segoe UI"/>
          <w:color w:val="000000" w:themeColor="text1"/>
        </w:rPr>
        <w:t>an undiscounted</w:t>
      </w:r>
      <w:r w:rsidR="2EEA8F32" w:rsidRPr="524BF87A">
        <w:rPr>
          <w:rFonts w:ascii="Segoe UI" w:hAnsi="Segoe UI" w:cs="Segoe UI"/>
          <w:color w:val="000000" w:themeColor="text1"/>
        </w:rPr>
        <w:t xml:space="preserve"> entity</w:t>
      </w:r>
      <w:r w:rsidR="2D0CF866" w:rsidRPr="524BF87A">
        <w:rPr>
          <w:rFonts w:ascii="Segoe UI" w:hAnsi="Segoe UI" w:cs="Segoe UI"/>
          <w:color w:val="000000" w:themeColor="text1"/>
        </w:rPr>
        <w:t xml:space="preserve"> to</w:t>
      </w:r>
      <w:r w:rsidR="2EEA8F32" w:rsidRPr="524BF87A">
        <w:rPr>
          <w:rFonts w:ascii="Segoe UI" w:hAnsi="Segoe UI" w:cs="Segoe UI"/>
          <w:color w:val="000000" w:themeColor="text1"/>
        </w:rPr>
        <w:t xml:space="preserve"> </w:t>
      </w:r>
      <w:r w:rsidRPr="524BF87A">
        <w:rPr>
          <w:rFonts w:ascii="Segoe UI" w:hAnsi="Segoe UI" w:cs="Segoe UI"/>
          <w:color w:val="000000" w:themeColor="text1"/>
        </w:rPr>
        <w:t>secur</w:t>
      </w:r>
      <w:r w:rsidR="3EDDD9EB" w:rsidRPr="524BF87A">
        <w:rPr>
          <w:rFonts w:ascii="Segoe UI" w:hAnsi="Segoe UI" w:cs="Segoe UI"/>
          <w:color w:val="000000" w:themeColor="text1"/>
        </w:rPr>
        <w:t>e</w:t>
      </w:r>
      <w:r w:rsidRPr="524BF87A">
        <w:rPr>
          <w:rFonts w:ascii="Segoe UI" w:hAnsi="Segoe UI" w:cs="Segoe UI"/>
          <w:color w:val="000000" w:themeColor="text1"/>
        </w:rPr>
        <w:t xml:space="preserve"> and maintain a patent</w:t>
      </w:r>
      <w:r w:rsidR="5AEF34E3" w:rsidRPr="524BF87A">
        <w:rPr>
          <w:rFonts w:ascii="Segoe UI" w:hAnsi="Segoe UI" w:cs="Segoe UI"/>
          <w:color w:val="000000" w:themeColor="text1"/>
        </w:rPr>
        <w:t xml:space="preserve"> through a typical prosecution sequence for its </w:t>
      </w:r>
      <w:r w:rsidRPr="524BF87A">
        <w:rPr>
          <w:rFonts w:ascii="Segoe UI" w:hAnsi="Segoe UI" w:cs="Segoe UI"/>
          <w:color w:val="000000" w:themeColor="text1"/>
        </w:rPr>
        <w:t>ful</w:t>
      </w:r>
      <w:r w:rsidR="662B54E3" w:rsidRPr="524BF87A">
        <w:rPr>
          <w:rFonts w:ascii="Segoe UI" w:hAnsi="Segoe UI" w:cs="Segoe UI"/>
          <w:color w:val="000000" w:themeColor="text1"/>
        </w:rPr>
        <w:t xml:space="preserve">l 20-year term increases by </w:t>
      </w:r>
      <w:r w:rsidR="662B54E3" w:rsidRPr="00D67FF0">
        <w:rPr>
          <w:rFonts w:ascii="Segoe UI" w:hAnsi="Segoe UI" w:cs="Segoe UI"/>
          <w:color w:val="000000" w:themeColor="text1"/>
        </w:rPr>
        <w:t>$1,</w:t>
      </w:r>
      <w:r w:rsidR="269DCC4B" w:rsidRPr="00D67FF0">
        <w:rPr>
          <w:rFonts w:ascii="Segoe UI" w:hAnsi="Segoe UI" w:cs="Segoe UI"/>
          <w:color w:val="000000" w:themeColor="text1"/>
        </w:rPr>
        <w:t>055</w:t>
      </w:r>
      <w:r w:rsidR="662B54E3" w:rsidRPr="00D67FF0">
        <w:rPr>
          <w:rFonts w:ascii="Segoe UI" w:hAnsi="Segoe UI" w:cs="Segoe UI"/>
          <w:color w:val="000000" w:themeColor="text1"/>
        </w:rPr>
        <w:t xml:space="preserve"> (</w:t>
      </w:r>
      <w:r w:rsidR="269DCC4B" w:rsidRPr="00D67FF0">
        <w:rPr>
          <w:rFonts w:ascii="Segoe UI" w:hAnsi="Segoe UI" w:cs="Segoe UI"/>
          <w:color w:val="000000" w:themeColor="text1"/>
        </w:rPr>
        <w:t>5</w:t>
      </w:r>
      <w:r w:rsidR="662B54E3" w:rsidRPr="00D67FF0">
        <w:rPr>
          <w:rFonts w:ascii="Segoe UI" w:hAnsi="Segoe UI" w:cs="Segoe UI"/>
          <w:color w:val="000000" w:themeColor="text1"/>
        </w:rPr>
        <w:t>.</w:t>
      </w:r>
      <w:r w:rsidR="269DCC4B" w:rsidRPr="00D67FF0">
        <w:rPr>
          <w:rFonts w:ascii="Segoe UI" w:hAnsi="Segoe UI" w:cs="Segoe UI"/>
          <w:color w:val="000000" w:themeColor="text1"/>
        </w:rPr>
        <w:t>9</w:t>
      </w:r>
      <w:r w:rsidR="13DE3363" w:rsidRPr="00D67FF0">
        <w:rPr>
          <w:rFonts w:ascii="Segoe UI" w:hAnsi="Segoe UI" w:cs="Segoe UI"/>
          <w:color w:val="000000" w:themeColor="text1"/>
        </w:rPr>
        <w:t>%</w:t>
      </w:r>
      <w:r w:rsidRPr="00D67FF0">
        <w:rPr>
          <w:rFonts w:ascii="Segoe UI" w:hAnsi="Segoe UI" w:cs="Segoe UI"/>
          <w:color w:val="000000" w:themeColor="text1"/>
        </w:rPr>
        <w:t>)</w:t>
      </w:r>
      <w:r w:rsidRPr="524BF87A">
        <w:rPr>
          <w:rFonts w:ascii="Segoe UI" w:hAnsi="Segoe UI" w:cs="Segoe UI"/>
          <w:color w:val="000000" w:themeColor="text1"/>
        </w:rPr>
        <w:t xml:space="preserve"> </w:t>
      </w:r>
      <w:r w:rsidR="52A6A2BF" w:rsidRPr="524BF87A">
        <w:rPr>
          <w:rFonts w:ascii="Segoe UI" w:hAnsi="Segoe UI" w:cs="Segoe UI"/>
          <w:color w:val="000000" w:themeColor="text1"/>
        </w:rPr>
        <w:t xml:space="preserve">under the </w:t>
      </w:r>
      <w:r w:rsidR="000F20DC">
        <w:rPr>
          <w:rFonts w:ascii="Segoe UI" w:hAnsi="Segoe UI" w:cs="Segoe UI"/>
          <w:color w:val="000000" w:themeColor="text1"/>
        </w:rPr>
        <w:t>Final</w:t>
      </w:r>
      <w:r w:rsidR="52A6A2BF" w:rsidRPr="524BF87A">
        <w:rPr>
          <w:rFonts w:ascii="Segoe UI" w:hAnsi="Segoe UI" w:cs="Segoe UI"/>
          <w:color w:val="000000" w:themeColor="text1"/>
        </w:rPr>
        <w:t xml:space="preserve"> Patent Fee Schedule</w:t>
      </w:r>
      <w:r w:rsidRPr="524BF87A">
        <w:rPr>
          <w:rFonts w:ascii="Segoe UI" w:hAnsi="Segoe UI" w:cs="Segoe UI"/>
          <w:color w:val="000000" w:themeColor="text1"/>
        </w:rPr>
        <w:t>.</w:t>
      </w:r>
      <w:r w:rsidR="3FF9ACE3" w:rsidRPr="524BF87A">
        <w:rPr>
          <w:rFonts w:ascii="Segoe UI" w:hAnsi="Segoe UI" w:cs="Segoe UI"/>
          <w:color w:val="000000" w:themeColor="text1"/>
        </w:rPr>
        <w:t xml:space="preserve"> </w:t>
      </w:r>
      <w:r w:rsidRPr="524BF87A">
        <w:rPr>
          <w:rFonts w:ascii="Segoe UI" w:hAnsi="Segoe UI" w:cs="Segoe UI"/>
          <w:color w:val="000000" w:themeColor="text1"/>
        </w:rPr>
        <w:t xml:space="preserve">Assuming a </w:t>
      </w:r>
      <w:r w:rsidR="5B14F4E9" w:rsidRPr="524BF87A">
        <w:rPr>
          <w:rFonts w:ascii="Segoe UI" w:hAnsi="Segoe UI" w:cs="Segoe UI"/>
          <w:color w:val="000000" w:themeColor="text1"/>
        </w:rPr>
        <w:t>3</w:t>
      </w:r>
      <w:r w:rsidR="13DE3363" w:rsidRPr="524BF87A">
        <w:rPr>
          <w:rFonts w:ascii="Segoe UI" w:hAnsi="Segoe UI" w:cs="Segoe UI"/>
          <w:color w:val="000000" w:themeColor="text1"/>
        </w:rPr>
        <w:t>%</w:t>
      </w:r>
      <w:r w:rsidRPr="524BF87A">
        <w:rPr>
          <w:rFonts w:ascii="Segoe UI" w:hAnsi="Segoe UI" w:cs="Segoe UI"/>
          <w:color w:val="000000" w:themeColor="text1"/>
        </w:rPr>
        <w:t xml:space="preserve"> discount rate, the net present value of </w:t>
      </w:r>
      <w:r w:rsidR="5AEF34E3" w:rsidRPr="524BF87A">
        <w:rPr>
          <w:rFonts w:ascii="Segoe UI" w:hAnsi="Segoe UI" w:cs="Segoe UI"/>
          <w:color w:val="000000" w:themeColor="text1"/>
        </w:rPr>
        <w:t xml:space="preserve">investing in a patent </w:t>
      </w:r>
      <w:r w:rsidR="52A6A2BF" w:rsidRPr="524BF87A">
        <w:rPr>
          <w:rFonts w:ascii="Segoe UI" w:hAnsi="Segoe UI" w:cs="Segoe UI"/>
          <w:color w:val="000000" w:themeColor="text1"/>
        </w:rPr>
        <w:t xml:space="preserve">under the </w:t>
      </w:r>
      <w:r w:rsidR="000F20DC">
        <w:rPr>
          <w:rFonts w:ascii="Segoe UI" w:hAnsi="Segoe UI" w:cs="Segoe UI"/>
          <w:color w:val="000000" w:themeColor="text1"/>
        </w:rPr>
        <w:t>Final</w:t>
      </w:r>
      <w:r w:rsidR="52A6A2BF" w:rsidRPr="524BF87A">
        <w:rPr>
          <w:rFonts w:ascii="Segoe UI" w:hAnsi="Segoe UI" w:cs="Segoe UI"/>
          <w:color w:val="000000" w:themeColor="text1"/>
        </w:rPr>
        <w:t xml:space="preserve"> Patent Fee Schedule </w:t>
      </w:r>
      <w:r w:rsidR="662B54E3" w:rsidRPr="524BF87A">
        <w:rPr>
          <w:rFonts w:ascii="Segoe UI" w:hAnsi="Segoe UI" w:cs="Segoe UI"/>
          <w:color w:val="000000" w:themeColor="text1"/>
        </w:rPr>
        <w:t xml:space="preserve">is </w:t>
      </w:r>
      <w:r w:rsidR="662B54E3" w:rsidRPr="00903148">
        <w:rPr>
          <w:rFonts w:ascii="Segoe UI" w:hAnsi="Segoe UI" w:cs="Segoe UI"/>
          <w:color w:val="000000" w:themeColor="text1"/>
        </w:rPr>
        <w:t>$1</w:t>
      </w:r>
      <w:r w:rsidR="1AD8F814" w:rsidRPr="00903148">
        <w:rPr>
          <w:rFonts w:ascii="Segoe UI" w:hAnsi="Segoe UI" w:cs="Segoe UI"/>
          <w:color w:val="000000" w:themeColor="text1"/>
        </w:rPr>
        <w:t>4</w:t>
      </w:r>
      <w:r w:rsidR="662B54E3" w:rsidRPr="00903148">
        <w:rPr>
          <w:rFonts w:ascii="Segoe UI" w:hAnsi="Segoe UI" w:cs="Segoe UI"/>
          <w:color w:val="000000" w:themeColor="text1"/>
        </w:rPr>
        <w:t>,</w:t>
      </w:r>
      <w:r w:rsidR="1AD8F814" w:rsidRPr="00903148">
        <w:rPr>
          <w:rFonts w:ascii="Segoe UI" w:hAnsi="Segoe UI" w:cs="Segoe UI"/>
          <w:color w:val="000000" w:themeColor="text1"/>
        </w:rPr>
        <w:t>184</w:t>
      </w:r>
      <w:r w:rsidR="5AEF34E3" w:rsidRPr="00903148">
        <w:rPr>
          <w:rFonts w:ascii="Segoe UI" w:hAnsi="Segoe UI" w:cs="Segoe UI"/>
          <w:color w:val="000000" w:themeColor="text1"/>
        </w:rPr>
        <w:t>, compared</w:t>
      </w:r>
      <w:r w:rsidR="5AEF34E3" w:rsidRPr="524BF87A">
        <w:rPr>
          <w:rFonts w:ascii="Segoe UI" w:hAnsi="Segoe UI" w:cs="Segoe UI"/>
          <w:color w:val="000000" w:themeColor="text1"/>
        </w:rPr>
        <w:t xml:space="preserve"> t</w:t>
      </w:r>
      <w:r w:rsidR="662B54E3" w:rsidRPr="524BF87A">
        <w:rPr>
          <w:rFonts w:ascii="Segoe UI" w:hAnsi="Segoe UI" w:cs="Segoe UI"/>
          <w:color w:val="000000" w:themeColor="text1"/>
        </w:rPr>
        <w:t>o a net present value of $1</w:t>
      </w:r>
      <w:r w:rsidR="1AD8F814" w:rsidRPr="524BF87A">
        <w:rPr>
          <w:rFonts w:ascii="Segoe UI" w:hAnsi="Segoe UI" w:cs="Segoe UI"/>
          <w:color w:val="000000" w:themeColor="text1"/>
        </w:rPr>
        <w:t>3</w:t>
      </w:r>
      <w:r w:rsidR="662B54E3" w:rsidRPr="524BF87A">
        <w:rPr>
          <w:rFonts w:ascii="Segoe UI" w:hAnsi="Segoe UI" w:cs="Segoe UI"/>
          <w:color w:val="000000" w:themeColor="text1"/>
        </w:rPr>
        <w:t>,</w:t>
      </w:r>
      <w:r w:rsidR="1AD8F814" w:rsidRPr="524BF87A">
        <w:rPr>
          <w:rFonts w:ascii="Segoe UI" w:hAnsi="Segoe UI" w:cs="Segoe UI"/>
          <w:color w:val="000000" w:themeColor="text1"/>
        </w:rPr>
        <w:t>363</w:t>
      </w:r>
      <w:r w:rsidR="5AEF34E3" w:rsidRPr="524BF87A">
        <w:rPr>
          <w:rFonts w:ascii="Segoe UI" w:hAnsi="Segoe UI" w:cs="Segoe UI"/>
          <w:color w:val="000000" w:themeColor="text1"/>
        </w:rPr>
        <w:t xml:space="preserve"> for the Baseline</w:t>
      </w:r>
      <w:r w:rsidR="2EEA8F32" w:rsidRPr="524BF87A">
        <w:rPr>
          <w:rFonts w:ascii="Segoe UI" w:hAnsi="Segoe UI" w:cs="Segoe UI"/>
          <w:color w:val="000000" w:themeColor="text1"/>
        </w:rPr>
        <w:t xml:space="preserve"> (for </w:t>
      </w:r>
      <w:r w:rsidR="006B4F9F">
        <w:rPr>
          <w:rFonts w:ascii="Segoe UI" w:hAnsi="Segoe UI" w:cs="Segoe UI"/>
          <w:color w:val="000000" w:themeColor="text1"/>
        </w:rPr>
        <w:t>an undiscounted</w:t>
      </w:r>
      <w:r w:rsidR="2EEA8F32" w:rsidRPr="524BF87A">
        <w:rPr>
          <w:rFonts w:ascii="Segoe UI" w:hAnsi="Segoe UI" w:cs="Segoe UI"/>
          <w:color w:val="000000" w:themeColor="text1"/>
        </w:rPr>
        <w:t xml:space="preserve"> entity)</w:t>
      </w:r>
      <w:r w:rsidRPr="524BF87A">
        <w:rPr>
          <w:rFonts w:ascii="Segoe UI" w:hAnsi="Segoe UI" w:cs="Segoe UI"/>
          <w:color w:val="000000" w:themeColor="text1"/>
        </w:rPr>
        <w:t>.</w:t>
      </w:r>
    </w:p>
    <w:p w14:paraId="621C96C8" w14:textId="1C85A347" w:rsidR="007356DF" w:rsidRPr="00CF6436" w:rsidRDefault="58A5DB7A" w:rsidP="293D3C50">
      <w:pPr>
        <w:spacing w:line="360" w:lineRule="auto"/>
        <w:ind w:firstLine="450"/>
      </w:pPr>
      <w:r w:rsidRPr="293D3C50">
        <w:rPr>
          <w:rFonts w:ascii="Segoe UI" w:hAnsi="Segoe UI" w:cs="Segoe UI"/>
        </w:rPr>
        <w:t xml:space="preserve">Table 4-4 presents fee adjustments included in </w:t>
      </w:r>
      <w:r w:rsidR="73FD1903" w:rsidRPr="293D3C50">
        <w:rPr>
          <w:rFonts w:ascii="Segoe UI" w:hAnsi="Segoe UI" w:cs="Segoe UI"/>
        </w:rPr>
        <w:t xml:space="preserve">the </w:t>
      </w:r>
      <w:r w:rsidR="000F20DC">
        <w:rPr>
          <w:rFonts w:ascii="Segoe UI" w:hAnsi="Segoe UI" w:cs="Segoe UI"/>
        </w:rPr>
        <w:t>Final</w:t>
      </w:r>
      <w:r w:rsidR="73FD1903" w:rsidRPr="293D3C50">
        <w:rPr>
          <w:rFonts w:ascii="Segoe UI" w:hAnsi="Segoe UI" w:cs="Segoe UI"/>
        </w:rPr>
        <w:t xml:space="preserve"> Patent Fee Schedule </w:t>
      </w:r>
      <w:r w:rsidR="3746A7AC" w:rsidRPr="293D3C50">
        <w:rPr>
          <w:rFonts w:ascii="Segoe UI" w:hAnsi="Segoe UI" w:cs="Segoe UI"/>
        </w:rPr>
        <w:t xml:space="preserve">with </w:t>
      </w:r>
      <w:r w:rsidRPr="293D3C50">
        <w:rPr>
          <w:rFonts w:ascii="Segoe UI" w:hAnsi="Segoe UI" w:cs="Segoe UI"/>
        </w:rPr>
        <w:t>the greatest impact on patent revenue.</w:t>
      </w:r>
      <w:r w:rsidR="2B9FA360" w:rsidRPr="293D3C50">
        <w:rPr>
          <w:rFonts w:ascii="Segoe UI" w:hAnsi="Segoe UI" w:cs="Segoe UI"/>
        </w:rPr>
        <w:t xml:space="preserve"> </w:t>
      </w:r>
      <w:r w:rsidR="006B4F9F">
        <w:rPr>
          <w:rFonts w:ascii="Segoe UI" w:hAnsi="Segoe UI" w:cs="Segoe UI"/>
        </w:rPr>
        <w:t>Undiscounted</w:t>
      </w:r>
      <w:r w:rsidRPr="293D3C50">
        <w:rPr>
          <w:rFonts w:ascii="Segoe UI" w:hAnsi="Segoe UI" w:cs="Segoe UI"/>
        </w:rPr>
        <w:t>, small, and micro entity dollar and percent</w:t>
      </w:r>
      <w:r w:rsidR="7CB3EAA3" w:rsidRPr="293D3C50">
        <w:rPr>
          <w:rFonts w:ascii="Segoe UI" w:hAnsi="Segoe UI" w:cs="Segoe UI"/>
        </w:rPr>
        <w:t>age</w:t>
      </w:r>
      <w:r w:rsidRPr="293D3C50">
        <w:rPr>
          <w:rFonts w:ascii="Segoe UI" w:hAnsi="Segoe UI" w:cs="Segoe UI"/>
        </w:rPr>
        <w:t xml:space="preserve"> changes are compared to current </w:t>
      </w:r>
      <w:r w:rsidR="006B4F9F">
        <w:rPr>
          <w:rFonts w:ascii="Segoe UI" w:hAnsi="Segoe UI" w:cs="Segoe UI"/>
        </w:rPr>
        <w:t>undiscounted</w:t>
      </w:r>
      <w:r w:rsidRPr="293D3C50">
        <w:rPr>
          <w:rFonts w:ascii="Segoe UI" w:hAnsi="Segoe UI" w:cs="Segoe UI"/>
        </w:rPr>
        <w:t>, small, and micro entity fees.</w:t>
      </w:r>
      <w:r w:rsidR="2B9FA360" w:rsidRPr="293D3C50">
        <w:rPr>
          <w:rFonts w:ascii="Segoe UI" w:hAnsi="Segoe UI" w:cs="Segoe UI"/>
        </w:rPr>
        <w:t xml:space="preserve"> </w:t>
      </w:r>
      <w:r w:rsidRPr="293D3C50">
        <w:rPr>
          <w:rFonts w:ascii="Segoe UI" w:hAnsi="Segoe UI" w:cs="Segoe UI"/>
        </w:rPr>
        <w:t>A complete list of fee changes for Alternative 1 can be found in the document titled “Table of Patent Fee Changes</w:t>
      </w:r>
      <w:r w:rsidR="7CB3EAA3" w:rsidRPr="293D3C50">
        <w:rPr>
          <w:rFonts w:ascii="Segoe UI" w:hAnsi="Segoe UI" w:cs="Segoe UI"/>
        </w:rPr>
        <w:t>—</w:t>
      </w:r>
      <w:r w:rsidRPr="293D3C50">
        <w:rPr>
          <w:rFonts w:ascii="Segoe UI" w:hAnsi="Segoe UI" w:cs="Segoe UI"/>
        </w:rPr>
        <w:t xml:space="preserve">Current, </w:t>
      </w:r>
      <w:r w:rsidR="000F20DC">
        <w:rPr>
          <w:rFonts w:ascii="Segoe UI" w:hAnsi="Segoe UI" w:cs="Segoe UI"/>
        </w:rPr>
        <w:t>Final</w:t>
      </w:r>
      <w:r w:rsidR="3AC41A7C" w:rsidRPr="293D3C50">
        <w:rPr>
          <w:rFonts w:ascii="Segoe UI" w:hAnsi="Segoe UI" w:cs="Segoe UI"/>
        </w:rPr>
        <w:t xml:space="preserve"> </w:t>
      </w:r>
      <w:r w:rsidR="06A8AB5C" w:rsidRPr="293D3C50">
        <w:rPr>
          <w:rFonts w:ascii="Segoe UI" w:hAnsi="Segoe UI" w:cs="Segoe UI"/>
        </w:rPr>
        <w:t>Patent Fee Schedule</w:t>
      </w:r>
      <w:r w:rsidR="7647AB7B" w:rsidRPr="293D3C50">
        <w:rPr>
          <w:rFonts w:ascii="Segoe UI" w:hAnsi="Segoe UI" w:cs="Segoe UI"/>
        </w:rPr>
        <w:t>,</w:t>
      </w:r>
      <w:r w:rsidRPr="293D3C50">
        <w:rPr>
          <w:rFonts w:ascii="Segoe UI" w:hAnsi="Segoe UI" w:cs="Segoe UI"/>
        </w:rPr>
        <w:t xml:space="preserve"> and Unit Cost Recovery”</w:t>
      </w:r>
      <w:r w:rsidR="3BA6B12C" w:rsidRPr="293D3C50">
        <w:rPr>
          <w:rFonts w:ascii="Segoe UI" w:hAnsi="Segoe UI" w:cs="Segoe UI"/>
        </w:rPr>
        <w:t xml:space="preserve"> on the </w:t>
      </w:r>
      <w:hyperlink r:id="rId35">
        <w:r w:rsidR="3BA6B12C" w:rsidRPr="293D3C50">
          <w:rPr>
            <w:rStyle w:val="Hyperlink"/>
            <w:rFonts w:ascii="Segoe UI" w:eastAsia="Segoe UI" w:hAnsi="Segoe UI" w:cs="Segoe UI"/>
          </w:rPr>
          <w:t>fee setting section of the USPTO website</w:t>
        </w:r>
      </w:hyperlink>
      <w:r w:rsidR="3BA6B12C" w:rsidRPr="293D3C50">
        <w:rPr>
          <w:rFonts w:ascii="Segoe UI" w:eastAsia="Segoe UI" w:hAnsi="Segoe UI" w:cs="Segoe UI"/>
        </w:rPr>
        <w:t>.</w:t>
      </w:r>
    </w:p>
    <w:p w14:paraId="667956B9" w14:textId="14AE67DC" w:rsidR="007356DF" w:rsidRDefault="0FC18348" w:rsidP="17CECF10">
      <w:pPr>
        <w:pStyle w:val="Caption"/>
        <w:keepNext/>
        <w:spacing w:line="360" w:lineRule="auto"/>
        <w:rPr>
          <w:rFonts w:ascii="Segoe UI" w:hAnsi="Segoe UI" w:cs="Segoe UI"/>
          <w:sz w:val="24"/>
          <w:szCs w:val="24"/>
        </w:rPr>
      </w:pPr>
      <w:r w:rsidRPr="17CECF10">
        <w:rPr>
          <w:rFonts w:ascii="Segoe UI" w:hAnsi="Segoe UI" w:cs="Segoe UI"/>
          <w:sz w:val="24"/>
          <w:szCs w:val="24"/>
        </w:rPr>
        <w:t>Table 4</w:t>
      </w:r>
      <w:r w:rsidR="34BE15EC" w:rsidRPr="17CECF10">
        <w:rPr>
          <w:rFonts w:ascii="Segoe UI" w:hAnsi="Segoe UI" w:cs="Segoe UI"/>
          <w:sz w:val="24"/>
          <w:szCs w:val="24"/>
        </w:rPr>
        <w:t>-</w:t>
      </w:r>
      <w:r w:rsidR="2342BA25" w:rsidRPr="17CECF10">
        <w:rPr>
          <w:rFonts w:ascii="Segoe UI" w:hAnsi="Segoe UI" w:cs="Segoe UI"/>
          <w:sz w:val="24"/>
          <w:szCs w:val="24"/>
        </w:rPr>
        <w:t>4</w:t>
      </w:r>
    </w:p>
    <w:tbl>
      <w:tblPr>
        <w:tblW w:w="9821" w:type="dxa"/>
        <w:jc w:val="center"/>
        <w:tblLook w:val="04A0" w:firstRow="1" w:lastRow="0" w:firstColumn="1" w:lastColumn="0" w:noHBand="0" w:noVBand="1"/>
      </w:tblPr>
      <w:tblGrid>
        <w:gridCol w:w="3645"/>
        <w:gridCol w:w="1651"/>
        <w:gridCol w:w="1507"/>
        <w:gridCol w:w="1511"/>
        <w:gridCol w:w="1507"/>
      </w:tblGrid>
      <w:tr w:rsidR="000B1292" w:rsidRPr="000B1292" w14:paraId="67560416" w14:textId="77777777" w:rsidTr="0061637C">
        <w:trPr>
          <w:trHeight w:val="288"/>
          <w:jc w:val="center"/>
        </w:trPr>
        <w:tc>
          <w:tcPr>
            <w:tcW w:w="9821" w:type="dxa"/>
            <w:gridSpan w:val="5"/>
            <w:tcBorders>
              <w:top w:val="single" w:sz="4" w:space="0" w:color="auto"/>
              <w:left w:val="single" w:sz="4" w:space="0" w:color="auto"/>
              <w:bottom w:val="nil"/>
              <w:right w:val="single" w:sz="4" w:space="0" w:color="000000" w:themeColor="text1"/>
            </w:tcBorders>
            <w:shd w:val="clear" w:color="auto" w:fill="FFFFFF" w:themeFill="background1"/>
            <w:vAlign w:val="center"/>
            <w:hideMark/>
          </w:tcPr>
          <w:p w14:paraId="259BDC0F" w14:textId="180FB897" w:rsidR="000B1292" w:rsidRPr="000B1292" w:rsidRDefault="497A267A" w:rsidP="17CECF10">
            <w:pPr>
              <w:spacing w:line="240" w:lineRule="auto"/>
              <w:jc w:val="center"/>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Final</w:t>
            </w:r>
            <w:r w:rsidR="56E78797" w:rsidRPr="17CECF10">
              <w:rPr>
                <w:rFonts w:ascii="Segoe UI" w:eastAsia="Times New Roman" w:hAnsi="Segoe UI" w:cs="Segoe UI"/>
                <w:b/>
                <w:bCs/>
                <w:color w:val="000000" w:themeColor="text1"/>
                <w:sz w:val="22"/>
              </w:rPr>
              <w:t xml:space="preserve"> Patent Fee Schedule</w:t>
            </w:r>
            <w:r w:rsidR="27429FB9" w:rsidRPr="17CECF10">
              <w:rPr>
                <w:rFonts w:ascii="Segoe UI" w:eastAsia="Times New Roman" w:hAnsi="Segoe UI" w:cs="Segoe UI"/>
                <w:b/>
                <w:bCs/>
                <w:color w:val="000000" w:themeColor="text1"/>
                <w:sz w:val="22"/>
              </w:rPr>
              <w:t xml:space="preserve"> (Alternative 1</w:t>
            </w:r>
            <w:r w:rsidR="09FDD6A4" w:rsidRPr="17CECF10">
              <w:rPr>
                <w:rFonts w:ascii="Segoe UI" w:eastAsia="Times New Roman" w:hAnsi="Segoe UI" w:cs="Segoe UI"/>
                <w:b/>
                <w:bCs/>
                <w:color w:val="000000" w:themeColor="text1"/>
                <w:sz w:val="22"/>
              </w:rPr>
              <w:t>)</w:t>
            </w:r>
            <w:r w:rsidR="56E78797" w:rsidRPr="17CECF10">
              <w:rPr>
                <w:rFonts w:ascii="Segoe UI" w:eastAsia="Times New Roman" w:hAnsi="Segoe UI" w:cs="Segoe UI"/>
                <w:b/>
                <w:bCs/>
                <w:color w:val="000000" w:themeColor="text1"/>
                <w:sz w:val="22"/>
              </w:rPr>
              <w:t xml:space="preserve"> </w:t>
            </w:r>
          </w:p>
        </w:tc>
      </w:tr>
      <w:tr w:rsidR="000B1292" w:rsidRPr="000B1292" w14:paraId="7A15B7B9" w14:textId="77777777" w:rsidTr="0061637C">
        <w:trPr>
          <w:trHeight w:val="288"/>
          <w:jc w:val="center"/>
        </w:trPr>
        <w:tc>
          <w:tcPr>
            <w:tcW w:w="9821" w:type="dxa"/>
            <w:gridSpan w:val="5"/>
            <w:tcBorders>
              <w:top w:val="nil"/>
              <w:left w:val="single" w:sz="4" w:space="0" w:color="auto"/>
              <w:bottom w:val="single" w:sz="4" w:space="0" w:color="auto"/>
              <w:right w:val="single" w:sz="4" w:space="0" w:color="000000" w:themeColor="text1"/>
            </w:tcBorders>
            <w:shd w:val="clear" w:color="auto" w:fill="FFFFFF" w:themeFill="background1"/>
            <w:vAlign w:val="center"/>
            <w:hideMark/>
          </w:tcPr>
          <w:p w14:paraId="69E7BB9F" w14:textId="7E4E56C3" w:rsidR="000B1292" w:rsidRPr="000B1292" w:rsidRDefault="33404D6B" w:rsidP="17CECF10">
            <w:pPr>
              <w:spacing w:line="240" w:lineRule="auto"/>
              <w:jc w:val="center"/>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 xml:space="preserve">Select </w:t>
            </w:r>
            <w:r w:rsidR="56E78797" w:rsidRPr="17CECF10">
              <w:rPr>
                <w:rFonts w:ascii="Segoe UI" w:eastAsia="Times New Roman" w:hAnsi="Segoe UI" w:cs="Segoe UI"/>
                <w:b/>
                <w:bCs/>
                <w:color w:val="000000" w:themeColor="text1"/>
                <w:sz w:val="22"/>
              </w:rPr>
              <w:t xml:space="preserve">Current and </w:t>
            </w:r>
            <w:r w:rsidR="497A267A" w:rsidRPr="17CECF10">
              <w:rPr>
                <w:rFonts w:ascii="Segoe UI" w:eastAsia="Times New Roman" w:hAnsi="Segoe UI" w:cs="Segoe UI"/>
                <w:b/>
                <w:bCs/>
                <w:color w:val="000000" w:themeColor="text1"/>
                <w:sz w:val="22"/>
              </w:rPr>
              <w:t>Final</w:t>
            </w:r>
            <w:r w:rsidR="56E78797" w:rsidRPr="17CECF10">
              <w:rPr>
                <w:rFonts w:ascii="Segoe UI" w:eastAsia="Times New Roman" w:hAnsi="Segoe UI" w:cs="Segoe UI"/>
                <w:b/>
                <w:bCs/>
                <w:color w:val="000000" w:themeColor="text1"/>
                <w:sz w:val="22"/>
              </w:rPr>
              <w:t xml:space="preserve"> Fees</w:t>
            </w:r>
          </w:p>
        </w:tc>
      </w:tr>
      <w:tr w:rsidR="000B1292" w:rsidRPr="000B1292" w14:paraId="2312FEFB" w14:textId="77777777" w:rsidTr="0061637C">
        <w:trPr>
          <w:trHeight w:val="792"/>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E3622CD" w14:textId="77777777" w:rsidR="000B1292" w:rsidRPr="000B1292" w:rsidRDefault="56E78797" w:rsidP="17CECF10">
            <w:pPr>
              <w:spacing w:line="240" w:lineRule="auto"/>
              <w:jc w:val="center"/>
              <w:rPr>
                <w:rFonts w:ascii="Segoe UI" w:eastAsia="Times New Roman" w:hAnsi="Segoe UI" w:cs="Segoe UI"/>
                <w:b/>
                <w:bCs/>
                <w:szCs w:val="24"/>
              </w:rPr>
            </w:pPr>
            <w:r w:rsidRPr="17CECF10">
              <w:rPr>
                <w:rFonts w:ascii="Segoe UI" w:eastAsia="Times New Roman" w:hAnsi="Segoe UI" w:cs="Segoe UI"/>
                <w:b/>
                <w:bCs/>
                <w:sz w:val="22"/>
              </w:rPr>
              <w:t>Description</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6DE1F035" w14:textId="4E98618D" w:rsidR="000B1292" w:rsidRPr="000B1292" w:rsidRDefault="27F97558" w:rsidP="17CECF10">
            <w:pPr>
              <w:spacing w:line="240" w:lineRule="auto"/>
              <w:jc w:val="center"/>
              <w:rPr>
                <w:rFonts w:ascii="Segoe UI" w:eastAsia="Times New Roman" w:hAnsi="Segoe UI" w:cs="Segoe UI"/>
                <w:b/>
                <w:bCs/>
                <w:szCs w:val="24"/>
              </w:rPr>
            </w:pPr>
            <w:r w:rsidRPr="17CECF10">
              <w:rPr>
                <w:rFonts w:ascii="Segoe UI" w:eastAsia="Times New Roman" w:hAnsi="Segoe UI" w:cs="Segoe UI"/>
                <w:b/>
                <w:bCs/>
                <w:sz w:val="22"/>
              </w:rPr>
              <w:t xml:space="preserve">Entity </w:t>
            </w:r>
            <w:r w:rsidR="5A2E498C" w:rsidRPr="17CECF10">
              <w:rPr>
                <w:rFonts w:ascii="Segoe UI" w:eastAsia="Times New Roman" w:hAnsi="Segoe UI" w:cs="Segoe UI"/>
                <w:b/>
                <w:bCs/>
                <w:sz w:val="22"/>
              </w:rPr>
              <w:t>t</w:t>
            </w:r>
            <w:r w:rsidRPr="17CECF10">
              <w:rPr>
                <w:rFonts w:ascii="Segoe UI" w:eastAsia="Times New Roman" w:hAnsi="Segoe UI" w:cs="Segoe UI"/>
                <w:b/>
                <w:bCs/>
                <w:sz w:val="22"/>
              </w:rPr>
              <w:t>ype</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FC90403" w14:textId="10074C39" w:rsidR="000B1292" w:rsidRPr="000B1292" w:rsidRDefault="27F97558" w:rsidP="17CECF10">
            <w:pPr>
              <w:spacing w:line="240" w:lineRule="auto"/>
              <w:jc w:val="center"/>
              <w:rPr>
                <w:rFonts w:ascii="Segoe UI" w:eastAsia="Times New Roman" w:hAnsi="Segoe UI" w:cs="Segoe UI"/>
                <w:b/>
                <w:bCs/>
                <w:szCs w:val="24"/>
              </w:rPr>
            </w:pPr>
            <w:r w:rsidRPr="17CECF10">
              <w:rPr>
                <w:rFonts w:ascii="Segoe UI" w:eastAsia="Times New Roman" w:hAnsi="Segoe UI" w:cs="Segoe UI"/>
                <w:b/>
                <w:bCs/>
                <w:sz w:val="22"/>
              </w:rPr>
              <w:t xml:space="preserve">Current </w:t>
            </w:r>
            <w:r w:rsidR="4912DEA9" w:rsidRPr="17CECF10">
              <w:rPr>
                <w:rFonts w:ascii="Segoe UI" w:eastAsia="Times New Roman" w:hAnsi="Segoe UI" w:cs="Segoe UI"/>
                <w:b/>
                <w:bCs/>
                <w:sz w:val="22"/>
              </w:rPr>
              <w:t>f</w:t>
            </w:r>
            <w:r w:rsidRPr="17CECF10">
              <w:rPr>
                <w:rFonts w:ascii="Segoe UI" w:eastAsia="Times New Roman" w:hAnsi="Segoe UI" w:cs="Segoe UI"/>
                <w:b/>
                <w:bCs/>
                <w:sz w:val="22"/>
              </w:rPr>
              <w:t>ee</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2DABAA27" w14:textId="6648706E" w:rsidR="000B1292" w:rsidRPr="000B1292" w:rsidRDefault="497A267A" w:rsidP="17CECF10">
            <w:pPr>
              <w:spacing w:line="240" w:lineRule="auto"/>
              <w:jc w:val="center"/>
              <w:rPr>
                <w:rFonts w:ascii="Segoe UI" w:eastAsia="Times New Roman" w:hAnsi="Segoe UI" w:cs="Segoe UI"/>
                <w:b/>
                <w:bCs/>
                <w:szCs w:val="24"/>
              </w:rPr>
            </w:pPr>
            <w:r w:rsidRPr="17CECF10">
              <w:rPr>
                <w:rFonts w:ascii="Segoe UI" w:eastAsia="Times New Roman" w:hAnsi="Segoe UI" w:cs="Segoe UI"/>
                <w:b/>
                <w:bCs/>
                <w:sz w:val="22"/>
              </w:rPr>
              <w:t>Final</w:t>
            </w:r>
            <w:r w:rsidR="27F97558" w:rsidRPr="17CECF10">
              <w:rPr>
                <w:rFonts w:ascii="Segoe UI" w:eastAsia="Times New Roman" w:hAnsi="Segoe UI" w:cs="Segoe UI"/>
                <w:b/>
                <w:bCs/>
                <w:sz w:val="22"/>
              </w:rPr>
              <w:t xml:space="preserve"> </w:t>
            </w:r>
            <w:r w:rsidR="578F1621" w:rsidRPr="17CECF10">
              <w:rPr>
                <w:rFonts w:ascii="Segoe UI" w:eastAsia="Times New Roman" w:hAnsi="Segoe UI" w:cs="Segoe UI"/>
                <w:b/>
                <w:bCs/>
                <w:sz w:val="22"/>
              </w:rPr>
              <w:t>f</w:t>
            </w:r>
            <w:r w:rsidR="27F97558" w:rsidRPr="17CECF10">
              <w:rPr>
                <w:rFonts w:ascii="Segoe UI" w:eastAsia="Times New Roman" w:hAnsi="Segoe UI" w:cs="Segoe UI"/>
                <w:b/>
                <w:bCs/>
                <w:sz w:val="22"/>
              </w:rPr>
              <w:t>ee</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DAB6373" w14:textId="341A87DE" w:rsidR="000B1292" w:rsidRPr="000B1292" w:rsidRDefault="27F97558" w:rsidP="17CECF10">
            <w:pPr>
              <w:spacing w:line="240" w:lineRule="auto"/>
              <w:jc w:val="center"/>
              <w:rPr>
                <w:rFonts w:ascii="Segoe UI" w:eastAsia="Times New Roman" w:hAnsi="Segoe UI" w:cs="Segoe UI"/>
                <w:b/>
                <w:bCs/>
                <w:szCs w:val="24"/>
              </w:rPr>
            </w:pPr>
            <w:r w:rsidRPr="17CECF10">
              <w:rPr>
                <w:rFonts w:ascii="Segoe UI" w:eastAsia="Times New Roman" w:hAnsi="Segoe UI" w:cs="Segoe UI"/>
                <w:b/>
                <w:bCs/>
                <w:sz w:val="22"/>
              </w:rPr>
              <w:t xml:space="preserve">Fee </w:t>
            </w:r>
            <w:r w:rsidR="097B74F5" w:rsidRPr="17CECF10">
              <w:rPr>
                <w:rFonts w:ascii="Segoe UI" w:eastAsia="Times New Roman" w:hAnsi="Segoe UI" w:cs="Segoe UI"/>
                <w:b/>
                <w:bCs/>
                <w:sz w:val="22"/>
              </w:rPr>
              <w:t>c</w:t>
            </w:r>
            <w:r w:rsidRPr="17CECF10">
              <w:rPr>
                <w:rFonts w:ascii="Segoe UI" w:eastAsia="Times New Roman" w:hAnsi="Segoe UI" w:cs="Segoe UI"/>
                <w:b/>
                <w:bCs/>
                <w:sz w:val="22"/>
              </w:rPr>
              <w:t>hange (%)</w:t>
            </w:r>
          </w:p>
        </w:tc>
      </w:tr>
      <w:tr w:rsidR="0061637C" w:rsidRPr="000B1292" w14:paraId="08450791"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ACCB29C" w14:textId="6FB2C349"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lastRenderedPageBreak/>
              <w:t>Basic filing fee - Utility (paper filing also requires non-electronic filing fee under 1.16(t))</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09ECD2D5"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5D60E5C8" w14:textId="7F5A87BF"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$320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695C1088" w14:textId="4F16A172"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$350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BF31A4F" w14:textId="699895FC"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9%</w:t>
            </w:r>
          </w:p>
        </w:tc>
      </w:tr>
      <w:tr w:rsidR="0061637C" w:rsidRPr="000B1292" w14:paraId="7B27501D"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B40085C" w14:textId="2A2B2D5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Basic filing fee - Utility (paper filing also requires non-electronic filing fee under 1.16(t))</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428DA496"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4EEFEF4D" w14:textId="323C8462"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$128</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65BC2A85" w14:textId="56AF61A4"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$140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7EB83071" w14:textId="50159636"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9%</w:t>
            </w:r>
          </w:p>
        </w:tc>
      </w:tr>
      <w:tr w:rsidR="0061637C" w:rsidRPr="000B1292" w14:paraId="297CA0AC"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E396C7C" w14:textId="46528E62"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Basic filing fee - Utility (paper filing also requires non-electronic filing fee under 1.16(t))</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6C03A5F0"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6301E0AC" w14:textId="2141B9B4"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$64</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5A150352" w14:textId="717E0228"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$70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732D3CA6" w14:textId="3DAA4CA9"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9%</w:t>
            </w:r>
          </w:p>
        </w:tc>
      </w:tr>
      <w:tr w:rsidR="0061637C" w:rsidRPr="000B1292" w14:paraId="0E4B2B72"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D2C9D69" w14:textId="5363FB83"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Basic filing fee - Utility (electronic filing for small entities)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239F7E18"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8B513FE" w14:textId="0A25BB96"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$64</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15CCD6BC" w14:textId="649A1121"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$70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6E56AD81" w14:textId="4D2A078B"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9%</w:t>
            </w:r>
          </w:p>
        </w:tc>
      </w:tr>
      <w:tr w:rsidR="0061637C" w:rsidRPr="000B1292" w14:paraId="542FB2E8"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4CE785F"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Each claim in excess of 20</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2FECCB0D"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A3672FD" w14:textId="058FFC34"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$100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05E60F68" w14:textId="7FCB08DD"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$200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65E9C4CC" w14:textId="59640D0E"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100%</w:t>
            </w:r>
          </w:p>
        </w:tc>
      </w:tr>
      <w:tr w:rsidR="0061637C" w:rsidRPr="000B1292" w14:paraId="772FFE0D"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4EF3E3B"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Each claim in excess of 20</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29333002"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BC576A6" w14:textId="2B200C69"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$40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51658171" w14:textId="0788D105"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$80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E239C4D" w14:textId="44FB5A45"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100%</w:t>
            </w:r>
          </w:p>
        </w:tc>
      </w:tr>
      <w:tr w:rsidR="0061637C" w:rsidRPr="000B1292" w14:paraId="67DB6644"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7322EE3"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Each claim in excess of 20</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2B3D7F2D"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7144AA7A" w14:textId="26C75B20"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$20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724CEEF2" w14:textId="48FF97D7"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$40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C77B806" w14:textId="263DC410"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100%</w:t>
            </w:r>
          </w:p>
        </w:tc>
      </w:tr>
      <w:tr w:rsidR="0061637C" w:rsidRPr="000B1292" w14:paraId="748F8A2C"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6EF1F5C"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Utility search fee</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7E92F265"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666A150F" w14:textId="1070FC4F"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$700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0EB6D0C5" w14:textId="598C1713"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$770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1673D3C2" w14:textId="6ABF1B89"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10%</w:t>
            </w:r>
          </w:p>
        </w:tc>
      </w:tr>
      <w:tr w:rsidR="0061637C" w:rsidRPr="000B1292" w14:paraId="22BE882F"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B4ABE0"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Utility search fee</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4B328DCF"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6D772B71" w14:textId="6E5E0C77"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$280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0FCA87D0" w14:textId="291125E5"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$308</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67C8F07B" w14:textId="0372A212"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10%</w:t>
            </w:r>
          </w:p>
        </w:tc>
      </w:tr>
      <w:tr w:rsidR="0061637C" w:rsidRPr="000B1292" w14:paraId="72598A32"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27B4354"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Utility search fee</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4DD28F3C"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1CDC09A" w14:textId="11E794FE"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$140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6D628938" w14:textId="7C4B7CBB"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$154</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783708CD" w14:textId="4C2AE24B"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10%</w:t>
            </w:r>
          </w:p>
        </w:tc>
      </w:tr>
      <w:tr w:rsidR="0061637C" w:rsidRPr="000B1292" w14:paraId="15038549"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0178564"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Utility examination fee</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51653674"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2E6D3FD" w14:textId="76FD156E"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$800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5C5F4E33" w14:textId="662C14C5"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$880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4F47EAB2" w14:textId="10CC0165"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10%</w:t>
            </w:r>
          </w:p>
        </w:tc>
      </w:tr>
      <w:tr w:rsidR="0061637C" w:rsidRPr="000B1292" w14:paraId="229CFD35"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31CF419"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Utility examination fee</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48CD2DDC"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2653568" w14:textId="4425B47D"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$320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7FBE7A25" w14:textId="758A00F7"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$352</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4960D375" w14:textId="6FA448EC"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10%</w:t>
            </w:r>
          </w:p>
        </w:tc>
      </w:tr>
      <w:tr w:rsidR="0061637C" w:rsidRPr="000B1292" w14:paraId="3FA8E8D6"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BAA9B97"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Utility examination fee</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5B1FD8AE"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6FC8698B" w14:textId="4A53F09A"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$160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7685EDA2" w14:textId="11421AF1"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$176</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AFA4EAD" w14:textId="341FB9D9"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10%</w:t>
            </w:r>
          </w:p>
        </w:tc>
      </w:tr>
      <w:tr w:rsidR="0061637C" w:rsidRPr="000B1292" w14:paraId="3DFE6A8D"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DF9371A"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Utility issue fee</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6CC3C6B8"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DAB7EBA" w14:textId="30103E9B"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$1,200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27295F0B" w14:textId="7A3E9CD8"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$1,290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792FE8AF" w14:textId="30E008E4"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8%</w:t>
            </w:r>
          </w:p>
        </w:tc>
      </w:tr>
      <w:tr w:rsidR="0061637C" w:rsidRPr="000B1292" w14:paraId="40C7F7B4"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44A6921"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Utility issue fee</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15B002E3"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1C6B8786" w14:textId="4F13F0D2"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$480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643AD6FA" w14:textId="4B0A86EC"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$516</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4056109C" w14:textId="400346EC"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8%</w:t>
            </w:r>
          </w:p>
        </w:tc>
      </w:tr>
      <w:tr w:rsidR="0061637C" w:rsidRPr="000B1292" w14:paraId="349D1845"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27695B9"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Utility issue fee</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2A5AB22D"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74722543" w14:textId="6DE6F561"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$240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5A0C6F07" w14:textId="50608EC9"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$258</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A0C4AC4" w14:textId="510D9B3C"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8%</w:t>
            </w:r>
          </w:p>
        </w:tc>
      </w:tr>
      <w:tr w:rsidR="004A7C50" w:rsidRPr="000B1292" w14:paraId="7BE09658"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hideMark/>
          </w:tcPr>
          <w:p w14:paraId="09B8EB75" w14:textId="7BF8F637" w:rsidR="004A7C50" w:rsidRPr="004A7C50" w:rsidRDefault="004A7C50" w:rsidP="004A7C50">
            <w:pPr>
              <w:spacing w:line="240" w:lineRule="auto"/>
              <w:rPr>
                <w:rFonts w:ascii="Segoe UI" w:eastAsia="Times New Roman" w:hAnsi="Segoe UI" w:cs="Segoe UI"/>
                <w:sz w:val="22"/>
              </w:rPr>
            </w:pPr>
            <w:r w:rsidRPr="004A7C50">
              <w:rPr>
                <w:rFonts w:ascii="Segoe UI" w:hAnsi="Segoe UI" w:cs="Segoe UI"/>
                <w:sz w:val="22"/>
              </w:rPr>
              <w:t>Extension for response within third month, except provisional applications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162D998F" w14:textId="77777777" w:rsidR="004A7C50" w:rsidRPr="000B1292" w:rsidRDefault="004A7C50" w:rsidP="004A7C50">
            <w:pPr>
              <w:spacing w:line="240" w:lineRule="auto"/>
              <w:rPr>
                <w:rFonts w:ascii="Segoe UI" w:eastAsia="Times New Roman" w:hAnsi="Segoe UI" w:cs="Segoe UI"/>
                <w:szCs w:val="24"/>
              </w:rPr>
            </w:pPr>
            <w:r w:rsidRPr="17CECF10">
              <w:rPr>
                <w:rFonts w:ascii="Segoe UI" w:eastAsia="Times New Roman"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6E68C34F" w14:textId="23529B4C" w:rsidR="004A7C50" w:rsidRPr="00B64020" w:rsidRDefault="004A7C50" w:rsidP="004A7C50">
            <w:pPr>
              <w:spacing w:line="240" w:lineRule="auto"/>
              <w:jc w:val="right"/>
              <w:rPr>
                <w:rFonts w:ascii="Segoe UI" w:eastAsia="Times New Roman" w:hAnsi="Segoe UI" w:cs="Segoe UI"/>
                <w:sz w:val="22"/>
              </w:rPr>
            </w:pPr>
            <w:r w:rsidRPr="00B64020">
              <w:rPr>
                <w:rFonts w:ascii="Segoe UI" w:hAnsi="Segoe UI" w:cs="Segoe UI"/>
                <w:sz w:val="22"/>
              </w:rPr>
              <w:t>$1,480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4419AF07" w14:textId="5305F943" w:rsidR="004A7C50" w:rsidRPr="00B64020" w:rsidRDefault="004A7C50" w:rsidP="004A7C50">
            <w:pPr>
              <w:spacing w:line="240" w:lineRule="auto"/>
              <w:jc w:val="right"/>
              <w:rPr>
                <w:rFonts w:ascii="Segoe UI" w:eastAsia="Times New Roman" w:hAnsi="Segoe UI" w:cs="Segoe UI"/>
                <w:sz w:val="22"/>
              </w:rPr>
            </w:pPr>
            <w:r w:rsidRPr="004A7C50">
              <w:rPr>
                <w:rFonts w:ascii="Segoe UI" w:hAnsi="Segoe UI" w:cs="Segoe UI"/>
                <w:sz w:val="22"/>
              </w:rPr>
              <w:t>$1,590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85C66CD" w14:textId="36691AE7" w:rsidR="004A7C50" w:rsidRPr="00B64020" w:rsidRDefault="004A7C50" w:rsidP="004A7C50">
            <w:pPr>
              <w:spacing w:line="240" w:lineRule="auto"/>
              <w:jc w:val="right"/>
              <w:rPr>
                <w:rFonts w:ascii="Segoe UI" w:eastAsia="Times New Roman" w:hAnsi="Segoe UI" w:cs="Segoe UI"/>
                <w:sz w:val="22"/>
              </w:rPr>
            </w:pPr>
            <w:r w:rsidRPr="004A7C50">
              <w:rPr>
                <w:rFonts w:ascii="Segoe UI" w:hAnsi="Segoe UI" w:cs="Segoe UI"/>
                <w:sz w:val="22"/>
              </w:rPr>
              <w:t>7%</w:t>
            </w:r>
          </w:p>
        </w:tc>
      </w:tr>
      <w:tr w:rsidR="004A7C50" w:rsidRPr="000B1292" w14:paraId="68B90316"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hideMark/>
          </w:tcPr>
          <w:p w14:paraId="71F49FEF" w14:textId="45647C46" w:rsidR="004A7C50" w:rsidRPr="004A7C50" w:rsidRDefault="004A7C50" w:rsidP="004A7C50">
            <w:pPr>
              <w:spacing w:line="240" w:lineRule="auto"/>
              <w:rPr>
                <w:rFonts w:ascii="Segoe UI" w:eastAsia="Times New Roman" w:hAnsi="Segoe UI" w:cs="Segoe UI"/>
                <w:sz w:val="22"/>
              </w:rPr>
            </w:pPr>
            <w:r w:rsidRPr="004A7C50">
              <w:rPr>
                <w:rFonts w:ascii="Segoe UI" w:hAnsi="Segoe UI" w:cs="Segoe UI"/>
                <w:sz w:val="22"/>
              </w:rPr>
              <w:t>Extension for response within third month, except provisional applications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50A8784D" w14:textId="77777777" w:rsidR="004A7C50" w:rsidRPr="000B1292" w:rsidRDefault="004A7C50" w:rsidP="004A7C50">
            <w:pPr>
              <w:spacing w:line="240" w:lineRule="auto"/>
              <w:rPr>
                <w:rFonts w:ascii="Segoe UI" w:eastAsia="Times New Roman" w:hAnsi="Segoe UI" w:cs="Segoe UI"/>
                <w:szCs w:val="24"/>
              </w:rPr>
            </w:pPr>
            <w:r w:rsidRPr="17CECF10">
              <w:rPr>
                <w:rFonts w:ascii="Segoe UI" w:eastAsia="Times New Roman"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6A1C1223" w14:textId="331C8A20" w:rsidR="004A7C50" w:rsidRPr="00B64020" w:rsidRDefault="004A7C50" w:rsidP="004A7C50">
            <w:pPr>
              <w:spacing w:line="240" w:lineRule="auto"/>
              <w:jc w:val="right"/>
              <w:rPr>
                <w:rFonts w:ascii="Segoe UI" w:eastAsia="Times New Roman" w:hAnsi="Segoe UI" w:cs="Segoe UI"/>
                <w:sz w:val="22"/>
              </w:rPr>
            </w:pPr>
            <w:r w:rsidRPr="00B64020">
              <w:rPr>
                <w:rFonts w:ascii="Segoe UI" w:hAnsi="Segoe UI" w:cs="Segoe UI"/>
                <w:sz w:val="22"/>
              </w:rPr>
              <w:t>$592</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51F0C5B2" w14:textId="3D17512B" w:rsidR="004A7C50" w:rsidRPr="00B64020" w:rsidRDefault="004A7C50" w:rsidP="004A7C50">
            <w:pPr>
              <w:spacing w:line="240" w:lineRule="auto"/>
              <w:jc w:val="right"/>
              <w:rPr>
                <w:rFonts w:ascii="Segoe UI" w:eastAsia="Times New Roman" w:hAnsi="Segoe UI" w:cs="Segoe UI"/>
                <w:sz w:val="22"/>
              </w:rPr>
            </w:pPr>
            <w:r w:rsidRPr="004A7C50">
              <w:rPr>
                <w:rFonts w:ascii="Segoe UI" w:hAnsi="Segoe UI" w:cs="Segoe UI"/>
                <w:sz w:val="22"/>
              </w:rPr>
              <w:t>$636</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1CDD169B" w14:textId="6958EFD1" w:rsidR="004A7C50" w:rsidRPr="00B64020" w:rsidRDefault="004A7C50" w:rsidP="004A7C50">
            <w:pPr>
              <w:spacing w:line="240" w:lineRule="auto"/>
              <w:jc w:val="right"/>
              <w:rPr>
                <w:rFonts w:ascii="Segoe UI" w:eastAsia="Times New Roman" w:hAnsi="Segoe UI" w:cs="Segoe UI"/>
                <w:sz w:val="22"/>
              </w:rPr>
            </w:pPr>
            <w:r w:rsidRPr="004A7C50">
              <w:rPr>
                <w:rFonts w:ascii="Segoe UI" w:hAnsi="Segoe UI" w:cs="Segoe UI"/>
                <w:sz w:val="22"/>
              </w:rPr>
              <w:t>7%</w:t>
            </w:r>
          </w:p>
        </w:tc>
      </w:tr>
      <w:tr w:rsidR="004A7C50" w:rsidRPr="000B1292" w14:paraId="5717CEE9"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hideMark/>
          </w:tcPr>
          <w:p w14:paraId="1CB84779" w14:textId="1A20B1E7" w:rsidR="004A7C50" w:rsidRPr="004A7C50" w:rsidRDefault="004A7C50" w:rsidP="004A7C50">
            <w:pPr>
              <w:spacing w:line="240" w:lineRule="auto"/>
              <w:rPr>
                <w:rFonts w:ascii="Segoe UI" w:eastAsia="Times New Roman" w:hAnsi="Segoe UI" w:cs="Segoe UI"/>
                <w:sz w:val="22"/>
              </w:rPr>
            </w:pPr>
            <w:r w:rsidRPr="004A7C50">
              <w:rPr>
                <w:rFonts w:ascii="Segoe UI" w:hAnsi="Segoe UI" w:cs="Segoe UI"/>
                <w:sz w:val="22"/>
              </w:rPr>
              <w:t>Extension for response within third month, except provisional applications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649AB6AF" w14:textId="77777777" w:rsidR="004A7C50" w:rsidRPr="000B1292" w:rsidRDefault="004A7C50" w:rsidP="004A7C50">
            <w:pPr>
              <w:spacing w:line="240" w:lineRule="auto"/>
              <w:rPr>
                <w:rFonts w:ascii="Segoe UI" w:eastAsia="Times New Roman" w:hAnsi="Segoe UI" w:cs="Segoe UI"/>
                <w:szCs w:val="24"/>
              </w:rPr>
            </w:pPr>
            <w:r w:rsidRPr="17CECF10">
              <w:rPr>
                <w:rFonts w:ascii="Segoe UI" w:eastAsia="Times New Roman"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1E5F4D97" w14:textId="68EBCD75" w:rsidR="004A7C50" w:rsidRPr="00B64020" w:rsidRDefault="004A7C50" w:rsidP="004A7C50">
            <w:pPr>
              <w:spacing w:line="240" w:lineRule="auto"/>
              <w:jc w:val="right"/>
              <w:rPr>
                <w:rFonts w:ascii="Segoe UI" w:eastAsia="Times New Roman" w:hAnsi="Segoe UI" w:cs="Segoe UI"/>
                <w:sz w:val="22"/>
              </w:rPr>
            </w:pPr>
            <w:r w:rsidRPr="00B64020">
              <w:rPr>
                <w:rFonts w:ascii="Segoe UI" w:hAnsi="Segoe UI" w:cs="Segoe UI"/>
                <w:sz w:val="22"/>
              </w:rPr>
              <w:t>$296</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4930508E" w14:textId="3ABBA168" w:rsidR="004A7C50" w:rsidRPr="00B64020" w:rsidRDefault="004A7C50" w:rsidP="004A7C50">
            <w:pPr>
              <w:spacing w:line="240" w:lineRule="auto"/>
              <w:jc w:val="right"/>
              <w:rPr>
                <w:rFonts w:ascii="Segoe UI" w:eastAsia="Times New Roman" w:hAnsi="Segoe UI" w:cs="Segoe UI"/>
                <w:sz w:val="22"/>
              </w:rPr>
            </w:pPr>
            <w:r w:rsidRPr="004A7C50">
              <w:rPr>
                <w:rFonts w:ascii="Segoe UI" w:hAnsi="Segoe UI" w:cs="Segoe UI"/>
                <w:sz w:val="22"/>
              </w:rPr>
              <w:t>$318</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5D8F21FD" w14:textId="70075716" w:rsidR="004A7C50" w:rsidRPr="00B64020" w:rsidRDefault="004A7C50" w:rsidP="004A7C50">
            <w:pPr>
              <w:spacing w:line="240" w:lineRule="auto"/>
              <w:jc w:val="right"/>
              <w:rPr>
                <w:rFonts w:ascii="Segoe UI" w:eastAsia="Times New Roman" w:hAnsi="Segoe UI" w:cs="Segoe UI"/>
                <w:sz w:val="22"/>
              </w:rPr>
            </w:pPr>
            <w:r w:rsidRPr="004A7C50">
              <w:rPr>
                <w:rFonts w:ascii="Segoe UI" w:hAnsi="Segoe UI" w:cs="Segoe UI"/>
                <w:sz w:val="22"/>
              </w:rPr>
              <w:t>7%</w:t>
            </w:r>
          </w:p>
        </w:tc>
      </w:tr>
      <w:tr w:rsidR="0061637C" w:rsidRPr="000B1292" w14:paraId="7BD2B82F"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7699EFB"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Extension for response within third month, except provisional applications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3A04D0F6"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65D135AC" w14:textId="3935E78F"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$1,480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2604EC31" w14:textId="64011B8F"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$1,590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5E5CC13" w14:textId="6324D634"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7%</w:t>
            </w:r>
          </w:p>
        </w:tc>
      </w:tr>
      <w:tr w:rsidR="0061637C" w:rsidRPr="000B1292" w14:paraId="2B5481AE"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DF0E79F"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Extension for response within third month, except provisional applications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7DF2A509"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60B24826" w14:textId="198B2926"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$592</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3286B9A4" w14:textId="0AB65560"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$636</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758C8844" w14:textId="71B2DF75"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7%</w:t>
            </w:r>
          </w:p>
        </w:tc>
      </w:tr>
      <w:tr w:rsidR="0061637C" w:rsidRPr="000B1292" w14:paraId="312009EE"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3FFB61E"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Extension for response within third month, except provisional applications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63FA88CB"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1D5EC32B" w14:textId="0FF5EAB1"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$296</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5771FFEB" w14:textId="68393F39"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$318</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4B73B628" w14:textId="4E7423C2"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7%</w:t>
            </w:r>
          </w:p>
        </w:tc>
      </w:tr>
      <w:tr w:rsidR="0061637C" w:rsidRPr="000B1292" w14:paraId="1FA22FD7"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529AA6E"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For maintaining an original or any reissue patent, due at 3.5 years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1A7C15EE"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5620861" w14:textId="773B4D03"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$2,000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3CE83E91" w14:textId="39066E17"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$2,150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4B50589" w14:textId="36B0D6C6"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8%</w:t>
            </w:r>
          </w:p>
        </w:tc>
      </w:tr>
      <w:tr w:rsidR="0061637C" w:rsidRPr="000B1292" w14:paraId="5CD4F3C4"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C120121"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lastRenderedPageBreak/>
              <w:t>For maintaining an original or any reissue patent, due at 3.5 years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49C22767"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86E8125" w14:textId="46BA47E4"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$800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025D4369" w14:textId="7364C001"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$860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4EEFB3E3" w14:textId="744A99FB"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8%</w:t>
            </w:r>
          </w:p>
        </w:tc>
      </w:tr>
      <w:tr w:rsidR="0061637C" w:rsidRPr="000B1292" w14:paraId="21063728"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098910C"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For maintaining an original or any reissue patent, due at 3.5 years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28017A50"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5BBE19C4" w14:textId="7B26DFD2"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$400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26EF51B7" w14:textId="1D656610"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$430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461EA755" w14:textId="7B902891"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8%</w:t>
            </w:r>
          </w:p>
        </w:tc>
      </w:tr>
      <w:tr w:rsidR="0061637C" w:rsidRPr="000B1292" w14:paraId="74FF1D6F"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67EB3C1"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For maintaining an original or any reissue patent, due at 7.5 years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45C2ABC2"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5844179A" w14:textId="56094782"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$3,760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474A5EE3" w14:textId="3D091BF2"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$4,040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B27128B" w14:textId="68F9887B"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7%</w:t>
            </w:r>
          </w:p>
        </w:tc>
      </w:tr>
      <w:tr w:rsidR="0061637C" w:rsidRPr="000B1292" w14:paraId="330718C4"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A191B57"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For maintaining an original or any reissue patent, due at 7.5 years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303AC7BA"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5A0CEC6E" w14:textId="2181E4F6"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$1,504</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3CD72B33" w14:textId="0F39873D"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$1,616</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5A12B4E" w14:textId="60E852D1"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7%</w:t>
            </w:r>
          </w:p>
        </w:tc>
      </w:tr>
      <w:tr w:rsidR="0061637C" w:rsidRPr="000B1292" w14:paraId="5CE1A5B4"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24DF158"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For maintaining an original or any reissue patent, due at 7.5 years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73308426"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74A9513" w14:textId="2D05E8C8"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$752</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7345C9B3" w14:textId="56C00E48"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$808</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5757C306" w14:textId="7FE6FC52"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7%</w:t>
            </w:r>
          </w:p>
        </w:tc>
      </w:tr>
      <w:tr w:rsidR="0061637C" w:rsidRPr="000B1292" w14:paraId="397D6E4E"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79ED324"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For maintaining an original or any reissue patent, due at 11.5 years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0316E360"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01D7E71" w14:textId="20F0C0E4"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$7,700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2688811B" w14:textId="4F24B169"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$8,280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5DCDC14C" w14:textId="7B5458DE"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8%</w:t>
            </w:r>
          </w:p>
        </w:tc>
      </w:tr>
      <w:tr w:rsidR="0061637C" w:rsidRPr="000B1292" w14:paraId="2CC83669"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BFD7D2E"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For maintaining an original or any reissue patent, due at 11.5 years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66B81531"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F11DD94" w14:textId="4DB6E707"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$3,080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2B6E5C5F" w14:textId="7CC9E83B"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$3,312</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43DA67AD" w14:textId="1D2FA162"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8%</w:t>
            </w:r>
          </w:p>
        </w:tc>
      </w:tr>
      <w:tr w:rsidR="0061637C" w:rsidRPr="000B1292" w14:paraId="7C909633"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7DC1677"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For maintaining an original or any reissue patent, due at 11.5 years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71568F2C"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0BF70D0" w14:textId="68DF26D4"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$1,540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6B57AFB4" w14:textId="53E1758C"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$1,656</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1DFC8BEC" w14:textId="771B9C6A"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8%</w:t>
            </w:r>
          </w:p>
        </w:tc>
      </w:tr>
      <w:tr w:rsidR="0061637C" w:rsidRPr="000B1292" w14:paraId="1F758C66"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1DF2EF1"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Request for prioritized examination</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7A18BCAC"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20B0C9F" w14:textId="0B67503B"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$4,200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1CEFE63D" w14:textId="157DAF25"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$4,515</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A6067A9" w14:textId="62F42DD0"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8%</w:t>
            </w:r>
          </w:p>
        </w:tc>
      </w:tr>
      <w:tr w:rsidR="0061637C" w:rsidRPr="000B1292" w14:paraId="3DA95DE7"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B97DBE6"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Request for prioritized examination</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0BDC0543"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12C294D0" w14:textId="11B4CB67"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$1,680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4DD3AF40" w14:textId="5FEBE14B"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$1,806</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4CF71339" w14:textId="673D0004"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8%</w:t>
            </w:r>
          </w:p>
        </w:tc>
      </w:tr>
      <w:tr w:rsidR="0061637C" w:rsidRPr="000B1292" w14:paraId="59550EC2"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5844BD9"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Request for prioritized examination</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5F5E9102"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49EDD703" w14:textId="772EE0E5"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$840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445E6D66" w14:textId="5C76AB8C"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$903</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7597BDB0" w14:textId="609CFB0B"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8%</w:t>
            </w:r>
          </w:p>
        </w:tc>
      </w:tr>
      <w:tr w:rsidR="0061637C" w:rsidRPr="000B1292" w14:paraId="0C22FE29"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F241234" w14:textId="7FA66E35"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Request for continued examination (RCE) - 1st request (see 37 CFR 1.114)</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15DB13AF"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108EDC4C" w14:textId="4FA00B86"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$1,360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53A5FA2B" w14:textId="49E70293"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$1,500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17B240E" w14:textId="0D8F6246"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10%</w:t>
            </w:r>
          </w:p>
        </w:tc>
      </w:tr>
      <w:tr w:rsidR="0061637C" w:rsidRPr="000B1292" w14:paraId="05847353"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57D32E7" w14:textId="1ECB06EA"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Request for continued examination (RCE) - 1st request (see 37 CFR 1.114)</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1F1690C0"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FBBDE81" w14:textId="3E5A94A6"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$544</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2553E304" w14:textId="34057694"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$600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1E38D65D" w14:textId="086C04F6"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10%</w:t>
            </w:r>
          </w:p>
        </w:tc>
      </w:tr>
      <w:tr w:rsidR="0061637C" w:rsidRPr="000B1292" w14:paraId="0F1EDD04"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548D9D8" w14:textId="70689C8D"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Request for continued examination (RCE) - 1st request (see 37 CFR 1.114)</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16DA1122"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46CFFAC6" w14:textId="50A2D02D"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$272</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33D46B53" w14:textId="111921F9"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$300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7726307B" w14:textId="7D55F551"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10%</w:t>
            </w:r>
          </w:p>
        </w:tc>
      </w:tr>
      <w:tr w:rsidR="0061637C" w:rsidRPr="000B1292" w14:paraId="64EA6841"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E119F85" w14:textId="1071365E"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Request for continued examination (RCE) - 2nd and subsequent request (see 37 CFR 1.114)</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75218C93"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31AECBF" w14:textId="0C38F5D9"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$2,000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5AF93347" w14:textId="003C35A4"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$2,860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531071B" w14:textId="711FED32"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43%</w:t>
            </w:r>
          </w:p>
        </w:tc>
      </w:tr>
      <w:tr w:rsidR="0061637C" w:rsidRPr="000B1292" w14:paraId="7768D727"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FAE7077" w14:textId="0E9C940A"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Request for continued examination (RCE) - 2nd and subsequent request (see 37 CFR 1.114)</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321D3975"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6320822" w14:textId="20E283B6"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$800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686ED6E4" w14:textId="2CE39A43"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$1,144</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7F36E129" w14:textId="395E1474"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43%</w:t>
            </w:r>
          </w:p>
        </w:tc>
      </w:tr>
      <w:tr w:rsidR="0061637C" w:rsidRPr="000B1292" w14:paraId="0CF3F06A"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C12FDB7" w14:textId="5779DE59"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Request for continued examination (RCE) - 2nd and subsequent request (see 37 CFR 1.114)</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4F9C0369"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F3BBA3F" w14:textId="32A1C698"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$400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2164DA55" w14:textId="034C8F49"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$572</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518A162" w14:textId="71DA1EF5"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43%</w:t>
            </w:r>
          </w:p>
        </w:tc>
      </w:tr>
      <w:tr w:rsidR="0061637C" w:rsidRPr="000B1292" w14:paraId="18C9B384"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C682D97"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Basic national stage fee</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23A9EBA3"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48C18C0E" w14:textId="2B21A3BC"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$320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4426C5A2" w14:textId="44933053"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$350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1E78BBCF" w14:textId="72E98A61"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9%</w:t>
            </w:r>
          </w:p>
        </w:tc>
      </w:tr>
      <w:tr w:rsidR="0061637C" w:rsidRPr="000B1292" w14:paraId="5F70908B"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CF89517"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Basic national stage fee</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377C476E"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5CD2A04" w14:textId="5DB1C681"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$128</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1AD1BA3D" w14:textId="0819215A"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$140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7AE28761" w14:textId="2C31EE94"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9%</w:t>
            </w:r>
          </w:p>
        </w:tc>
      </w:tr>
      <w:tr w:rsidR="0061637C" w:rsidRPr="000B1292" w14:paraId="5E309C73"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C660B85"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Basic national stage fee</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71D4E426"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F41894F" w14:textId="47212F0B"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$64</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603D46C8" w14:textId="5F169F6C"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$70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9D15181" w14:textId="25F43B2B"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9%</w:t>
            </w:r>
          </w:p>
        </w:tc>
      </w:tr>
      <w:tr w:rsidR="0061637C" w:rsidRPr="000B1292" w14:paraId="0067FE5F"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9EED8C6" w14:textId="7CB70B9E"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National stage search fee - search report prepared and provided to USPTO</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2AFED41C"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D1C0826" w14:textId="01EED7B1"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$540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07714258" w14:textId="42D55287"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$580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1F0AE7B6" w14:textId="6433176E"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7%</w:t>
            </w:r>
          </w:p>
        </w:tc>
      </w:tr>
      <w:tr w:rsidR="0061637C" w:rsidRPr="000B1292" w14:paraId="5FCD1706"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0964067" w14:textId="04BAB69E"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lastRenderedPageBreak/>
              <w:t>National stage search fee - search report prepared and provided to USPTO</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0F318A9C"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7A9F46B4" w14:textId="0CCBEBDA"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$216</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4B6864E5" w14:textId="0623B668"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$232</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7EF3889E" w14:textId="6BD3D765"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7%</w:t>
            </w:r>
          </w:p>
        </w:tc>
      </w:tr>
      <w:tr w:rsidR="0061637C" w:rsidRPr="000B1292" w14:paraId="4CC00D08"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9F9244F" w14:textId="60D8844B"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National stage search fee - search report prepared and provided to USPTO</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45F2D074"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F33BF3F" w14:textId="23196DB4"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$108</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4F3C83D7" w14:textId="21925587"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$116</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5F9AB289" w14:textId="5AB3F46D"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7%</w:t>
            </w:r>
          </w:p>
        </w:tc>
      </w:tr>
      <w:tr w:rsidR="0061637C" w:rsidRPr="000B1292" w14:paraId="2E9EED3B"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EC0CEE2" w14:textId="7F6E791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National stage examination fee - all other situations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45CDB248"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7F3D497F" w14:textId="05E7EC4C"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$800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6D398911" w14:textId="2D60C154"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$880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534C3BCC" w14:textId="5B6EF79A"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10%</w:t>
            </w:r>
          </w:p>
        </w:tc>
      </w:tr>
      <w:tr w:rsidR="0061637C" w:rsidRPr="000B1292" w14:paraId="7F41FFA9"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1FFCE65" w14:textId="76901AFD"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National stage examination fee - all other situations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6D9DC9FC"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595ACBD2" w14:textId="73E58350"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$320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0B4A1A1F" w14:textId="46EB7F0F"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$352</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4D8E124" w14:textId="4F7FCB72"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10%</w:t>
            </w:r>
          </w:p>
        </w:tc>
      </w:tr>
      <w:tr w:rsidR="0061637C" w:rsidRPr="000B1292" w14:paraId="651819EA"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1F9F194" w14:textId="490756DB"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National stage examination fee - all other situations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0CB585EC" w14:textId="77777777" w:rsidR="0061637C" w:rsidRPr="000B1292" w:rsidRDefault="0061637C" w:rsidP="0061637C">
            <w:pPr>
              <w:spacing w:line="240" w:lineRule="auto"/>
              <w:rPr>
                <w:rFonts w:ascii="Segoe UI" w:eastAsia="Times New Roman" w:hAnsi="Segoe UI" w:cs="Segoe UI"/>
                <w:szCs w:val="24"/>
              </w:rPr>
            </w:pPr>
            <w:r w:rsidRPr="17CECF10">
              <w:rPr>
                <w:rFonts w:ascii="Segoe UI" w:eastAsia="Times New Roman"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ADF6954" w14:textId="53764AF9"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$160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57D89700" w14:textId="7C271B34" w:rsidR="0061637C" w:rsidRPr="00B64020" w:rsidRDefault="0061637C" w:rsidP="008117B4">
            <w:pPr>
              <w:spacing w:line="240" w:lineRule="auto"/>
              <w:jc w:val="right"/>
              <w:rPr>
                <w:rFonts w:ascii="Segoe UI" w:eastAsia="Times New Roman" w:hAnsi="Segoe UI" w:cs="Segoe UI"/>
                <w:sz w:val="22"/>
              </w:rPr>
            </w:pPr>
            <w:r w:rsidRPr="00B64020">
              <w:rPr>
                <w:rFonts w:ascii="Segoe UI" w:hAnsi="Segoe UI" w:cs="Segoe UI"/>
                <w:sz w:val="22"/>
              </w:rPr>
              <w:t>$176</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B25D2E3" w14:textId="1E2018AF" w:rsidR="0061637C" w:rsidRPr="00B64020" w:rsidRDefault="0061637C">
            <w:pPr>
              <w:spacing w:line="240" w:lineRule="auto"/>
              <w:jc w:val="right"/>
              <w:rPr>
                <w:rFonts w:ascii="Segoe UI" w:eastAsia="Times New Roman" w:hAnsi="Segoe UI" w:cs="Segoe UI"/>
                <w:sz w:val="22"/>
              </w:rPr>
            </w:pPr>
            <w:r w:rsidRPr="00B64020">
              <w:rPr>
                <w:rFonts w:ascii="Segoe UI" w:hAnsi="Segoe UI" w:cs="Segoe UI"/>
                <w:sz w:val="22"/>
              </w:rPr>
              <w:t>10%</w:t>
            </w:r>
          </w:p>
        </w:tc>
      </w:tr>
    </w:tbl>
    <w:p w14:paraId="74DBA4AA" w14:textId="77777777" w:rsidR="00955543" w:rsidRPr="008E4091" w:rsidRDefault="00955543" w:rsidP="008E4091"/>
    <w:p w14:paraId="40AA8C98" w14:textId="2E793C2A" w:rsidR="00352628" w:rsidRPr="009362A3" w:rsidRDefault="2C604E1F" w:rsidP="000F20DC">
      <w:pPr>
        <w:pStyle w:val="Heading3Numbering"/>
        <w:numPr>
          <w:ilvl w:val="2"/>
          <w:numId w:val="14"/>
        </w:numPr>
        <w:rPr>
          <w:rFonts w:ascii="Segoee ui" w:hAnsi="Segoee ui" w:hint="eastAsia"/>
        </w:rPr>
      </w:pPr>
      <w:r w:rsidRPr="524BF87A">
        <w:rPr>
          <w:rFonts w:ascii="Segoee ui" w:hAnsi="Segoee ui"/>
        </w:rPr>
        <w:t xml:space="preserve">Costs of </w:t>
      </w:r>
      <w:r w:rsidR="000F20DC">
        <w:rPr>
          <w:rFonts w:ascii="Segoee ui" w:hAnsi="Segoee ui"/>
        </w:rPr>
        <w:t>Final</w:t>
      </w:r>
      <w:r w:rsidRPr="524BF87A">
        <w:rPr>
          <w:rFonts w:ascii="Segoee ui" w:hAnsi="Segoee ui"/>
        </w:rPr>
        <w:t xml:space="preserve"> </w:t>
      </w:r>
      <w:r w:rsidR="53440760" w:rsidRPr="524BF87A">
        <w:rPr>
          <w:rFonts w:ascii="Segoee ui" w:hAnsi="Segoee ui"/>
        </w:rPr>
        <w:t xml:space="preserve">Patent </w:t>
      </w:r>
      <w:r w:rsidRPr="524BF87A">
        <w:rPr>
          <w:rFonts w:ascii="Segoee ui" w:hAnsi="Segoee ui"/>
        </w:rPr>
        <w:t>Fee Schedule</w:t>
      </w:r>
      <w:r w:rsidR="6D76712D" w:rsidRPr="524BF87A">
        <w:rPr>
          <w:rFonts w:ascii="Segoee ui" w:hAnsi="Segoee ui"/>
        </w:rPr>
        <w:t xml:space="preserve"> (Alternative 1)</w:t>
      </w:r>
    </w:p>
    <w:p w14:paraId="64E271D8" w14:textId="78D1E880" w:rsidR="003F546D" w:rsidRPr="00CF6436" w:rsidRDefault="4D925493" w:rsidP="524BF87A">
      <w:pPr>
        <w:spacing w:line="360" w:lineRule="auto"/>
        <w:ind w:firstLine="450"/>
        <w:rPr>
          <w:rFonts w:ascii="Segoe UI" w:hAnsi="Segoe UI" w:cs="Segoe UI"/>
        </w:rPr>
      </w:pPr>
      <w:r w:rsidRPr="524BF87A">
        <w:rPr>
          <w:rFonts w:ascii="Segoe UI" w:hAnsi="Segoe UI" w:cs="Segoe UI"/>
        </w:rPr>
        <w:t>The USPTO identified n</w:t>
      </w:r>
      <w:r w:rsidR="71B9711B" w:rsidRPr="524BF87A">
        <w:rPr>
          <w:rFonts w:ascii="Segoe UI" w:hAnsi="Segoe UI" w:cs="Segoe UI"/>
        </w:rPr>
        <w:t>o</w:t>
      </w:r>
      <w:r w:rsidR="03A7BBE8" w:rsidRPr="524BF87A">
        <w:rPr>
          <w:rFonts w:ascii="Segoe UI" w:hAnsi="Segoe UI" w:cs="Segoe UI"/>
        </w:rPr>
        <w:t xml:space="preserve"> qualitative costs </w:t>
      </w:r>
      <w:r w:rsidRPr="524BF87A">
        <w:rPr>
          <w:rFonts w:ascii="Segoe UI" w:hAnsi="Segoe UI" w:cs="Segoe UI"/>
        </w:rPr>
        <w:t xml:space="preserve">for the </w:t>
      </w:r>
      <w:r w:rsidR="000F20DC">
        <w:rPr>
          <w:rFonts w:ascii="Segoe UI" w:hAnsi="Segoe UI" w:cs="Segoe UI"/>
        </w:rPr>
        <w:t>Final</w:t>
      </w:r>
      <w:r w:rsidRPr="524BF87A">
        <w:rPr>
          <w:rFonts w:ascii="Segoe UI" w:hAnsi="Segoe UI" w:cs="Segoe UI"/>
        </w:rPr>
        <w:t xml:space="preserve"> Patent Fee Schedule.</w:t>
      </w:r>
      <w:r w:rsidR="6558CFEB" w:rsidRPr="524BF87A">
        <w:rPr>
          <w:rFonts w:ascii="Segoe UI" w:hAnsi="Segoe UI" w:cs="Segoe UI"/>
        </w:rPr>
        <w:t xml:space="preserve"> </w:t>
      </w:r>
      <w:r w:rsidR="03A7BBE8" w:rsidRPr="524BF87A">
        <w:rPr>
          <w:rFonts w:ascii="Segoe UI" w:hAnsi="Segoe UI" w:cs="Segoe UI"/>
        </w:rPr>
        <w:t xml:space="preserve">The fee rates recover enough aggregate revenue to support the </w:t>
      </w:r>
      <w:r w:rsidR="52A9BACA" w:rsidRPr="524BF87A">
        <w:rPr>
          <w:rFonts w:ascii="Segoe UI" w:hAnsi="Segoe UI" w:cs="Segoe UI"/>
        </w:rPr>
        <w:t>USPTO’s</w:t>
      </w:r>
      <w:r w:rsidR="03A7BBE8" w:rsidRPr="524BF87A">
        <w:rPr>
          <w:rFonts w:ascii="Segoe UI" w:hAnsi="Segoe UI" w:cs="Segoe UI"/>
        </w:rPr>
        <w:t xml:space="preserve"> goals</w:t>
      </w:r>
      <w:r w:rsidR="00B14348">
        <w:rPr>
          <w:rFonts w:ascii="Segoe UI" w:hAnsi="Segoe UI" w:cs="Segoe UI"/>
        </w:rPr>
        <w:t xml:space="preserve"> as laid out in the FY 2025 budget</w:t>
      </w:r>
      <w:r w:rsidR="03A7BBE8" w:rsidRPr="524BF87A">
        <w:rPr>
          <w:rFonts w:ascii="Segoe UI" w:hAnsi="Segoe UI" w:cs="Segoe UI"/>
        </w:rPr>
        <w:t>, and there is no cost to the fee schedule design.</w:t>
      </w:r>
    </w:p>
    <w:p w14:paraId="75E62CE5" w14:textId="1910ECEA" w:rsidR="0C375D48" w:rsidRPr="00CF6436" w:rsidRDefault="0C375D48" w:rsidP="00CF6436">
      <w:pPr>
        <w:spacing w:line="360" w:lineRule="auto"/>
        <w:ind w:firstLine="720"/>
        <w:rPr>
          <w:rFonts w:ascii="Segoe UI" w:hAnsi="Segoe UI" w:cs="Segoe UI"/>
        </w:rPr>
      </w:pPr>
    </w:p>
    <w:p w14:paraId="5E3649A7" w14:textId="68291E60" w:rsidR="007356DF" w:rsidRPr="00CF6436" w:rsidRDefault="12D0AA15" w:rsidP="000F20DC">
      <w:pPr>
        <w:pStyle w:val="Heading3Numbering"/>
        <w:numPr>
          <w:ilvl w:val="2"/>
          <w:numId w:val="14"/>
        </w:numPr>
        <w:spacing w:line="360" w:lineRule="auto"/>
        <w:rPr>
          <w:rFonts w:ascii="Segoe UI" w:hAnsi="Segoe UI" w:cs="Segoe UI"/>
        </w:rPr>
      </w:pPr>
      <w:r w:rsidRPr="524BF87A">
        <w:rPr>
          <w:rFonts w:ascii="Segoe UI" w:hAnsi="Segoe UI" w:cs="Segoe UI"/>
        </w:rPr>
        <w:t xml:space="preserve">Benefits of </w:t>
      </w:r>
      <w:r w:rsidR="000F20DC">
        <w:rPr>
          <w:rFonts w:ascii="Segoe UI" w:hAnsi="Segoe UI" w:cs="Segoe UI"/>
        </w:rPr>
        <w:t>Final</w:t>
      </w:r>
      <w:r w:rsidRPr="524BF87A">
        <w:rPr>
          <w:rFonts w:ascii="Segoe UI" w:hAnsi="Segoe UI" w:cs="Segoe UI"/>
        </w:rPr>
        <w:t xml:space="preserve"> </w:t>
      </w:r>
      <w:r w:rsidR="53440760" w:rsidRPr="524BF87A">
        <w:rPr>
          <w:rFonts w:ascii="Segoe UI" w:hAnsi="Segoe UI" w:cs="Segoe UI"/>
        </w:rPr>
        <w:t xml:space="preserve">Patent </w:t>
      </w:r>
      <w:r w:rsidRPr="524BF87A">
        <w:rPr>
          <w:rFonts w:ascii="Segoe UI" w:hAnsi="Segoe UI" w:cs="Segoe UI"/>
        </w:rPr>
        <w:t>Fee Schedule</w:t>
      </w:r>
      <w:r w:rsidR="15867DB7" w:rsidRPr="524BF87A">
        <w:rPr>
          <w:rFonts w:ascii="Segoe UI" w:hAnsi="Segoe UI" w:cs="Segoe UI"/>
        </w:rPr>
        <w:t xml:space="preserve"> (Alternative 1)</w:t>
      </w:r>
    </w:p>
    <w:p w14:paraId="1C814890" w14:textId="4B1F9FAC" w:rsidR="003F546D" w:rsidRPr="007E342E" w:rsidRDefault="00A343BD" w:rsidP="524BF87A">
      <w:pPr>
        <w:spacing w:line="360" w:lineRule="auto"/>
        <w:ind w:firstLine="450"/>
        <w:rPr>
          <w:rFonts w:ascii="Segoe UI" w:hAnsi="Segoe UI" w:cs="Segoe UI"/>
        </w:rPr>
      </w:pPr>
      <w:r w:rsidRPr="524BF87A">
        <w:rPr>
          <w:rFonts w:ascii="Segoe UI" w:hAnsi="Segoe UI" w:cs="Segoe UI"/>
        </w:rPr>
        <w:t>T</w:t>
      </w:r>
      <w:r w:rsidR="6C404517" w:rsidRPr="524BF87A">
        <w:rPr>
          <w:rFonts w:ascii="Segoe UI" w:hAnsi="Segoe UI" w:cs="Segoe UI"/>
        </w:rPr>
        <w:t>he USPTO identified t</w:t>
      </w:r>
      <w:r w:rsidRPr="524BF87A">
        <w:rPr>
          <w:rFonts w:ascii="Segoe UI" w:hAnsi="Segoe UI" w:cs="Segoe UI"/>
        </w:rPr>
        <w:t xml:space="preserve">wo </w:t>
      </w:r>
      <w:r w:rsidR="42F3E46B" w:rsidRPr="524BF87A">
        <w:rPr>
          <w:rFonts w:ascii="Segoe UI" w:hAnsi="Segoe UI" w:cs="Segoe UI"/>
        </w:rPr>
        <w:t xml:space="preserve">benefits </w:t>
      </w:r>
      <w:r w:rsidR="1E4A2701" w:rsidRPr="524BF87A">
        <w:rPr>
          <w:rFonts w:ascii="Segoe UI" w:hAnsi="Segoe UI" w:cs="Segoe UI"/>
        </w:rPr>
        <w:t xml:space="preserve">of </w:t>
      </w:r>
      <w:r w:rsidR="370712DE" w:rsidRPr="524BF87A">
        <w:rPr>
          <w:rFonts w:ascii="Segoe UI" w:hAnsi="Segoe UI" w:cs="Segoe UI"/>
        </w:rPr>
        <w:t xml:space="preserve">the </w:t>
      </w:r>
      <w:r w:rsidR="000F20DC">
        <w:rPr>
          <w:rFonts w:ascii="Segoe UI" w:hAnsi="Segoe UI" w:cs="Segoe UI"/>
        </w:rPr>
        <w:t>Final</w:t>
      </w:r>
      <w:r w:rsidR="370712DE" w:rsidRPr="524BF87A">
        <w:rPr>
          <w:rFonts w:ascii="Segoe UI" w:hAnsi="Segoe UI" w:cs="Segoe UI"/>
        </w:rPr>
        <w:t xml:space="preserve"> </w:t>
      </w:r>
      <w:r w:rsidR="0B93C04B" w:rsidRPr="524BF87A">
        <w:rPr>
          <w:rFonts w:ascii="Segoe UI" w:hAnsi="Segoe UI" w:cs="Segoe UI"/>
        </w:rPr>
        <w:t xml:space="preserve">Patent </w:t>
      </w:r>
      <w:r w:rsidR="370712DE" w:rsidRPr="524BF87A">
        <w:rPr>
          <w:rFonts w:ascii="Segoe UI" w:hAnsi="Segoe UI" w:cs="Segoe UI"/>
        </w:rPr>
        <w:t>Fee Schedule (</w:t>
      </w:r>
      <w:r w:rsidR="42F3E46B" w:rsidRPr="524BF87A">
        <w:rPr>
          <w:rFonts w:ascii="Segoe UI" w:hAnsi="Segoe UI" w:cs="Segoe UI"/>
        </w:rPr>
        <w:t>Alternative 1</w:t>
      </w:r>
      <w:r w:rsidR="370712DE" w:rsidRPr="524BF87A">
        <w:rPr>
          <w:rFonts w:ascii="Segoe UI" w:hAnsi="Segoe UI" w:cs="Segoe UI"/>
        </w:rPr>
        <w:t>)</w:t>
      </w:r>
      <w:r w:rsidR="42F3E46B" w:rsidRPr="524BF87A">
        <w:rPr>
          <w:rFonts w:ascii="Segoe UI" w:hAnsi="Segoe UI" w:cs="Segoe UI"/>
        </w:rPr>
        <w:t>:</w:t>
      </w:r>
      <w:r w:rsidR="4A906036" w:rsidRPr="524BF87A">
        <w:rPr>
          <w:rFonts w:ascii="Segoe UI" w:hAnsi="Segoe UI" w:cs="Segoe UI"/>
        </w:rPr>
        <w:t xml:space="preserve"> </w:t>
      </w:r>
      <w:r w:rsidR="134EA771" w:rsidRPr="524BF87A">
        <w:rPr>
          <w:rFonts w:ascii="Segoe UI" w:hAnsi="Segoe UI" w:cs="Segoe UI"/>
        </w:rPr>
        <w:t xml:space="preserve">(1) </w:t>
      </w:r>
      <w:r w:rsidR="42F3E46B" w:rsidRPr="524BF87A">
        <w:rPr>
          <w:rFonts w:ascii="Segoe UI" w:hAnsi="Segoe UI" w:cs="Segoe UI"/>
        </w:rPr>
        <w:t>fee schedule design benefits</w:t>
      </w:r>
      <w:r w:rsidR="1E4A2701" w:rsidRPr="524BF87A">
        <w:rPr>
          <w:rFonts w:ascii="Segoe UI" w:hAnsi="Segoe UI" w:cs="Segoe UI"/>
        </w:rPr>
        <w:t>;</w:t>
      </w:r>
      <w:r w:rsidR="42F3E46B" w:rsidRPr="524BF87A">
        <w:rPr>
          <w:rFonts w:ascii="Segoe UI" w:hAnsi="Segoe UI" w:cs="Segoe UI"/>
        </w:rPr>
        <w:t xml:space="preserve"> and </w:t>
      </w:r>
      <w:r w:rsidR="134EA771" w:rsidRPr="524BF87A">
        <w:rPr>
          <w:rFonts w:ascii="Segoe UI" w:hAnsi="Segoe UI" w:cs="Segoe UI"/>
        </w:rPr>
        <w:t xml:space="preserve">(2) </w:t>
      </w:r>
      <w:r w:rsidR="221ECE73" w:rsidRPr="524BF87A">
        <w:rPr>
          <w:rFonts w:ascii="Segoe UI" w:hAnsi="Segoe UI" w:cs="Segoe UI"/>
        </w:rPr>
        <w:t>secur</w:t>
      </w:r>
      <w:r w:rsidR="42F3E46B" w:rsidRPr="524BF87A">
        <w:rPr>
          <w:rFonts w:ascii="Segoe UI" w:hAnsi="Segoe UI" w:cs="Segoe UI"/>
        </w:rPr>
        <w:t>ing</w:t>
      </w:r>
      <w:r w:rsidR="221ECE73" w:rsidRPr="524BF87A">
        <w:rPr>
          <w:rFonts w:ascii="Segoe UI" w:hAnsi="Segoe UI" w:cs="Segoe UI"/>
        </w:rPr>
        <w:t xml:space="preserve"> </w:t>
      </w:r>
      <w:r w:rsidR="1D0C944D" w:rsidRPr="524BF87A">
        <w:rPr>
          <w:rFonts w:ascii="Segoe UI" w:hAnsi="Segoe UI" w:cs="Segoe UI"/>
        </w:rPr>
        <w:t>aggregate</w:t>
      </w:r>
      <w:r w:rsidR="221ECE73" w:rsidRPr="524BF87A">
        <w:rPr>
          <w:rFonts w:ascii="Segoe UI" w:hAnsi="Segoe UI" w:cs="Segoe UI"/>
        </w:rPr>
        <w:t xml:space="preserve"> revenue to </w:t>
      </w:r>
      <w:r w:rsidR="017DDE9E" w:rsidRPr="524BF87A">
        <w:rPr>
          <w:rFonts w:ascii="Segoe UI" w:hAnsi="Segoe UI" w:cs="Segoe UI"/>
        </w:rPr>
        <w:t>re</w:t>
      </w:r>
      <w:r w:rsidR="42F3E46B" w:rsidRPr="524BF87A">
        <w:rPr>
          <w:rFonts w:ascii="Segoe UI" w:hAnsi="Segoe UI" w:cs="Segoe UI"/>
        </w:rPr>
        <w:t>cover aggregate costs.</w:t>
      </w:r>
      <w:r w:rsidR="4A906036" w:rsidRPr="524BF87A">
        <w:rPr>
          <w:rFonts w:ascii="Segoe UI" w:hAnsi="Segoe UI" w:cs="Segoe UI"/>
        </w:rPr>
        <w:t xml:space="preserve"> </w:t>
      </w:r>
      <w:r w:rsidR="42F3E46B" w:rsidRPr="524BF87A">
        <w:rPr>
          <w:rFonts w:ascii="Segoe UI" w:hAnsi="Segoe UI" w:cs="Segoe UI"/>
        </w:rPr>
        <w:t>The following discussion of fee schedule design</w:t>
      </w:r>
      <w:r w:rsidR="57E5E3B7" w:rsidRPr="524BF87A">
        <w:rPr>
          <w:rFonts w:ascii="Segoe UI" w:hAnsi="Segoe UI" w:cs="Segoe UI"/>
        </w:rPr>
        <w:t xml:space="preserve"> benefits evaluates how </w:t>
      </w:r>
      <w:r w:rsidR="42F3E46B" w:rsidRPr="524BF87A">
        <w:rPr>
          <w:rFonts w:ascii="Segoe UI" w:hAnsi="Segoe UI" w:cs="Segoe UI"/>
        </w:rPr>
        <w:t xml:space="preserve">the fee adjustments reflect the </w:t>
      </w:r>
      <w:r w:rsidR="1E4A2701" w:rsidRPr="524BF87A">
        <w:rPr>
          <w:rFonts w:ascii="Segoe UI" w:hAnsi="Segoe UI" w:cs="Segoe UI"/>
        </w:rPr>
        <w:t xml:space="preserve">agency’s </w:t>
      </w:r>
      <w:r w:rsidR="42F3E46B" w:rsidRPr="524BF87A">
        <w:rPr>
          <w:rFonts w:ascii="Segoe UI" w:hAnsi="Segoe UI" w:cs="Segoe UI"/>
        </w:rPr>
        <w:t xml:space="preserve">key fee setting policy factors, namely, </w:t>
      </w:r>
      <w:r w:rsidR="370712DE" w:rsidRPr="524BF87A">
        <w:rPr>
          <w:rFonts w:ascii="Segoe UI" w:hAnsi="Segoe UI" w:cs="Segoe UI"/>
        </w:rPr>
        <w:t xml:space="preserve">promoting </w:t>
      </w:r>
      <w:r w:rsidR="42F3E46B" w:rsidRPr="524BF87A">
        <w:rPr>
          <w:rFonts w:ascii="Segoe UI" w:hAnsi="Segoe UI" w:cs="Segoe UI"/>
        </w:rPr>
        <w:t>innovation</w:t>
      </w:r>
      <w:r w:rsidR="370712DE" w:rsidRPr="524BF87A">
        <w:rPr>
          <w:rFonts w:ascii="Segoe UI" w:hAnsi="Segoe UI" w:cs="Segoe UI"/>
        </w:rPr>
        <w:t xml:space="preserve"> strategies</w:t>
      </w:r>
      <w:r w:rsidR="42F3E46B" w:rsidRPr="524BF87A">
        <w:rPr>
          <w:rFonts w:ascii="Segoe UI" w:hAnsi="Segoe UI" w:cs="Segoe UI"/>
        </w:rPr>
        <w:t xml:space="preserve">, aligning fees with the full cost of products and services, facilitating effective administration of the patent system, and offering patent </w:t>
      </w:r>
      <w:r w:rsidR="370712DE" w:rsidRPr="524BF87A">
        <w:rPr>
          <w:rFonts w:ascii="Segoe UI" w:hAnsi="Segoe UI" w:cs="Segoe UI"/>
        </w:rPr>
        <w:t xml:space="preserve">processing </w:t>
      </w:r>
      <w:r w:rsidR="42F3E46B" w:rsidRPr="524BF87A">
        <w:rPr>
          <w:rFonts w:ascii="Segoe UI" w:hAnsi="Segoe UI" w:cs="Segoe UI"/>
        </w:rPr>
        <w:t>options for applicants.</w:t>
      </w:r>
      <w:r w:rsidR="4A906036" w:rsidRPr="524BF87A">
        <w:rPr>
          <w:rFonts w:ascii="Segoe UI" w:hAnsi="Segoe UI" w:cs="Segoe UI"/>
        </w:rPr>
        <w:t xml:space="preserve"> </w:t>
      </w:r>
      <w:r w:rsidR="42F3E46B" w:rsidRPr="524BF87A">
        <w:rPr>
          <w:rFonts w:ascii="Segoe UI" w:hAnsi="Segoe UI" w:cs="Segoe UI"/>
        </w:rPr>
        <w:t>This discussion includes</w:t>
      </w:r>
      <w:r w:rsidR="5AA6CC61" w:rsidRPr="524BF87A">
        <w:rPr>
          <w:rFonts w:ascii="Segoe UI" w:hAnsi="Segoe UI" w:cs="Segoe UI"/>
        </w:rPr>
        <w:t xml:space="preserve"> only those</w:t>
      </w:r>
      <w:r w:rsidR="42F3E46B" w:rsidRPr="524BF87A">
        <w:rPr>
          <w:rFonts w:ascii="Segoe UI" w:hAnsi="Segoe UI" w:cs="Segoe UI"/>
        </w:rPr>
        <w:t xml:space="preserve"> fees for which reasonable conclusions </w:t>
      </w:r>
      <w:r w:rsidR="1946D893" w:rsidRPr="524BF87A">
        <w:rPr>
          <w:rFonts w:ascii="Segoe UI" w:hAnsi="Segoe UI" w:cs="Segoe UI"/>
        </w:rPr>
        <w:t xml:space="preserve">can </w:t>
      </w:r>
      <w:r w:rsidRPr="524BF87A">
        <w:rPr>
          <w:rFonts w:ascii="Segoe UI" w:hAnsi="Segoe UI" w:cs="Segoe UI"/>
        </w:rPr>
        <w:t xml:space="preserve">be drawn </w:t>
      </w:r>
      <w:r w:rsidR="42F3E46B" w:rsidRPr="524BF87A">
        <w:rPr>
          <w:rFonts w:ascii="Segoe UI" w:hAnsi="Segoe UI" w:cs="Segoe UI"/>
        </w:rPr>
        <w:t xml:space="preserve">about benefits as they relate to fee schedule design; therefore, </w:t>
      </w:r>
      <w:r w:rsidR="1B979826" w:rsidRPr="524BF87A">
        <w:rPr>
          <w:rFonts w:ascii="Segoe UI" w:hAnsi="Segoe UI" w:cs="Segoe UI"/>
        </w:rPr>
        <w:t>it</w:t>
      </w:r>
      <w:r w:rsidR="42F3E46B" w:rsidRPr="524BF87A">
        <w:rPr>
          <w:rFonts w:ascii="Segoe UI" w:hAnsi="Segoe UI" w:cs="Segoe UI"/>
        </w:rPr>
        <w:t xml:space="preserve"> does not address all fees included in Table 4-</w:t>
      </w:r>
      <w:r w:rsidR="42F62143" w:rsidRPr="524BF87A">
        <w:rPr>
          <w:rFonts w:ascii="Segoe UI" w:hAnsi="Segoe UI" w:cs="Segoe UI"/>
        </w:rPr>
        <w:t>4</w:t>
      </w:r>
      <w:r w:rsidR="42F3E46B" w:rsidRPr="524BF87A">
        <w:rPr>
          <w:rFonts w:ascii="Segoe UI" w:hAnsi="Segoe UI" w:cs="Segoe UI"/>
        </w:rPr>
        <w:t>.</w:t>
      </w:r>
      <w:r w:rsidR="4A906036" w:rsidRPr="524BF87A">
        <w:rPr>
          <w:rFonts w:ascii="Segoe UI" w:hAnsi="Segoe UI" w:cs="Segoe UI"/>
        </w:rPr>
        <w:t xml:space="preserve"> </w:t>
      </w:r>
      <w:r w:rsidR="42F3E46B" w:rsidRPr="524BF87A">
        <w:rPr>
          <w:rFonts w:ascii="Segoe UI" w:hAnsi="Segoe UI" w:cs="Segoe UI"/>
        </w:rPr>
        <w:t xml:space="preserve">A more detailed discussion of </w:t>
      </w:r>
      <w:r w:rsidR="5AA6CC61" w:rsidRPr="524BF87A">
        <w:rPr>
          <w:rFonts w:ascii="Segoe UI" w:hAnsi="Segoe UI" w:cs="Segoe UI"/>
        </w:rPr>
        <w:t xml:space="preserve">each </w:t>
      </w:r>
      <w:r w:rsidR="42F3E46B" w:rsidRPr="524BF87A">
        <w:rPr>
          <w:rFonts w:ascii="Segoe UI" w:hAnsi="Segoe UI" w:cs="Segoe UI"/>
        </w:rPr>
        <w:t>fee change</w:t>
      </w:r>
      <w:r w:rsidR="0602BD84" w:rsidRPr="524BF87A">
        <w:rPr>
          <w:rFonts w:ascii="Segoe UI" w:hAnsi="Segoe UI" w:cs="Segoe UI"/>
        </w:rPr>
        <w:t>’s</w:t>
      </w:r>
      <w:r w:rsidR="42F3E46B" w:rsidRPr="524BF87A">
        <w:rPr>
          <w:rFonts w:ascii="Segoe UI" w:hAnsi="Segoe UI" w:cs="Segoe UI"/>
        </w:rPr>
        <w:t xml:space="preserve"> rationale is available in </w:t>
      </w:r>
      <w:r w:rsidR="0F5BED33" w:rsidRPr="524BF87A">
        <w:rPr>
          <w:rFonts w:ascii="Segoe UI" w:hAnsi="Segoe UI" w:cs="Segoe UI"/>
        </w:rPr>
        <w:t>the</w:t>
      </w:r>
      <w:r w:rsidR="000E20E9">
        <w:rPr>
          <w:rFonts w:ascii="Segoe UI" w:hAnsi="Segoe UI" w:cs="Segoe UI"/>
        </w:rPr>
        <w:t xml:space="preserve"> final rule</w:t>
      </w:r>
      <w:r w:rsidR="0F5BED33" w:rsidRPr="524BF87A">
        <w:rPr>
          <w:rFonts w:ascii="Segoe UI" w:hAnsi="Segoe UI" w:cs="Segoe UI"/>
        </w:rPr>
        <w:t xml:space="preserve"> in </w:t>
      </w:r>
      <w:r w:rsidR="77FD2DA2" w:rsidRPr="524BF87A">
        <w:rPr>
          <w:rFonts w:ascii="Segoe UI" w:hAnsi="Segoe UI" w:cs="Segoe UI"/>
        </w:rPr>
        <w:t xml:space="preserve">Part </w:t>
      </w:r>
      <w:r w:rsidR="42F3E46B" w:rsidRPr="524BF87A">
        <w:rPr>
          <w:rFonts w:ascii="Segoe UI" w:hAnsi="Segoe UI" w:cs="Segoe UI"/>
        </w:rPr>
        <w:t>V</w:t>
      </w:r>
      <w:r w:rsidR="2C0F5B48" w:rsidRPr="524BF87A">
        <w:rPr>
          <w:rFonts w:ascii="Segoe UI" w:hAnsi="Segoe UI" w:cs="Segoe UI"/>
        </w:rPr>
        <w:t>: Individual Fee Rationale</w:t>
      </w:r>
      <w:r w:rsidR="42F3E46B" w:rsidRPr="524BF87A">
        <w:rPr>
          <w:rFonts w:ascii="Segoe UI" w:hAnsi="Segoe UI" w:cs="Segoe UI"/>
        </w:rPr>
        <w:t>.</w:t>
      </w:r>
    </w:p>
    <w:p w14:paraId="1A567899" w14:textId="22E7C273" w:rsidR="003F546D" w:rsidRPr="007E342E" w:rsidRDefault="567215F8" w:rsidP="524BF87A">
      <w:pPr>
        <w:numPr>
          <w:ilvl w:val="0"/>
          <w:numId w:val="6"/>
        </w:numPr>
        <w:spacing w:line="360" w:lineRule="auto"/>
        <w:ind w:left="720"/>
        <w:contextualSpacing/>
        <w:rPr>
          <w:rFonts w:ascii="Segoe UI" w:hAnsi="Segoe UI" w:cs="Segoe UI"/>
        </w:rPr>
      </w:pPr>
      <w:r w:rsidRPr="7DBA78AB">
        <w:rPr>
          <w:rFonts w:ascii="Segoe UI" w:hAnsi="Segoe UI" w:cs="Segoe UI"/>
          <w:b/>
          <w:bCs/>
        </w:rPr>
        <w:lastRenderedPageBreak/>
        <w:t xml:space="preserve">Promoting </w:t>
      </w:r>
      <w:r w:rsidR="427489F2" w:rsidRPr="7DBA78AB">
        <w:rPr>
          <w:rFonts w:ascii="Segoe UI" w:hAnsi="Segoe UI" w:cs="Segoe UI"/>
          <w:b/>
          <w:bCs/>
        </w:rPr>
        <w:t xml:space="preserve">innovation </w:t>
      </w:r>
      <w:r w:rsidRPr="7DBA78AB">
        <w:rPr>
          <w:rFonts w:ascii="Segoe UI" w:hAnsi="Segoe UI" w:cs="Segoe UI"/>
          <w:b/>
          <w:bCs/>
        </w:rPr>
        <w:t xml:space="preserve">strategies </w:t>
      </w:r>
      <w:r w:rsidR="427489F2" w:rsidRPr="7DBA78AB">
        <w:rPr>
          <w:rFonts w:ascii="Segoe UI" w:hAnsi="Segoe UI" w:cs="Segoe UI"/>
          <w:b/>
          <w:bCs/>
        </w:rPr>
        <w:t>by setting select fees below cost:</w:t>
      </w:r>
      <w:r w:rsidR="32EC5D23" w:rsidRPr="7DBA78AB">
        <w:rPr>
          <w:rFonts w:ascii="Segoe UI" w:hAnsi="Segoe UI" w:cs="Segoe UI"/>
          <w:b/>
          <w:bCs/>
          <w:i/>
          <w:iCs/>
        </w:rPr>
        <w:t xml:space="preserve"> </w:t>
      </w:r>
      <w:r w:rsidR="427489F2" w:rsidRPr="7DBA78AB">
        <w:rPr>
          <w:rFonts w:ascii="Segoe UI" w:hAnsi="Segoe UI" w:cs="Segoe UI"/>
        </w:rPr>
        <w:t>C</w:t>
      </w:r>
      <w:r w:rsidR="7BC105CD" w:rsidRPr="7DBA78AB">
        <w:rPr>
          <w:rFonts w:ascii="Segoe UI" w:hAnsi="Segoe UI" w:cs="Segoe UI"/>
        </w:rPr>
        <w:t xml:space="preserve">urrently, </w:t>
      </w:r>
      <w:r w:rsidR="3CF9C50C" w:rsidRPr="7DBA78AB">
        <w:rPr>
          <w:rFonts w:ascii="Segoe UI" w:hAnsi="Segoe UI" w:cs="Segoe UI"/>
        </w:rPr>
        <w:t>utility patent</w:t>
      </w:r>
      <w:r w:rsidR="427489F2" w:rsidRPr="7DBA78AB">
        <w:rPr>
          <w:rFonts w:ascii="Segoe UI" w:hAnsi="Segoe UI" w:cs="Segoe UI"/>
        </w:rPr>
        <w:t xml:space="preserve"> filing, search, and examination fees for </w:t>
      </w:r>
      <w:r w:rsidR="006B4F9F" w:rsidRPr="7DBA78AB">
        <w:rPr>
          <w:rFonts w:ascii="Segoe UI" w:hAnsi="Segoe UI" w:cs="Segoe UI"/>
        </w:rPr>
        <w:t>an undiscounted</w:t>
      </w:r>
      <w:r w:rsidR="3CF9C50C" w:rsidRPr="7DBA78AB">
        <w:rPr>
          <w:rFonts w:ascii="Segoe UI" w:hAnsi="Segoe UI" w:cs="Segoe UI"/>
        </w:rPr>
        <w:t xml:space="preserve"> entity </w:t>
      </w:r>
      <w:r w:rsidR="427489F2" w:rsidRPr="7DBA78AB">
        <w:rPr>
          <w:rFonts w:ascii="Segoe UI" w:hAnsi="Segoe UI" w:cs="Segoe UI"/>
        </w:rPr>
        <w:t>recover only a portion of the average unit cost for prosecuting a patent application</w:t>
      </w:r>
      <w:r w:rsidR="29A459EC" w:rsidRPr="7DBA78AB">
        <w:rPr>
          <w:rFonts w:ascii="Segoe UI" w:hAnsi="Segoe UI" w:cs="Segoe UI"/>
        </w:rPr>
        <w:t xml:space="preserve">. </w:t>
      </w:r>
      <w:r w:rsidR="35366FDC" w:rsidRPr="7DBA78AB">
        <w:rPr>
          <w:rFonts w:ascii="Segoe UI" w:hAnsi="Segoe UI" w:cs="Segoe UI"/>
        </w:rPr>
        <w:t>S</w:t>
      </w:r>
      <w:r w:rsidR="0DE5F93D" w:rsidRPr="7DBA78AB">
        <w:rPr>
          <w:rFonts w:ascii="Segoe UI" w:hAnsi="Segoe UI" w:cs="Segoe UI"/>
        </w:rPr>
        <w:t>ee</w:t>
      </w:r>
      <w:r w:rsidR="7BC105CD" w:rsidRPr="7DBA78AB">
        <w:rPr>
          <w:rFonts w:ascii="Segoe UI" w:hAnsi="Segoe UI" w:cs="Segoe UI"/>
        </w:rPr>
        <w:t xml:space="preserve"> </w:t>
      </w:r>
      <w:r w:rsidR="16BC890E" w:rsidRPr="7DBA78AB">
        <w:rPr>
          <w:rFonts w:ascii="Segoe UI" w:hAnsi="Segoe UI" w:cs="Segoe UI"/>
        </w:rPr>
        <w:t>“</w:t>
      </w:r>
      <w:r w:rsidR="0CD70C2C" w:rsidRPr="7DBA78AB">
        <w:rPr>
          <w:rFonts w:ascii="Segoe UI" w:hAnsi="Segoe UI" w:cs="Segoe UI"/>
        </w:rPr>
        <w:t xml:space="preserve">Setting and Adjusting Patent Fees </w:t>
      </w:r>
      <w:r w:rsidR="003032D1" w:rsidRPr="7DBA78AB">
        <w:rPr>
          <w:rFonts w:ascii="Segoe UI" w:hAnsi="Segoe UI" w:cs="Segoe UI"/>
        </w:rPr>
        <w:t>D</w:t>
      </w:r>
      <w:r w:rsidR="0CD70C2C" w:rsidRPr="7DBA78AB">
        <w:rPr>
          <w:rFonts w:ascii="Segoe UI" w:hAnsi="Segoe UI" w:cs="Segoe UI"/>
        </w:rPr>
        <w:t>uring Fiscal Year 202</w:t>
      </w:r>
      <w:r w:rsidR="62FF02E2" w:rsidRPr="7DBA78AB">
        <w:rPr>
          <w:rFonts w:ascii="Segoe UI" w:hAnsi="Segoe UI" w:cs="Segoe UI"/>
        </w:rPr>
        <w:t>5</w:t>
      </w:r>
      <w:r w:rsidR="3ECF4A85" w:rsidRPr="7DBA78AB">
        <w:rPr>
          <w:rFonts w:ascii="Segoe UI" w:hAnsi="Segoe UI" w:cs="Segoe UI"/>
        </w:rPr>
        <w:t>—</w:t>
      </w:r>
      <w:r w:rsidR="0CD70C2C" w:rsidRPr="7DBA78AB">
        <w:rPr>
          <w:rFonts w:ascii="Segoe UI" w:hAnsi="Segoe UI" w:cs="Segoe UI"/>
        </w:rPr>
        <w:t>Activity</w:t>
      </w:r>
      <w:r w:rsidR="713AFF93" w:rsidRPr="7DBA78AB">
        <w:rPr>
          <w:rFonts w:ascii="Segoe UI" w:hAnsi="Segoe UI" w:cs="Segoe UI"/>
        </w:rPr>
        <w:t>-</w:t>
      </w:r>
      <w:r w:rsidR="0CD70C2C" w:rsidRPr="7DBA78AB">
        <w:rPr>
          <w:rFonts w:ascii="Segoe UI" w:hAnsi="Segoe UI" w:cs="Segoe UI"/>
        </w:rPr>
        <w:t>Based Information and Patent Fee Unit Expense Methodology</w:t>
      </w:r>
      <w:r w:rsidR="3ECF4A85" w:rsidRPr="7DBA78AB">
        <w:rPr>
          <w:rFonts w:ascii="Segoe UI" w:hAnsi="Segoe UI" w:cs="Segoe UI"/>
        </w:rPr>
        <w:t>,</w:t>
      </w:r>
      <w:r w:rsidR="16BC890E" w:rsidRPr="7DBA78AB">
        <w:rPr>
          <w:rFonts w:ascii="Segoe UI" w:hAnsi="Segoe UI" w:cs="Segoe UI"/>
        </w:rPr>
        <w:t>”</w:t>
      </w:r>
      <w:r w:rsidR="0CD70C2C" w:rsidRPr="7DBA78AB">
        <w:rPr>
          <w:rFonts w:ascii="Segoe UI" w:hAnsi="Segoe UI" w:cs="Segoe UI"/>
        </w:rPr>
        <w:t xml:space="preserve"> available </w:t>
      </w:r>
      <w:r w:rsidR="59EF623D" w:rsidRPr="7DBA78AB">
        <w:rPr>
          <w:rFonts w:ascii="Segoe UI" w:hAnsi="Segoe UI" w:cs="Segoe UI"/>
        </w:rPr>
        <w:t xml:space="preserve">on the </w:t>
      </w:r>
      <w:hyperlink r:id="rId36">
        <w:r w:rsidR="59EF623D" w:rsidRPr="7DBA78AB">
          <w:rPr>
            <w:rStyle w:val="Hyperlink"/>
            <w:rFonts w:ascii="Segoe UI" w:hAnsi="Segoe UI" w:cs="Segoe UI"/>
          </w:rPr>
          <w:t>fee setting section of the USPTO website</w:t>
        </w:r>
      </w:hyperlink>
      <w:r w:rsidR="065B53BD" w:rsidRPr="7DBA78AB">
        <w:rPr>
          <w:rFonts w:ascii="Segoe UI" w:hAnsi="Segoe UI" w:cs="Segoe UI"/>
        </w:rPr>
        <w:t>.</w:t>
      </w:r>
      <w:r w:rsidR="32EC5D23" w:rsidRPr="7DBA78AB">
        <w:rPr>
          <w:rFonts w:ascii="Segoe UI" w:hAnsi="Segoe UI" w:cs="Segoe UI"/>
        </w:rPr>
        <w:t xml:space="preserve"> </w:t>
      </w:r>
      <w:r w:rsidR="427489F2" w:rsidRPr="7DBA78AB">
        <w:rPr>
          <w:rFonts w:ascii="Segoe UI" w:hAnsi="Segoe UI" w:cs="Segoe UI"/>
        </w:rPr>
        <w:t>This alternative continues th</w:t>
      </w:r>
      <w:r w:rsidR="3CC3B3BD" w:rsidRPr="7DBA78AB">
        <w:rPr>
          <w:rFonts w:ascii="Segoe UI" w:hAnsi="Segoe UI" w:cs="Segoe UI"/>
        </w:rPr>
        <w:t>e agency’s</w:t>
      </w:r>
      <w:r w:rsidR="427489F2" w:rsidRPr="7DBA78AB">
        <w:rPr>
          <w:rFonts w:ascii="Segoe UI" w:hAnsi="Segoe UI" w:cs="Segoe UI"/>
        </w:rPr>
        <w:t xml:space="preserve"> longstanding policy factor of </w:t>
      </w:r>
      <w:r w:rsidR="1EA81EC1" w:rsidRPr="7DBA78AB">
        <w:rPr>
          <w:rFonts w:ascii="Segoe UI" w:hAnsi="Segoe UI" w:cs="Segoe UI"/>
        </w:rPr>
        <w:t xml:space="preserve">promoting </w:t>
      </w:r>
      <w:r w:rsidR="427489F2" w:rsidRPr="7DBA78AB">
        <w:rPr>
          <w:rFonts w:ascii="Segoe UI" w:hAnsi="Segoe UI" w:cs="Segoe UI"/>
        </w:rPr>
        <w:t>inno</w:t>
      </w:r>
      <w:r w:rsidR="7BC105CD" w:rsidRPr="7DBA78AB">
        <w:rPr>
          <w:rFonts w:ascii="Segoe UI" w:hAnsi="Segoe UI" w:cs="Segoe UI"/>
        </w:rPr>
        <w:t>vation</w:t>
      </w:r>
      <w:r w:rsidR="1EA81EC1" w:rsidRPr="7DBA78AB">
        <w:rPr>
          <w:rFonts w:ascii="Segoe UI" w:hAnsi="Segoe UI" w:cs="Segoe UI"/>
        </w:rPr>
        <w:t xml:space="preserve"> strategies</w:t>
      </w:r>
      <w:r w:rsidR="7BC105CD" w:rsidRPr="7DBA78AB">
        <w:rPr>
          <w:rFonts w:ascii="Segoe UI" w:hAnsi="Segoe UI" w:cs="Segoe UI"/>
        </w:rPr>
        <w:t xml:space="preserve"> by keeping </w:t>
      </w:r>
      <w:r w:rsidR="427489F2" w:rsidRPr="7DBA78AB">
        <w:rPr>
          <w:rFonts w:ascii="Segoe UI" w:hAnsi="Segoe UI" w:cs="Segoe UI"/>
        </w:rPr>
        <w:t>front-end fees (e.g., filing, search, and examination) below cost with a back-end subsidy.</w:t>
      </w:r>
    </w:p>
    <w:p w14:paraId="502E85EB" w14:textId="60605510" w:rsidR="003F546D" w:rsidRPr="00CF6436" w:rsidRDefault="007E342E" w:rsidP="524BF87A">
      <w:pPr>
        <w:tabs>
          <w:tab w:val="left" w:pos="450"/>
        </w:tabs>
        <w:spacing w:line="360" w:lineRule="auto"/>
        <w:ind w:left="720"/>
        <w:contextualSpacing/>
        <w:rPr>
          <w:rFonts w:ascii="Segoe UI" w:hAnsi="Segoe UI" w:cs="Segoe UI"/>
        </w:rPr>
      </w:pPr>
      <w:r>
        <w:rPr>
          <w:rFonts w:ascii="Segoe UI" w:hAnsi="Segoe UI" w:cs="Segoe UI"/>
        </w:rPr>
        <w:tab/>
      </w:r>
      <w:r w:rsidR="0670D97B" w:rsidRPr="736A6D4F">
        <w:rPr>
          <w:rFonts w:ascii="Segoe UI" w:hAnsi="Segoe UI" w:cs="Segoe UI"/>
        </w:rPr>
        <w:t>T</w:t>
      </w:r>
      <w:r w:rsidR="781B93C7" w:rsidRPr="00CF6436">
        <w:rPr>
          <w:rFonts w:ascii="Segoe UI" w:hAnsi="Segoe UI" w:cs="Segoe UI"/>
        </w:rPr>
        <w:t>o</w:t>
      </w:r>
      <w:r w:rsidR="42F3E46B" w:rsidRPr="00CF6436">
        <w:rPr>
          <w:rFonts w:ascii="Segoe UI" w:hAnsi="Segoe UI" w:cs="Segoe UI"/>
        </w:rPr>
        <w:t xml:space="preserve"> </w:t>
      </w:r>
      <w:r w:rsidR="7D920090" w:rsidRPr="00CF6436">
        <w:rPr>
          <w:rFonts w:ascii="Segoe UI" w:hAnsi="Segoe UI" w:cs="Segoe UI"/>
        </w:rPr>
        <w:t>help balance</w:t>
      </w:r>
      <w:r w:rsidR="42F3E46B" w:rsidRPr="00CF6436">
        <w:rPr>
          <w:rFonts w:ascii="Segoe UI" w:hAnsi="Segoe UI" w:cs="Segoe UI"/>
        </w:rPr>
        <w:t xml:space="preserve"> aggregate costs with aggregate revenue,</w:t>
      </w:r>
      <w:r w:rsidR="781B93C7" w:rsidRPr="00CF6436">
        <w:rPr>
          <w:rFonts w:ascii="Segoe UI" w:hAnsi="Segoe UI" w:cs="Segoe UI"/>
        </w:rPr>
        <w:t xml:space="preserve"> th</w:t>
      </w:r>
      <w:r w:rsidR="0670D97B" w:rsidRPr="736A6D4F">
        <w:rPr>
          <w:rFonts w:ascii="Segoe UI" w:hAnsi="Segoe UI" w:cs="Segoe UI"/>
        </w:rPr>
        <w:t xml:space="preserve">e </w:t>
      </w:r>
      <w:r w:rsidR="000F20DC">
        <w:rPr>
          <w:rFonts w:ascii="Segoe UI" w:hAnsi="Segoe UI" w:cs="Segoe UI"/>
        </w:rPr>
        <w:t>Final</w:t>
      </w:r>
      <w:r w:rsidR="0670D97B" w:rsidRPr="736A6D4F">
        <w:rPr>
          <w:rFonts w:ascii="Segoe UI" w:hAnsi="Segoe UI" w:cs="Segoe UI"/>
        </w:rPr>
        <w:t xml:space="preserve"> Patent Fee Schedule aims</w:t>
      </w:r>
      <w:r w:rsidR="781B93C7" w:rsidRPr="00CF6436">
        <w:rPr>
          <w:rFonts w:ascii="Segoe UI" w:hAnsi="Segoe UI" w:cs="Segoe UI"/>
        </w:rPr>
        <w:t xml:space="preserve"> to </w:t>
      </w:r>
      <w:r w:rsidR="42F3E46B" w:rsidRPr="00CF6436">
        <w:rPr>
          <w:rFonts w:ascii="Segoe UI" w:hAnsi="Segoe UI" w:cs="Segoe UI"/>
        </w:rPr>
        <w:t>increa</w:t>
      </w:r>
      <w:r w:rsidR="781B93C7" w:rsidRPr="00CF6436">
        <w:rPr>
          <w:rFonts w:ascii="Segoe UI" w:hAnsi="Segoe UI" w:cs="Segoe UI"/>
        </w:rPr>
        <w:t>se</w:t>
      </w:r>
      <w:r w:rsidR="42F3E46B" w:rsidRPr="00CF6436">
        <w:rPr>
          <w:rFonts w:ascii="Segoe UI" w:hAnsi="Segoe UI" w:cs="Segoe UI"/>
        </w:rPr>
        <w:t xml:space="preserve"> total filing, search, and examination fees to recover slightly more of the average unit cost for processing a patent application</w:t>
      </w:r>
      <w:r w:rsidR="72B64A4E" w:rsidRPr="736A6D4F">
        <w:rPr>
          <w:rFonts w:ascii="Segoe UI" w:hAnsi="Segoe UI" w:cs="Segoe UI"/>
        </w:rPr>
        <w:t>, all</w:t>
      </w:r>
      <w:r w:rsidR="42F3E46B" w:rsidRPr="00CF6436">
        <w:rPr>
          <w:rFonts w:ascii="Segoe UI" w:hAnsi="Segoe UI" w:cs="Segoe UI"/>
        </w:rPr>
        <w:t xml:space="preserve"> while keeping total</w:t>
      </w:r>
      <w:r w:rsidR="39A7E21C" w:rsidRPr="736A6D4F">
        <w:rPr>
          <w:rFonts w:ascii="Segoe UI" w:hAnsi="Segoe UI" w:cs="Segoe UI"/>
        </w:rPr>
        <w:t xml:space="preserve"> paid</w:t>
      </w:r>
      <w:r w:rsidR="42F3E46B" w:rsidRPr="00CF6436">
        <w:rPr>
          <w:rFonts w:ascii="Segoe UI" w:hAnsi="Segoe UI" w:cs="Segoe UI"/>
        </w:rPr>
        <w:t xml:space="preserve"> fees below cost.</w:t>
      </w:r>
      <w:r w:rsidR="4A906036" w:rsidRPr="00CF6436">
        <w:rPr>
          <w:rFonts w:ascii="Segoe UI" w:hAnsi="Segoe UI" w:cs="Segoe UI"/>
        </w:rPr>
        <w:t xml:space="preserve"> </w:t>
      </w:r>
      <w:r w:rsidR="42F3E46B" w:rsidRPr="00CF6436">
        <w:rPr>
          <w:rFonts w:ascii="Segoe UI" w:hAnsi="Segoe UI" w:cs="Segoe UI"/>
        </w:rPr>
        <w:t xml:space="preserve">Maintaining below-cost entry fees as part of the fee schedule design is a benefit and supports the </w:t>
      </w:r>
      <w:r w:rsidR="1F2CA3D8" w:rsidRPr="736A6D4F">
        <w:rPr>
          <w:rFonts w:ascii="Segoe UI" w:hAnsi="Segoe UI" w:cs="Segoe UI"/>
        </w:rPr>
        <w:t xml:space="preserve">USPTO’s </w:t>
      </w:r>
      <w:r w:rsidR="42F3E46B" w:rsidRPr="00CF6436">
        <w:rPr>
          <w:rFonts w:ascii="Segoe UI" w:hAnsi="Segoe UI" w:cs="Segoe UI"/>
        </w:rPr>
        <w:t xml:space="preserve">key fee setting policy consideration of </w:t>
      </w:r>
      <w:r w:rsidR="514157E5" w:rsidRPr="00CF6436">
        <w:rPr>
          <w:rFonts w:ascii="Segoe UI" w:hAnsi="Segoe UI" w:cs="Segoe UI"/>
        </w:rPr>
        <w:t xml:space="preserve">promoting </w:t>
      </w:r>
      <w:r w:rsidR="42F3E46B" w:rsidRPr="00CF6436">
        <w:rPr>
          <w:rFonts w:ascii="Segoe UI" w:hAnsi="Segoe UI" w:cs="Segoe UI"/>
        </w:rPr>
        <w:t>innovation</w:t>
      </w:r>
      <w:r w:rsidR="514157E5" w:rsidRPr="00CF6436">
        <w:rPr>
          <w:rFonts w:ascii="Segoe UI" w:hAnsi="Segoe UI" w:cs="Segoe UI"/>
        </w:rPr>
        <w:t xml:space="preserve"> strategies</w:t>
      </w:r>
      <w:r w:rsidR="42F3E46B" w:rsidRPr="00CF6436">
        <w:rPr>
          <w:rFonts w:ascii="Segoe UI" w:hAnsi="Segoe UI" w:cs="Segoe UI"/>
        </w:rPr>
        <w:t>.</w:t>
      </w:r>
    </w:p>
    <w:p w14:paraId="23D46B6E" w14:textId="6AA3BEDC" w:rsidR="003F546D" w:rsidRPr="00CF6436" w:rsidRDefault="007E342E" w:rsidP="524BF87A">
      <w:pPr>
        <w:tabs>
          <w:tab w:val="left" w:pos="450"/>
        </w:tabs>
        <w:spacing w:line="360" w:lineRule="auto"/>
        <w:ind w:left="720"/>
        <w:contextualSpacing/>
        <w:rPr>
          <w:rFonts w:ascii="Segoe UI" w:hAnsi="Segoe UI" w:cs="Segoe UI"/>
        </w:rPr>
      </w:pPr>
      <w:r>
        <w:rPr>
          <w:rFonts w:ascii="Segoe UI" w:hAnsi="Segoe UI" w:cs="Segoe UI"/>
        </w:rPr>
        <w:tab/>
      </w:r>
      <w:r w:rsidR="178D399F" w:rsidRPr="00CF6436">
        <w:rPr>
          <w:rFonts w:ascii="Segoe UI" w:hAnsi="Segoe UI" w:cs="Segoe UI"/>
        </w:rPr>
        <w:t xml:space="preserve">In addition to front-end utility </w:t>
      </w:r>
      <w:r w:rsidR="7E84FD3F">
        <w:rPr>
          <w:rFonts w:ascii="Segoe UI" w:hAnsi="Segoe UI" w:cs="Segoe UI"/>
        </w:rPr>
        <w:t xml:space="preserve">patent </w:t>
      </w:r>
      <w:r w:rsidR="178D399F" w:rsidRPr="00CF6436">
        <w:rPr>
          <w:rFonts w:ascii="Segoe UI" w:hAnsi="Segoe UI" w:cs="Segoe UI"/>
        </w:rPr>
        <w:t>fee rate changes,</w:t>
      </w:r>
      <w:r w:rsidR="4A963271" w:rsidRPr="736A6D4F">
        <w:rPr>
          <w:rFonts w:ascii="Segoe UI" w:hAnsi="Segoe UI" w:cs="Segoe UI"/>
        </w:rPr>
        <w:t xml:space="preserve"> the </w:t>
      </w:r>
      <w:r w:rsidR="000F20DC">
        <w:rPr>
          <w:rFonts w:ascii="Segoe UI" w:hAnsi="Segoe UI" w:cs="Segoe UI"/>
        </w:rPr>
        <w:t>Final</w:t>
      </w:r>
      <w:r w:rsidR="4A963271" w:rsidRPr="736A6D4F">
        <w:rPr>
          <w:rFonts w:ascii="Segoe UI" w:hAnsi="Segoe UI" w:cs="Segoe UI"/>
        </w:rPr>
        <w:t xml:space="preserve"> Patent Fee Schedule</w:t>
      </w:r>
      <w:r w:rsidR="178D399F" w:rsidRPr="00CF6436">
        <w:rPr>
          <w:rFonts w:ascii="Segoe UI" w:hAnsi="Segoe UI" w:cs="Segoe UI"/>
        </w:rPr>
        <w:t xml:space="preserve"> </w:t>
      </w:r>
      <w:r w:rsidR="4A963271" w:rsidRPr="736A6D4F">
        <w:rPr>
          <w:rFonts w:ascii="Segoe UI" w:hAnsi="Segoe UI" w:cs="Segoe UI"/>
        </w:rPr>
        <w:t xml:space="preserve">increases </w:t>
      </w:r>
      <w:r w:rsidR="178D399F" w:rsidRPr="00CF6436">
        <w:rPr>
          <w:rFonts w:ascii="Segoe UI" w:hAnsi="Segoe UI" w:cs="Segoe UI"/>
        </w:rPr>
        <w:t>fee</w:t>
      </w:r>
      <w:r w:rsidRPr="736A6D4F" w:rsidDel="178D399F">
        <w:rPr>
          <w:rFonts w:ascii="Segoe UI" w:hAnsi="Segoe UI" w:cs="Segoe UI"/>
        </w:rPr>
        <w:t xml:space="preserve"> rates</w:t>
      </w:r>
      <w:r w:rsidR="178D399F" w:rsidRPr="00CF6436">
        <w:rPr>
          <w:rFonts w:ascii="Segoe UI" w:hAnsi="Segoe UI" w:cs="Segoe UI"/>
        </w:rPr>
        <w:t xml:space="preserve"> for </w:t>
      </w:r>
      <w:r w:rsidR="6219DF33" w:rsidRPr="00CF6436">
        <w:rPr>
          <w:rFonts w:ascii="Segoe UI" w:hAnsi="Segoe UI" w:cs="Segoe UI"/>
        </w:rPr>
        <w:t>d</w:t>
      </w:r>
      <w:r w:rsidR="178D399F" w:rsidRPr="00CF6436">
        <w:rPr>
          <w:rFonts w:ascii="Segoe UI" w:hAnsi="Segoe UI" w:cs="Segoe UI"/>
        </w:rPr>
        <w:t xml:space="preserve">esign </w:t>
      </w:r>
      <w:r w:rsidR="7E84FD3F">
        <w:rPr>
          <w:rFonts w:ascii="Segoe UI" w:hAnsi="Segoe UI" w:cs="Segoe UI"/>
        </w:rPr>
        <w:t xml:space="preserve">patent </w:t>
      </w:r>
      <w:r w:rsidR="178D399F" w:rsidRPr="00CF6436">
        <w:rPr>
          <w:rFonts w:ascii="Segoe UI" w:hAnsi="Segoe UI" w:cs="Segoe UI"/>
        </w:rPr>
        <w:t>applications</w:t>
      </w:r>
      <w:r w:rsidR="4A963271" w:rsidRPr="736A6D4F">
        <w:rPr>
          <w:rFonts w:ascii="Segoe UI" w:hAnsi="Segoe UI" w:cs="Segoe UI"/>
        </w:rPr>
        <w:t xml:space="preserve">. </w:t>
      </w:r>
      <w:r w:rsidR="689FBDA8" w:rsidRPr="736A6D4F">
        <w:rPr>
          <w:rFonts w:ascii="Segoe UI" w:hAnsi="Segoe UI" w:cs="Segoe UI"/>
        </w:rPr>
        <w:t xml:space="preserve">Despite this increase, </w:t>
      </w:r>
      <w:r w:rsidR="178D399F" w:rsidRPr="00CF6436">
        <w:rPr>
          <w:rFonts w:ascii="Segoe UI" w:hAnsi="Segoe UI" w:cs="Segoe UI"/>
        </w:rPr>
        <w:t xml:space="preserve">these fees </w:t>
      </w:r>
      <w:r w:rsidR="689FBDA8" w:rsidRPr="736A6D4F">
        <w:rPr>
          <w:rFonts w:ascii="Segoe UI" w:hAnsi="Segoe UI" w:cs="Segoe UI"/>
        </w:rPr>
        <w:t xml:space="preserve">will remain </w:t>
      </w:r>
      <w:r w:rsidR="5D3D36E2" w:rsidRPr="00CF6436">
        <w:rPr>
          <w:rFonts w:ascii="Segoe UI" w:hAnsi="Segoe UI" w:cs="Segoe UI"/>
        </w:rPr>
        <w:t xml:space="preserve">below cost and </w:t>
      </w:r>
      <w:r w:rsidR="689FBDA8" w:rsidRPr="736A6D4F">
        <w:rPr>
          <w:rFonts w:ascii="Segoe UI" w:hAnsi="Segoe UI" w:cs="Segoe UI"/>
        </w:rPr>
        <w:t xml:space="preserve">continue to be </w:t>
      </w:r>
      <w:r w:rsidR="178D399F" w:rsidRPr="00CF6436">
        <w:rPr>
          <w:rFonts w:ascii="Segoe UI" w:hAnsi="Segoe UI" w:cs="Segoe UI"/>
        </w:rPr>
        <w:t xml:space="preserve">partially subsidized by </w:t>
      </w:r>
      <w:r w:rsidR="5D3D36E2" w:rsidRPr="00CF6436">
        <w:rPr>
          <w:rFonts w:ascii="Segoe UI" w:hAnsi="Segoe UI" w:cs="Segoe UI"/>
        </w:rPr>
        <w:t>utility</w:t>
      </w:r>
      <w:r w:rsidR="178D399F" w:rsidRPr="00CF6436">
        <w:rPr>
          <w:rFonts w:ascii="Segoe UI" w:hAnsi="Segoe UI" w:cs="Segoe UI"/>
        </w:rPr>
        <w:t xml:space="preserve"> fees to</w:t>
      </w:r>
      <w:r w:rsidR="0DA3BC1E" w:rsidRPr="00CF6436">
        <w:rPr>
          <w:rFonts w:ascii="Segoe UI" w:hAnsi="Segoe UI" w:cs="Segoe UI"/>
        </w:rPr>
        <w:t xml:space="preserve"> </w:t>
      </w:r>
      <w:r w:rsidR="047F3A91" w:rsidRPr="00CF6436">
        <w:rPr>
          <w:rFonts w:ascii="Segoe UI" w:hAnsi="Segoe UI" w:cs="Segoe UI"/>
        </w:rPr>
        <w:t>encourage entry into the IP system</w:t>
      </w:r>
      <w:r w:rsidR="178D399F" w:rsidRPr="00CF6436">
        <w:rPr>
          <w:rFonts w:ascii="Segoe UI" w:hAnsi="Segoe UI" w:cs="Segoe UI"/>
        </w:rPr>
        <w:t>.</w:t>
      </w:r>
    </w:p>
    <w:p w14:paraId="196BC2C7" w14:textId="59CB62F1" w:rsidR="00C27250" w:rsidRPr="00B12B68" w:rsidRDefault="67A9DCE3" w:rsidP="17CECF10">
      <w:pPr>
        <w:pStyle w:val="ListParagraph"/>
        <w:numPr>
          <w:ilvl w:val="0"/>
          <w:numId w:val="6"/>
        </w:numPr>
        <w:tabs>
          <w:tab w:val="left" w:pos="450"/>
        </w:tabs>
        <w:spacing w:line="360" w:lineRule="auto"/>
        <w:ind w:left="720"/>
        <w:rPr>
          <w:rStyle w:val="normaltextrun"/>
          <w:rFonts w:ascii="Segoe UI" w:hAnsi="Segoe UI" w:cs="Segoe UI"/>
          <w:szCs w:val="24"/>
        </w:rPr>
      </w:pPr>
      <w:r w:rsidRPr="17CECF10">
        <w:rPr>
          <w:rFonts w:ascii="Segoe UI" w:hAnsi="Segoe UI" w:cs="Segoe UI"/>
          <w:b/>
          <w:bCs/>
          <w:szCs w:val="24"/>
        </w:rPr>
        <w:t>Aligning fees with the full cost of products and services:</w:t>
      </w:r>
      <w:r w:rsidR="2171104A" w:rsidRPr="17CECF10">
        <w:rPr>
          <w:rFonts w:ascii="Segoe UI" w:hAnsi="Segoe UI" w:cs="Segoe UI"/>
          <w:b/>
          <w:bCs/>
          <w:i/>
          <w:iCs/>
          <w:szCs w:val="24"/>
        </w:rPr>
        <w:t xml:space="preserve"> </w:t>
      </w:r>
      <w:r w:rsidRPr="17CECF10">
        <w:rPr>
          <w:rFonts w:ascii="Segoe UI" w:hAnsi="Segoe UI" w:cs="Segoe UI"/>
          <w:szCs w:val="24"/>
        </w:rPr>
        <w:t xml:space="preserve">The </w:t>
      </w:r>
      <w:r w:rsidR="497A267A" w:rsidRPr="17CECF10">
        <w:rPr>
          <w:rFonts w:ascii="Segoe UI" w:hAnsi="Segoe UI" w:cs="Segoe UI"/>
          <w:szCs w:val="24"/>
        </w:rPr>
        <w:t>Final</w:t>
      </w:r>
      <w:r w:rsidR="5044D747" w:rsidRPr="17CECF10">
        <w:rPr>
          <w:rFonts w:ascii="Segoe UI" w:hAnsi="Segoe UI" w:cs="Segoe UI"/>
          <w:szCs w:val="24"/>
        </w:rPr>
        <w:t xml:space="preserve"> </w:t>
      </w:r>
      <w:r w:rsidR="545A27D0" w:rsidRPr="17CECF10">
        <w:rPr>
          <w:rFonts w:ascii="Segoe UI" w:hAnsi="Segoe UI" w:cs="Segoe UI"/>
          <w:szCs w:val="24"/>
        </w:rPr>
        <w:t xml:space="preserve">Patent </w:t>
      </w:r>
      <w:r w:rsidR="5044D747" w:rsidRPr="17CECF10">
        <w:rPr>
          <w:rFonts w:ascii="Segoe UI" w:hAnsi="Segoe UI" w:cs="Segoe UI"/>
          <w:szCs w:val="24"/>
        </w:rPr>
        <w:t>Fee Schedule</w:t>
      </w:r>
      <w:r w:rsidRPr="17CECF10">
        <w:rPr>
          <w:rFonts w:ascii="Segoe UI" w:hAnsi="Segoe UI" w:cs="Segoe UI"/>
          <w:szCs w:val="24"/>
        </w:rPr>
        <w:t xml:space="preserve"> </w:t>
      </w:r>
      <w:r w:rsidR="08A9B80C" w:rsidRPr="17CECF10" w:rsidDel="009A43A3">
        <w:rPr>
          <w:rFonts w:ascii="Segoe UI" w:hAnsi="Segoe UI" w:cs="Segoe UI"/>
          <w:szCs w:val="24"/>
        </w:rPr>
        <w:t>(</w:t>
      </w:r>
      <w:r w:rsidRPr="17CECF10" w:rsidDel="009A43A3">
        <w:rPr>
          <w:rFonts w:ascii="Segoe UI" w:hAnsi="Segoe UI" w:cs="Segoe UI"/>
          <w:szCs w:val="24"/>
        </w:rPr>
        <w:t>Alternative 1</w:t>
      </w:r>
      <w:r w:rsidR="08A9B80C" w:rsidRPr="17CECF10" w:rsidDel="009A43A3">
        <w:rPr>
          <w:rFonts w:ascii="Segoe UI" w:hAnsi="Segoe UI" w:cs="Segoe UI"/>
          <w:szCs w:val="24"/>
        </w:rPr>
        <w:t>)</w:t>
      </w:r>
      <w:r w:rsidRPr="17CECF10" w:rsidDel="009A43A3">
        <w:rPr>
          <w:rFonts w:ascii="Segoe UI" w:hAnsi="Segoe UI" w:cs="Segoe UI"/>
          <w:szCs w:val="24"/>
        </w:rPr>
        <w:t xml:space="preserve"> </w:t>
      </w:r>
      <w:r w:rsidR="477F37B5" w:rsidRPr="17CECF10">
        <w:rPr>
          <w:rFonts w:ascii="Segoe UI" w:hAnsi="Segoe UI" w:cs="Segoe UI"/>
          <w:szCs w:val="24"/>
        </w:rPr>
        <w:t xml:space="preserve">better </w:t>
      </w:r>
      <w:r w:rsidRPr="17CECF10">
        <w:rPr>
          <w:rFonts w:ascii="Segoe UI" w:hAnsi="Segoe UI" w:cs="Segoe UI"/>
          <w:szCs w:val="24"/>
        </w:rPr>
        <w:t>aligns</w:t>
      </w:r>
      <w:r w:rsidR="20BE2881" w:rsidRPr="17CECF10">
        <w:rPr>
          <w:rFonts w:ascii="Segoe UI" w:hAnsi="Segoe UI" w:cs="Segoe UI"/>
          <w:szCs w:val="24"/>
        </w:rPr>
        <w:t xml:space="preserve"> fees with</w:t>
      </w:r>
      <w:r w:rsidRPr="17CECF10">
        <w:rPr>
          <w:rFonts w:ascii="Segoe UI" w:hAnsi="Segoe UI" w:cs="Segoe UI"/>
          <w:szCs w:val="24"/>
        </w:rPr>
        <w:t xml:space="preserve"> the full cost of products and services</w:t>
      </w:r>
      <w:r w:rsidR="2D728A78" w:rsidRPr="17CECF10">
        <w:rPr>
          <w:rFonts w:ascii="Segoe UI" w:hAnsi="Segoe UI" w:cs="Segoe UI"/>
          <w:szCs w:val="24"/>
        </w:rPr>
        <w:t xml:space="preserve"> </w:t>
      </w:r>
      <w:r w:rsidR="0D41035F" w:rsidRPr="17CECF10">
        <w:rPr>
          <w:rFonts w:ascii="Segoe UI" w:hAnsi="Segoe UI" w:cs="Segoe UI"/>
          <w:szCs w:val="24"/>
        </w:rPr>
        <w:t>without increasing the fee rate for every fee code</w:t>
      </w:r>
      <w:r w:rsidR="36696C14" w:rsidRPr="17CECF10">
        <w:rPr>
          <w:rFonts w:ascii="Segoe UI" w:hAnsi="Segoe UI" w:cs="Segoe UI"/>
          <w:szCs w:val="24"/>
        </w:rPr>
        <w:t xml:space="preserve"> by the same percentage</w:t>
      </w:r>
      <w:r w:rsidRPr="17CECF10">
        <w:rPr>
          <w:rFonts w:ascii="Segoe UI" w:hAnsi="Segoe UI" w:cs="Segoe UI"/>
          <w:szCs w:val="24"/>
        </w:rPr>
        <w:t>.</w:t>
      </w:r>
      <w:r w:rsidR="2171104A" w:rsidRPr="17CECF10">
        <w:rPr>
          <w:rFonts w:ascii="Segoe UI" w:hAnsi="Segoe UI" w:cs="Segoe UI"/>
          <w:szCs w:val="24"/>
        </w:rPr>
        <w:t xml:space="preserve"> </w:t>
      </w:r>
      <w:r w:rsidR="0D41035F" w:rsidRPr="17CECF10">
        <w:rPr>
          <w:rFonts w:ascii="Segoe UI" w:hAnsi="Segoe UI" w:cs="Segoe UI"/>
          <w:szCs w:val="24"/>
        </w:rPr>
        <w:t xml:space="preserve">One example </w:t>
      </w:r>
      <w:r w:rsidR="0D41035F" w:rsidRPr="17CECF10" w:rsidDel="003F5C12">
        <w:rPr>
          <w:rFonts w:ascii="Segoe UI" w:hAnsi="Segoe UI" w:cs="Segoe UI"/>
          <w:szCs w:val="24"/>
        </w:rPr>
        <w:t xml:space="preserve">of this </w:t>
      </w:r>
      <w:r w:rsidR="0D41035F" w:rsidRPr="17CECF10">
        <w:rPr>
          <w:rFonts w:ascii="Segoe UI" w:hAnsi="Segoe UI" w:cs="Segoe UI"/>
          <w:szCs w:val="24"/>
        </w:rPr>
        <w:t xml:space="preserve">is </w:t>
      </w:r>
      <w:r w:rsidR="44A1D33A" w:rsidRPr="17CECF10">
        <w:rPr>
          <w:rFonts w:ascii="Segoe UI" w:hAnsi="Segoe UI" w:cs="Segoe UI"/>
          <w:szCs w:val="24"/>
        </w:rPr>
        <w:t>Patent Trial and Appeal Board (</w:t>
      </w:r>
      <w:r w:rsidR="0D41035F" w:rsidRPr="17CECF10">
        <w:rPr>
          <w:rFonts w:ascii="Segoe UI" w:hAnsi="Segoe UI" w:cs="Segoe UI"/>
          <w:szCs w:val="24"/>
        </w:rPr>
        <w:t>PTAB</w:t>
      </w:r>
      <w:r w:rsidR="44A1D33A" w:rsidRPr="17CECF10">
        <w:rPr>
          <w:rFonts w:ascii="Segoe UI" w:hAnsi="Segoe UI" w:cs="Segoe UI"/>
          <w:szCs w:val="24"/>
        </w:rPr>
        <w:t>)</w:t>
      </w:r>
      <w:r w:rsidR="0D41035F" w:rsidRPr="17CECF10">
        <w:rPr>
          <w:rFonts w:ascii="Segoe UI" w:hAnsi="Segoe UI" w:cs="Segoe UI"/>
          <w:szCs w:val="24"/>
        </w:rPr>
        <w:t xml:space="preserve"> trial</w:t>
      </w:r>
      <w:r w:rsidR="31548322" w:rsidRPr="17CECF10">
        <w:rPr>
          <w:rFonts w:ascii="Segoe UI" w:hAnsi="Segoe UI" w:cs="Segoe UI"/>
          <w:szCs w:val="24"/>
        </w:rPr>
        <w:t xml:space="preserve"> fee</w:t>
      </w:r>
      <w:r w:rsidR="7E07D875" w:rsidRPr="17CECF10">
        <w:rPr>
          <w:rFonts w:ascii="Segoe UI" w:hAnsi="Segoe UI" w:cs="Segoe UI"/>
          <w:szCs w:val="24"/>
        </w:rPr>
        <w:t>s</w:t>
      </w:r>
      <w:r w:rsidR="3FEF68C8" w:rsidRPr="17CECF10">
        <w:rPr>
          <w:rFonts w:ascii="Segoe UI" w:hAnsi="Segoe UI" w:cs="Segoe UI"/>
          <w:szCs w:val="24"/>
        </w:rPr>
        <w:t xml:space="preserve">; </w:t>
      </w:r>
      <w:r w:rsidR="1F243893" w:rsidRPr="17CECF10">
        <w:rPr>
          <w:rFonts w:ascii="Segoe UI" w:hAnsi="Segoe UI" w:cs="Segoe UI"/>
          <w:szCs w:val="24"/>
        </w:rPr>
        <w:t>t</w:t>
      </w:r>
      <w:r w:rsidR="233B5914" w:rsidRPr="17CECF10">
        <w:rPr>
          <w:rStyle w:val="normaltextrun"/>
          <w:rFonts w:ascii="Segoe UI" w:hAnsi="Segoe UI" w:cs="Segoe UI"/>
          <w:color w:val="000000"/>
          <w:szCs w:val="24"/>
          <w:shd w:val="clear" w:color="auto" w:fill="FFFFFF"/>
        </w:rPr>
        <w:t xml:space="preserve">he fee increases will better align </w:t>
      </w:r>
      <w:r w:rsidR="233B5914" w:rsidRPr="17CECF10" w:rsidDel="003F5C12">
        <w:rPr>
          <w:rStyle w:val="normaltextrun"/>
          <w:rFonts w:ascii="Segoe UI" w:hAnsi="Segoe UI" w:cs="Segoe UI"/>
          <w:color w:val="000000"/>
          <w:szCs w:val="24"/>
          <w:shd w:val="clear" w:color="auto" w:fill="FFFFFF"/>
        </w:rPr>
        <w:t xml:space="preserve">the </w:t>
      </w:r>
      <w:r w:rsidR="233B5914" w:rsidRPr="17CECF10">
        <w:rPr>
          <w:rStyle w:val="normaltextrun"/>
          <w:rFonts w:ascii="Segoe UI" w:hAnsi="Segoe UI" w:cs="Segoe UI"/>
          <w:color w:val="000000"/>
          <w:szCs w:val="24"/>
          <w:shd w:val="clear" w:color="auto" w:fill="FFFFFF"/>
        </w:rPr>
        <w:t xml:space="preserve">fee rates charged to petitioners with the actual costs borne by the USPTO in providing these proceedings. This rulemaking will help the </w:t>
      </w:r>
      <w:r w:rsidR="233B5914" w:rsidRPr="17CECF10">
        <w:rPr>
          <w:rStyle w:val="findhit"/>
          <w:rFonts w:ascii="Segoe UI" w:hAnsi="Segoe UI" w:cs="Segoe UI"/>
          <w:color w:val="000000"/>
          <w:szCs w:val="24"/>
        </w:rPr>
        <w:t>PTAB</w:t>
      </w:r>
      <w:r w:rsidR="233B5914" w:rsidRPr="17CECF10">
        <w:rPr>
          <w:rStyle w:val="normaltextrun"/>
          <w:rFonts w:ascii="Segoe UI" w:hAnsi="Segoe UI" w:cs="Segoe UI"/>
          <w:color w:val="000000"/>
          <w:szCs w:val="24"/>
          <w:shd w:val="clear" w:color="auto" w:fill="FFFFFF"/>
        </w:rPr>
        <w:t xml:space="preserve"> </w:t>
      </w:r>
      <w:r w:rsidR="233B5914" w:rsidRPr="17CECF10" w:rsidDel="004C5881">
        <w:rPr>
          <w:rStyle w:val="normaltextrun"/>
          <w:rFonts w:ascii="Segoe UI" w:hAnsi="Segoe UI" w:cs="Segoe UI"/>
          <w:color w:val="000000"/>
          <w:szCs w:val="24"/>
          <w:shd w:val="clear" w:color="auto" w:fill="FFFFFF"/>
        </w:rPr>
        <w:t xml:space="preserve">continue to </w:t>
      </w:r>
      <w:r w:rsidR="233B5914" w:rsidRPr="17CECF10">
        <w:rPr>
          <w:rStyle w:val="normaltextrun"/>
          <w:rFonts w:ascii="Segoe UI" w:hAnsi="Segoe UI" w:cs="Segoe UI"/>
          <w:color w:val="000000"/>
          <w:szCs w:val="24"/>
          <w:shd w:val="clear" w:color="auto" w:fill="FFFFFF"/>
        </w:rPr>
        <w:t xml:space="preserve">maintain the appropriate level </w:t>
      </w:r>
      <w:r w:rsidR="233B5914" w:rsidRPr="17CECF10">
        <w:rPr>
          <w:rStyle w:val="normaltextrun"/>
          <w:rFonts w:ascii="Segoe UI" w:hAnsi="Segoe UI" w:cs="Segoe UI"/>
          <w:color w:val="000000"/>
          <w:szCs w:val="24"/>
          <w:shd w:val="clear" w:color="auto" w:fill="FFFFFF"/>
        </w:rPr>
        <w:lastRenderedPageBreak/>
        <w:t xml:space="preserve">of judicial and administrative resources to continue </w:t>
      </w:r>
      <w:r w:rsidR="310C4324" w:rsidRPr="17CECF10">
        <w:rPr>
          <w:rStyle w:val="normaltextrun"/>
          <w:rFonts w:ascii="Segoe UI" w:hAnsi="Segoe UI" w:cs="Segoe UI"/>
          <w:color w:val="000000"/>
          <w:szCs w:val="24"/>
          <w:shd w:val="clear" w:color="auto" w:fill="FFFFFF"/>
        </w:rPr>
        <w:t xml:space="preserve">providing </w:t>
      </w:r>
      <w:r w:rsidR="233B5914" w:rsidRPr="17CECF10" w:rsidDel="00216F5B">
        <w:rPr>
          <w:rStyle w:val="normaltextrun"/>
          <w:rFonts w:ascii="Segoe UI" w:hAnsi="Segoe UI" w:cs="Segoe UI"/>
          <w:color w:val="000000"/>
          <w:szCs w:val="24"/>
          <w:shd w:val="clear" w:color="auto" w:fill="FFFFFF"/>
        </w:rPr>
        <w:t xml:space="preserve">to provide </w:t>
      </w:r>
      <w:r w:rsidR="233B5914" w:rsidRPr="17CECF10">
        <w:rPr>
          <w:rStyle w:val="normaltextrun"/>
          <w:rFonts w:ascii="Segoe UI" w:hAnsi="Segoe UI" w:cs="Segoe UI"/>
          <w:color w:val="000000"/>
          <w:szCs w:val="24"/>
          <w:shd w:val="clear" w:color="auto" w:fill="FFFFFF"/>
        </w:rPr>
        <w:t>high</w:t>
      </w:r>
      <w:r w:rsidR="233B5914" w:rsidRPr="17CECF10" w:rsidDel="00216F5B">
        <w:rPr>
          <w:rStyle w:val="normaltextrun"/>
          <w:rFonts w:ascii="Segoe UI" w:hAnsi="Segoe UI" w:cs="Segoe UI"/>
          <w:color w:val="000000"/>
          <w:szCs w:val="24"/>
          <w:shd w:val="clear" w:color="auto" w:fill="FFFFFF"/>
        </w:rPr>
        <w:t>-</w:t>
      </w:r>
      <w:r w:rsidR="233B5914" w:rsidRPr="17CECF10">
        <w:rPr>
          <w:rStyle w:val="normaltextrun"/>
          <w:rFonts w:ascii="Segoe UI" w:hAnsi="Segoe UI" w:cs="Segoe UI"/>
          <w:color w:val="000000"/>
          <w:szCs w:val="24"/>
          <w:shd w:val="clear" w:color="auto" w:fill="FFFFFF"/>
        </w:rPr>
        <w:t>quality and timely decisions for AIA trials.</w:t>
      </w:r>
    </w:p>
    <w:p w14:paraId="15DEBF92" w14:textId="2BE747FE" w:rsidR="00B12B68" w:rsidRPr="00B12B68" w:rsidRDefault="0DBEE045" w:rsidP="17CECF10">
      <w:pPr>
        <w:pStyle w:val="ListParagraph"/>
        <w:tabs>
          <w:tab w:val="left" w:pos="450"/>
        </w:tabs>
        <w:spacing w:after="200" w:line="360" w:lineRule="auto"/>
        <w:ind w:firstLine="720"/>
        <w:rPr>
          <w:rStyle w:val="normaltextrun"/>
          <w:rFonts w:ascii="Segoe UI" w:hAnsi="Segoe UI" w:cs="Segoe UI"/>
          <w:szCs w:val="24"/>
        </w:rPr>
      </w:pPr>
      <w:r w:rsidRPr="17CECF10">
        <w:rPr>
          <w:rStyle w:val="normaltextrun"/>
          <w:rFonts w:ascii="Segoe UI" w:hAnsi="Segoe UI" w:cs="Segoe UI"/>
          <w:szCs w:val="24"/>
        </w:rPr>
        <w:t xml:space="preserve">Another example </w:t>
      </w:r>
      <w:r w:rsidR="0F12A554" w:rsidRPr="17CECF10">
        <w:rPr>
          <w:rStyle w:val="normaltextrun"/>
          <w:rFonts w:ascii="Segoe UI" w:hAnsi="Segoe UI" w:cs="Segoe UI"/>
          <w:szCs w:val="24"/>
        </w:rPr>
        <w:t>o</w:t>
      </w:r>
      <w:r w:rsidRPr="17CECF10">
        <w:rPr>
          <w:rStyle w:val="normaltextrun"/>
          <w:rFonts w:ascii="Segoe UI" w:hAnsi="Segoe UI" w:cs="Segoe UI"/>
          <w:szCs w:val="24"/>
        </w:rPr>
        <w:t xml:space="preserve">f this is with design fees; the fee increases will recover more of the cost of design patent examination with design fees. </w:t>
      </w:r>
      <w:r w:rsidR="25257D30" w:rsidRPr="17CECF10">
        <w:rPr>
          <w:rStyle w:val="normaltextrun"/>
          <w:rFonts w:ascii="Segoe UI" w:hAnsi="Segoe UI" w:cs="Segoe UI"/>
          <w:szCs w:val="24"/>
        </w:rPr>
        <w:t xml:space="preserve">The USPTO encourages innovation by maintaining low barriers to entry into the patent system. Design fees are set below the agency’s costs for </w:t>
      </w:r>
      <w:proofErr w:type="spellStart"/>
      <w:r w:rsidR="25257D30" w:rsidRPr="17CECF10">
        <w:rPr>
          <w:rStyle w:val="normaltextrun"/>
          <w:rFonts w:ascii="Segoe UI" w:hAnsi="Segoe UI" w:cs="Segoe UI"/>
          <w:szCs w:val="24"/>
        </w:rPr>
        <w:t>preexamination</w:t>
      </w:r>
      <w:proofErr w:type="spellEnd"/>
      <w:r w:rsidR="25257D30" w:rsidRPr="17CECF10">
        <w:rPr>
          <w:rStyle w:val="normaltextrun"/>
          <w:rFonts w:ascii="Segoe UI" w:hAnsi="Segoe UI" w:cs="Segoe UI"/>
          <w:szCs w:val="24"/>
        </w:rPr>
        <w:t>, search, and examination, and are further reduced by 60</w:t>
      </w:r>
      <w:r w:rsidR="4F2631EC" w:rsidRPr="17CECF10">
        <w:rPr>
          <w:rStyle w:val="normaltextrun"/>
          <w:rFonts w:ascii="Segoe UI" w:hAnsi="Segoe UI" w:cs="Segoe UI"/>
          <w:szCs w:val="24"/>
        </w:rPr>
        <w:t>%</w:t>
      </w:r>
      <w:r w:rsidR="7F12848D" w:rsidRPr="17CECF10">
        <w:rPr>
          <w:rStyle w:val="normaltextrun"/>
          <w:rFonts w:ascii="Segoe UI" w:hAnsi="Segoe UI" w:cs="Segoe UI"/>
          <w:szCs w:val="24"/>
        </w:rPr>
        <w:t xml:space="preserve"> </w:t>
      </w:r>
      <w:r w:rsidR="25257D30" w:rsidRPr="17CECF10">
        <w:rPr>
          <w:rStyle w:val="normaltextrun"/>
          <w:rFonts w:ascii="Segoe UI" w:hAnsi="Segoe UI" w:cs="Segoe UI"/>
          <w:szCs w:val="24"/>
        </w:rPr>
        <w:t>for small entities and by 80</w:t>
      </w:r>
      <w:r w:rsidR="27348539" w:rsidRPr="17CECF10">
        <w:rPr>
          <w:rStyle w:val="normaltextrun"/>
          <w:rFonts w:ascii="Segoe UI" w:hAnsi="Segoe UI" w:cs="Segoe UI"/>
          <w:szCs w:val="24"/>
        </w:rPr>
        <w:t>%</w:t>
      </w:r>
      <w:r w:rsidR="073F765D" w:rsidRPr="17CECF10">
        <w:rPr>
          <w:rStyle w:val="normaltextrun"/>
          <w:rFonts w:ascii="Segoe UI" w:hAnsi="Segoe UI" w:cs="Segoe UI"/>
          <w:szCs w:val="24"/>
        </w:rPr>
        <w:t xml:space="preserve"> </w:t>
      </w:r>
      <w:r w:rsidR="25257D30" w:rsidRPr="17CECF10">
        <w:rPr>
          <w:rStyle w:val="normaltextrun"/>
          <w:rFonts w:ascii="Segoe UI" w:hAnsi="Segoe UI" w:cs="Segoe UI"/>
          <w:szCs w:val="24"/>
        </w:rPr>
        <w:t>for micro entities. Because design patent holders do not pay</w:t>
      </w:r>
      <w:r w:rsidR="3181CF71" w:rsidRPr="17CECF10">
        <w:rPr>
          <w:rStyle w:val="normaltextrun"/>
          <w:rFonts w:ascii="Segoe UI" w:hAnsi="Segoe UI" w:cs="Segoe UI"/>
          <w:szCs w:val="24"/>
        </w:rPr>
        <w:t xml:space="preserve"> a</w:t>
      </w:r>
      <w:r w:rsidR="25257D30" w:rsidRPr="17CECF10">
        <w:rPr>
          <w:rStyle w:val="normaltextrun"/>
          <w:rFonts w:ascii="Segoe UI" w:hAnsi="Segoe UI" w:cs="Segoe UI"/>
          <w:szCs w:val="24"/>
        </w:rPr>
        <w:t xml:space="preserve"> maintenance fee, the USPTO can only recover those front</w:t>
      </w:r>
      <w:r w:rsidR="18BD735F" w:rsidRPr="17CECF10">
        <w:rPr>
          <w:rStyle w:val="normaltextrun"/>
          <w:rFonts w:ascii="Segoe UI" w:hAnsi="Segoe UI" w:cs="Segoe UI"/>
          <w:szCs w:val="24"/>
        </w:rPr>
        <w:t>-</w:t>
      </w:r>
      <w:r w:rsidR="25257D30" w:rsidRPr="17CECF10">
        <w:rPr>
          <w:rStyle w:val="normaltextrun"/>
          <w:rFonts w:ascii="Segoe UI" w:hAnsi="Segoe UI" w:cs="Segoe UI"/>
          <w:szCs w:val="24"/>
        </w:rPr>
        <w:t xml:space="preserve">end fees through issue fees, for allowed patents. </w:t>
      </w:r>
      <w:r w:rsidR="5CCBDF18" w:rsidRPr="17CECF10">
        <w:rPr>
          <w:rStyle w:val="normaltextrun"/>
          <w:rFonts w:ascii="Segoe UI" w:hAnsi="Segoe UI" w:cs="Segoe UI"/>
          <w:szCs w:val="24"/>
        </w:rPr>
        <w:t>T</w:t>
      </w:r>
      <w:r w:rsidR="25257D30" w:rsidRPr="17CECF10">
        <w:rPr>
          <w:rStyle w:val="normaltextrun"/>
          <w:rFonts w:ascii="Segoe UI" w:hAnsi="Segoe UI" w:cs="Segoe UI"/>
          <w:szCs w:val="24"/>
        </w:rPr>
        <w:t xml:space="preserve">he USPTO is not permitted to establish maintenance fees for design or plant patents (see 35 U.S.C. 41(b)(3)), </w:t>
      </w:r>
      <w:r w:rsidR="777E8956" w:rsidRPr="17CECF10">
        <w:rPr>
          <w:rStyle w:val="normaltextrun"/>
          <w:rFonts w:ascii="Segoe UI" w:hAnsi="Segoe UI" w:cs="Segoe UI"/>
          <w:szCs w:val="24"/>
        </w:rPr>
        <w:t xml:space="preserve">which presents challenges to </w:t>
      </w:r>
      <w:r w:rsidR="25257D30" w:rsidRPr="17CECF10">
        <w:rPr>
          <w:rStyle w:val="normaltextrun"/>
          <w:rFonts w:ascii="Segoe UI" w:hAnsi="Segoe UI" w:cs="Segoe UI"/>
          <w:szCs w:val="24"/>
        </w:rPr>
        <w:t>recovering the cost of the search and exam</w:t>
      </w:r>
      <w:r w:rsidR="36361582" w:rsidRPr="17CECF10">
        <w:rPr>
          <w:rStyle w:val="normaltextrun"/>
          <w:rFonts w:ascii="Segoe UI" w:hAnsi="Segoe UI" w:cs="Segoe UI"/>
          <w:szCs w:val="24"/>
        </w:rPr>
        <w:t>i</w:t>
      </w:r>
      <w:r w:rsidR="25257D30" w:rsidRPr="17CECF10">
        <w:rPr>
          <w:rStyle w:val="normaltextrun"/>
          <w:rFonts w:ascii="Segoe UI" w:hAnsi="Segoe UI" w:cs="Segoe UI"/>
          <w:szCs w:val="24"/>
        </w:rPr>
        <w:t>nation of design patent applications.</w:t>
      </w:r>
    </w:p>
    <w:p w14:paraId="1D67EF0D" w14:textId="4573FE33" w:rsidR="00B12B68" w:rsidRPr="00B12B68" w:rsidRDefault="00F353D8" w:rsidP="17CECF10">
      <w:pPr>
        <w:pStyle w:val="ListParagraph"/>
        <w:tabs>
          <w:tab w:val="left" w:pos="450"/>
        </w:tabs>
        <w:spacing w:line="360" w:lineRule="auto"/>
        <w:rPr>
          <w:rStyle w:val="normaltextrun"/>
          <w:rFonts w:ascii="Segoe UI" w:hAnsi="Segoe UI" w:cs="Segoe UI"/>
          <w:szCs w:val="24"/>
        </w:rPr>
      </w:pPr>
      <w:r>
        <w:rPr>
          <w:rStyle w:val="normaltextrun"/>
          <w:rFonts w:ascii="Segoe UI" w:hAnsi="Segoe UI" w:cs="Segoe UI"/>
        </w:rPr>
        <w:tab/>
      </w:r>
      <w:r w:rsidR="25257D30" w:rsidRPr="17CECF10">
        <w:rPr>
          <w:rStyle w:val="normaltextrun"/>
          <w:rFonts w:ascii="Segoe UI" w:hAnsi="Segoe UI" w:cs="Segoe UI"/>
          <w:szCs w:val="24"/>
        </w:rPr>
        <w:t xml:space="preserve">Currently, the undiscounted design fees ($1,760 total for filing, search, examination, and issue fees) are set well below the cost of their associated services for both new design applications ($2,252 cost in FY 2023) and </w:t>
      </w:r>
      <w:r w:rsidR="2D51F886" w:rsidRPr="17CECF10">
        <w:rPr>
          <w:rStyle w:val="normaltextrun"/>
          <w:rFonts w:ascii="Segoe UI" w:hAnsi="Segoe UI" w:cs="Segoe UI"/>
          <w:szCs w:val="24"/>
        </w:rPr>
        <w:t xml:space="preserve">design </w:t>
      </w:r>
      <w:r w:rsidR="00777046">
        <w:rPr>
          <w:rStyle w:val="normaltextrun"/>
          <w:rFonts w:ascii="Segoe UI" w:hAnsi="Segoe UI" w:cs="Segoe UI"/>
          <w:szCs w:val="24"/>
        </w:rPr>
        <w:t>c</w:t>
      </w:r>
      <w:r w:rsidR="00777046" w:rsidRPr="17CECF10">
        <w:rPr>
          <w:rStyle w:val="normaltextrun"/>
          <w:rFonts w:ascii="Segoe UI" w:hAnsi="Segoe UI" w:cs="Segoe UI"/>
          <w:szCs w:val="24"/>
        </w:rPr>
        <w:t xml:space="preserve">ontinued </w:t>
      </w:r>
      <w:r w:rsidR="00777046">
        <w:rPr>
          <w:rStyle w:val="normaltextrun"/>
          <w:rFonts w:ascii="Segoe UI" w:hAnsi="Segoe UI" w:cs="Segoe UI"/>
          <w:szCs w:val="24"/>
        </w:rPr>
        <w:t>p</w:t>
      </w:r>
      <w:r w:rsidR="00777046" w:rsidRPr="17CECF10">
        <w:rPr>
          <w:rStyle w:val="normaltextrun"/>
          <w:rFonts w:ascii="Segoe UI" w:hAnsi="Segoe UI" w:cs="Segoe UI"/>
          <w:szCs w:val="24"/>
        </w:rPr>
        <w:t xml:space="preserve">rosecution </w:t>
      </w:r>
      <w:r w:rsidR="00777046">
        <w:rPr>
          <w:rStyle w:val="normaltextrun"/>
          <w:rFonts w:ascii="Segoe UI" w:hAnsi="Segoe UI" w:cs="Segoe UI"/>
          <w:szCs w:val="24"/>
        </w:rPr>
        <w:t>a</w:t>
      </w:r>
      <w:r w:rsidR="00777046" w:rsidRPr="17CECF10">
        <w:rPr>
          <w:rStyle w:val="normaltextrun"/>
          <w:rFonts w:ascii="Segoe UI" w:hAnsi="Segoe UI" w:cs="Segoe UI"/>
          <w:szCs w:val="24"/>
        </w:rPr>
        <w:t xml:space="preserve">pplications </w:t>
      </w:r>
      <w:r w:rsidR="25257D30" w:rsidRPr="17CECF10">
        <w:rPr>
          <w:rStyle w:val="normaltextrun"/>
          <w:rFonts w:ascii="Segoe UI" w:hAnsi="Segoe UI" w:cs="Segoe UI"/>
          <w:szCs w:val="24"/>
        </w:rPr>
        <w:t>(CPAs) ($2,947 cost in FY 2023). The discounted design fees are significantly lower ($704 total for a small entity, and $352 total for a micro entity), even though the costs are the same. More than half of design applicants pay discounted fees, for example, of the design applications filed in FY 2023, 28</w:t>
      </w:r>
      <w:r w:rsidR="4A513EA2" w:rsidRPr="17CECF10">
        <w:rPr>
          <w:rStyle w:val="normaltextrun"/>
          <w:rFonts w:ascii="Segoe UI" w:hAnsi="Segoe UI" w:cs="Segoe UI"/>
          <w:szCs w:val="24"/>
        </w:rPr>
        <w:t>%</w:t>
      </w:r>
      <w:r w:rsidR="25257D30" w:rsidRPr="17CECF10">
        <w:rPr>
          <w:rStyle w:val="normaltextrun"/>
          <w:rFonts w:ascii="Segoe UI" w:hAnsi="Segoe UI" w:cs="Segoe UI"/>
          <w:szCs w:val="24"/>
        </w:rPr>
        <w:t xml:space="preserve"> paid the micro entity fee amount, 38</w:t>
      </w:r>
      <w:r w:rsidR="1AD1C170" w:rsidRPr="17CECF10">
        <w:rPr>
          <w:rStyle w:val="normaltextrun"/>
          <w:rFonts w:ascii="Segoe UI" w:hAnsi="Segoe UI" w:cs="Segoe UI"/>
          <w:szCs w:val="24"/>
        </w:rPr>
        <w:t>%</w:t>
      </w:r>
      <w:r w:rsidR="25257D30" w:rsidRPr="17CECF10">
        <w:rPr>
          <w:rStyle w:val="normaltextrun"/>
          <w:rFonts w:ascii="Segoe UI" w:hAnsi="Segoe UI" w:cs="Segoe UI"/>
          <w:szCs w:val="24"/>
        </w:rPr>
        <w:t xml:space="preserve"> paid the small entity fee amount, and only 34</w:t>
      </w:r>
      <w:r w:rsidR="64BD3FCC" w:rsidRPr="17CECF10">
        <w:rPr>
          <w:rStyle w:val="normaltextrun"/>
          <w:rFonts w:ascii="Segoe UI" w:hAnsi="Segoe UI" w:cs="Segoe UI"/>
          <w:szCs w:val="24"/>
        </w:rPr>
        <w:t>%</w:t>
      </w:r>
      <w:r w:rsidR="25257D30" w:rsidRPr="17CECF10">
        <w:rPr>
          <w:rStyle w:val="normaltextrun"/>
          <w:rFonts w:ascii="Segoe UI" w:hAnsi="Segoe UI" w:cs="Segoe UI"/>
          <w:szCs w:val="24"/>
        </w:rPr>
        <w:t xml:space="preserve"> paid the undiscounted fee amounts.</w:t>
      </w:r>
      <w:r w:rsidR="002E131C" w:rsidRPr="17CECF10">
        <w:rPr>
          <w:rStyle w:val="normaltextrun"/>
          <w:rFonts w:ascii="Segoe UI" w:hAnsi="Segoe UI" w:cs="Segoe UI"/>
          <w:szCs w:val="24"/>
        </w:rPr>
        <w:t xml:space="preserve"> </w:t>
      </w:r>
    </w:p>
    <w:p w14:paraId="54B542B9" w14:textId="610E59C2" w:rsidR="00B12B68" w:rsidRDefault="00F353D8" w:rsidP="17CECF10">
      <w:pPr>
        <w:pStyle w:val="ListParagraph"/>
        <w:tabs>
          <w:tab w:val="left" w:pos="450"/>
        </w:tabs>
        <w:spacing w:line="360" w:lineRule="auto"/>
        <w:rPr>
          <w:rStyle w:val="normaltextrun"/>
          <w:rFonts w:ascii="Segoe UI" w:hAnsi="Segoe UI" w:cs="Segoe UI"/>
          <w:szCs w:val="24"/>
        </w:rPr>
      </w:pPr>
      <w:r>
        <w:rPr>
          <w:rStyle w:val="normaltextrun"/>
          <w:rFonts w:ascii="Segoe UI" w:hAnsi="Segoe UI" w:cs="Segoe UI"/>
        </w:rPr>
        <w:tab/>
      </w:r>
      <w:r w:rsidR="25257D30" w:rsidRPr="17CECF10">
        <w:rPr>
          <w:rStyle w:val="normaltextrun"/>
          <w:rFonts w:ascii="Segoe UI" w:hAnsi="Segoe UI" w:cs="Segoe UI"/>
          <w:szCs w:val="24"/>
        </w:rPr>
        <w:t xml:space="preserve">As a result of design fees being set below cost, and the heavy use of entity fee discounts by design applicants, the USPTO’s collections from design fees are significantly below design costs. In FY 2023, the USPTO’s collections from design fees averaged only $1,013 per application. This </w:t>
      </w:r>
      <w:r w:rsidR="25257D30" w:rsidRPr="17CECF10">
        <w:rPr>
          <w:rStyle w:val="normaltextrun"/>
          <w:rFonts w:ascii="Segoe UI" w:hAnsi="Segoe UI" w:cs="Segoe UI"/>
          <w:szCs w:val="24"/>
        </w:rPr>
        <w:lastRenderedPageBreak/>
        <w:t>resulted in a shortfall of $1,239 per design application</w:t>
      </w:r>
      <w:r w:rsidR="3372491E" w:rsidRPr="17CECF10">
        <w:rPr>
          <w:rStyle w:val="normaltextrun"/>
          <w:rFonts w:ascii="Segoe UI" w:hAnsi="Segoe UI" w:cs="Segoe UI"/>
          <w:szCs w:val="24"/>
        </w:rPr>
        <w:t xml:space="preserve">, </w:t>
      </w:r>
      <w:r w:rsidR="25257D30" w:rsidRPr="17CECF10">
        <w:rPr>
          <w:rStyle w:val="normaltextrun"/>
          <w:rFonts w:ascii="Segoe UI" w:hAnsi="Segoe UI" w:cs="Segoe UI"/>
          <w:szCs w:val="24"/>
        </w:rPr>
        <w:t>which represented 55</w:t>
      </w:r>
      <w:r w:rsidR="78B2C3E6" w:rsidRPr="17CECF10">
        <w:rPr>
          <w:rStyle w:val="normaltextrun"/>
          <w:rFonts w:ascii="Segoe UI" w:hAnsi="Segoe UI" w:cs="Segoe UI"/>
          <w:szCs w:val="24"/>
        </w:rPr>
        <w:t>%</w:t>
      </w:r>
      <w:r w:rsidR="25257D30" w:rsidRPr="17CECF10">
        <w:rPr>
          <w:rStyle w:val="normaltextrun"/>
          <w:rFonts w:ascii="Segoe UI" w:hAnsi="Segoe UI" w:cs="Segoe UI"/>
          <w:szCs w:val="24"/>
        </w:rPr>
        <w:t xml:space="preserve"> of the cost. In other words, design applicants, on an aggregate basis, only paid for about 45</w:t>
      </w:r>
      <w:r w:rsidR="2BCD3F65" w:rsidRPr="17CECF10">
        <w:rPr>
          <w:rStyle w:val="normaltextrun"/>
          <w:rFonts w:ascii="Segoe UI" w:hAnsi="Segoe UI" w:cs="Segoe UI"/>
          <w:szCs w:val="24"/>
        </w:rPr>
        <w:t>%</w:t>
      </w:r>
      <w:r w:rsidR="25257D30" w:rsidRPr="17CECF10">
        <w:rPr>
          <w:rStyle w:val="normaltextrun"/>
          <w:rFonts w:ascii="Segoe UI" w:hAnsi="Segoe UI" w:cs="Segoe UI"/>
          <w:szCs w:val="24"/>
        </w:rPr>
        <w:t xml:space="preserve"> of design costs. </w:t>
      </w:r>
      <w:r>
        <w:rPr>
          <w:rStyle w:val="normaltextrun"/>
          <w:rFonts w:ascii="Segoe UI" w:hAnsi="Segoe UI" w:cs="Segoe UI"/>
        </w:rPr>
        <w:tab/>
      </w:r>
      <w:r w:rsidR="25257D30" w:rsidRPr="17CECF10">
        <w:rPr>
          <w:rStyle w:val="normaltextrun"/>
          <w:rFonts w:ascii="Segoe UI" w:hAnsi="Segoe UI" w:cs="Segoe UI"/>
          <w:szCs w:val="24"/>
        </w:rPr>
        <w:t>Historically, this difference between design fees and design costs did not result in a significant subsidy because the annual volume of design applications was much lower than the annual volume of issued utility patents.</w:t>
      </w:r>
      <w:r w:rsidR="002E131C" w:rsidRPr="17CECF10">
        <w:rPr>
          <w:rStyle w:val="normaltextrun"/>
          <w:rFonts w:ascii="Segoe UI" w:hAnsi="Segoe UI" w:cs="Segoe UI"/>
          <w:szCs w:val="24"/>
        </w:rPr>
        <w:t xml:space="preserve"> </w:t>
      </w:r>
      <w:r w:rsidR="25257D30" w:rsidRPr="17CECF10">
        <w:rPr>
          <w:rStyle w:val="normaltextrun"/>
          <w:rFonts w:ascii="Segoe UI" w:hAnsi="Segoe UI" w:cs="Segoe UI"/>
          <w:szCs w:val="24"/>
        </w:rPr>
        <w:t>However, this subsidy has grown in recent years.</w:t>
      </w:r>
      <w:r w:rsidR="25257D30" w:rsidRPr="17CECF10">
        <w:rPr>
          <w:szCs w:val="24"/>
        </w:rPr>
        <w:t xml:space="preserve"> </w:t>
      </w:r>
      <w:r w:rsidR="25257D30" w:rsidRPr="17CECF10">
        <w:rPr>
          <w:rStyle w:val="normaltextrun"/>
          <w:rFonts w:ascii="Segoe UI" w:hAnsi="Segoe UI" w:cs="Segoe UI"/>
          <w:szCs w:val="24"/>
        </w:rPr>
        <w:t xml:space="preserve">See e.g., FY 2023 Workload Table 1, available on the USPTO website at https://www.uspto.gov/AnnualReport. Furthermore, most of the growth in design application filings is attributable to applications in which discounted fees are paid.  </w:t>
      </w:r>
    </w:p>
    <w:p w14:paraId="76617586" w14:textId="53AF5879" w:rsidR="00183E6F" w:rsidRPr="00183E6F" w:rsidRDefault="00F353D8" w:rsidP="17CECF10">
      <w:pPr>
        <w:pStyle w:val="ListParagraph"/>
        <w:tabs>
          <w:tab w:val="left" w:pos="450"/>
        </w:tabs>
        <w:spacing w:line="360" w:lineRule="auto"/>
        <w:rPr>
          <w:rStyle w:val="normaltextrun"/>
          <w:rFonts w:ascii="Segoe UI" w:hAnsi="Segoe UI" w:cs="Segoe UI"/>
          <w:szCs w:val="24"/>
        </w:rPr>
      </w:pPr>
      <w:r>
        <w:rPr>
          <w:rStyle w:val="normaltextrun"/>
          <w:rFonts w:ascii="Segoe UI" w:hAnsi="Segoe UI" w:cs="Segoe UI"/>
        </w:rPr>
        <w:tab/>
      </w:r>
      <w:r w:rsidR="25257D30" w:rsidRPr="17CECF10">
        <w:rPr>
          <w:rStyle w:val="normaltextrun"/>
          <w:rFonts w:ascii="Segoe UI" w:hAnsi="Segoe UI" w:cs="Segoe UI"/>
          <w:szCs w:val="24"/>
        </w:rPr>
        <w:t xml:space="preserve">The USPTO is increasing the fees for design patent applications, to </w:t>
      </w:r>
      <w:r w:rsidR="3372491E" w:rsidRPr="17CECF10">
        <w:rPr>
          <w:rStyle w:val="normaltextrun"/>
          <w:rFonts w:ascii="Segoe UI" w:hAnsi="Segoe UI" w:cs="Segoe UI"/>
          <w:szCs w:val="24"/>
        </w:rPr>
        <w:t xml:space="preserve">recover more design costs from design applicants. The USPTO has </w:t>
      </w:r>
      <w:r w:rsidR="08781CD1" w:rsidRPr="17CECF10">
        <w:rPr>
          <w:rStyle w:val="normaltextrun"/>
          <w:rFonts w:ascii="Segoe UI" w:hAnsi="Segoe UI" w:cs="Segoe UI"/>
          <w:szCs w:val="24"/>
        </w:rPr>
        <w:t xml:space="preserve">maintained a low barrier to entry </w:t>
      </w:r>
      <w:r w:rsidR="3372491E" w:rsidRPr="17CECF10">
        <w:rPr>
          <w:rStyle w:val="normaltextrun"/>
          <w:rFonts w:ascii="Segoe UI" w:hAnsi="Segoe UI" w:cs="Segoe UI"/>
          <w:szCs w:val="24"/>
        </w:rPr>
        <w:t xml:space="preserve">by balancing relatively low front-end fees against the higher design issue fee and the reduced but still large subsidy from utility maintenance fees. </w:t>
      </w:r>
    </w:p>
    <w:p w14:paraId="6A162552" w14:textId="3BE09E8A" w:rsidR="00F353D8" w:rsidRPr="00F353D8" w:rsidRDefault="67A9DCE3" w:rsidP="17CECF10">
      <w:pPr>
        <w:pStyle w:val="ListParagraph"/>
        <w:numPr>
          <w:ilvl w:val="0"/>
          <w:numId w:val="6"/>
        </w:numPr>
        <w:tabs>
          <w:tab w:val="left" w:pos="450"/>
        </w:tabs>
        <w:spacing w:line="360" w:lineRule="auto"/>
        <w:ind w:left="720"/>
        <w:rPr>
          <w:rFonts w:ascii="Segoe UI" w:hAnsi="Segoe UI" w:cs="Segoe UI"/>
          <w:szCs w:val="24"/>
        </w:rPr>
      </w:pPr>
      <w:r w:rsidRPr="17CECF10">
        <w:rPr>
          <w:rFonts w:ascii="Segoe UI" w:hAnsi="Segoe UI" w:cs="Segoe UI"/>
          <w:b/>
          <w:bCs/>
          <w:szCs w:val="24"/>
        </w:rPr>
        <w:t>Facilitating effective administration of the patent system:</w:t>
      </w:r>
      <w:r w:rsidR="2171104A" w:rsidRPr="17CECF10">
        <w:rPr>
          <w:rFonts w:ascii="Segoe UI" w:hAnsi="Segoe UI" w:cs="Segoe UI"/>
          <w:b/>
          <w:bCs/>
          <w:i/>
          <w:iCs/>
          <w:szCs w:val="24"/>
        </w:rPr>
        <w:t xml:space="preserve"> </w:t>
      </w:r>
      <w:r w:rsidR="75BD3094" w:rsidRPr="17CECF10">
        <w:rPr>
          <w:rFonts w:ascii="Segoe UI" w:hAnsi="Segoe UI" w:cs="Segoe UI"/>
          <w:szCs w:val="24"/>
        </w:rPr>
        <w:t xml:space="preserve">The Final Patent Fee Schedule (Alternative 1) facilitates the effective administration of the patent system. An example of this is the increased </w:t>
      </w:r>
      <w:r w:rsidR="35C07BBC" w:rsidRPr="17CECF10">
        <w:rPr>
          <w:rFonts w:ascii="Segoe UI" w:hAnsi="Segoe UI" w:cs="Segoe UI"/>
          <w:szCs w:val="24"/>
        </w:rPr>
        <w:t xml:space="preserve">fee for filing, or later presenting at any other time, each independent claim in excess of three, as well as each claim (whether dependent or independent) in excess of 20. </w:t>
      </w:r>
      <w:r w:rsidR="65E79C61" w:rsidRPr="17CECF10">
        <w:rPr>
          <w:rFonts w:ascii="Segoe UI" w:hAnsi="Segoe UI" w:cs="Segoe UI"/>
          <w:szCs w:val="24"/>
        </w:rPr>
        <w:t xml:space="preserve">Excess claiming can be a significant burden to the patent system and the USPTO. The number of claims impacts the complexity of examination and increases the demands placed on the examiner. For example, each independent claim in an application requires a completely separate prior art patentability determination, so if an application contains six independent claims, the examiner must conduct six completely separate prior art patentability determinations. Excess dependent claims also represent </w:t>
      </w:r>
      <w:r w:rsidR="65E79C61" w:rsidRPr="17CECF10">
        <w:rPr>
          <w:rFonts w:ascii="Segoe UI" w:hAnsi="Segoe UI" w:cs="Segoe UI"/>
          <w:szCs w:val="24"/>
        </w:rPr>
        <w:lastRenderedPageBreak/>
        <w:t xml:space="preserve">additional work, because a dependent claim may be allowable over the prior art even if the claim from which it depends is not, and dependent claims also require separate patentability determinations for non-prior-art based issues such as enablement, subject matter eligibility, utility, and written description. Thus, applicants who include excess claims are using the patent system more extensively than those who do not. </w:t>
      </w:r>
    </w:p>
    <w:p w14:paraId="0832BC6B" w14:textId="5BA3FA4B" w:rsidR="00F353D8" w:rsidRDefault="00F353D8" w:rsidP="17CECF10">
      <w:pPr>
        <w:pStyle w:val="ListParagraph"/>
        <w:tabs>
          <w:tab w:val="left" w:pos="450"/>
        </w:tabs>
        <w:spacing w:line="360" w:lineRule="auto"/>
        <w:rPr>
          <w:rFonts w:ascii="Segoe UI" w:hAnsi="Segoe UI" w:cs="Segoe UI"/>
          <w:szCs w:val="24"/>
        </w:rPr>
      </w:pPr>
      <w:r>
        <w:rPr>
          <w:rFonts w:ascii="Segoe UI" w:hAnsi="Segoe UI" w:cs="Segoe UI"/>
        </w:rPr>
        <w:tab/>
      </w:r>
      <w:r w:rsidR="65E79C61" w:rsidRPr="17CECF10">
        <w:rPr>
          <w:rFonts w:ascii="Segoe UI" w:hAnsi="Segoe UI" w:cs="Segoe UI"/>
          <w:szCs w:val="24"/>
        </w:rPr>
        <w:t>Moreover, examination efficiency is promoted when there is a high frequency of applications with 20 claims or fewer. Thus, these fee changes will enhance prosecution, because the USPTO believes that applicants motivated by costs will be incentivized by the fee adjustments to not file excess claims. The agency has increased excess claim fees several times during the last 20 years, which has been very effective at reducing excess claims from their peak in the early 2000s. For instance, in FY 2021, 82</w:t>
      </w:r>
      <w:r w:rsidR="29D6E4B4" w:rsidRPr="17CECF10">
        <w:rPr>
          <w:rFonts w:ascii="Segoe UI" w:hAnsi="Segoe UI" w:cs="Segoe UI"/>
          <w:szCs w:val="24"/>
        </w:rPr>
        <w:t>%</w:t>
      </w:r>
      <w:r w:rsidR="65E79C61" w:rsidRPr="17CECF10">
        <w:rPr>
          <w:rFonts w:ascii="Segoe UI" w:hAnsi="Segoe UI" w:cs="Segoe UI"/>
          <w:szCs w:val="24"/>
        </w:rPr>
        <w:t xml:space="preserve"> of applications did not contain any excess claims, and 18</w:t>
      </w:r>
      <w:r w:rsidR="05BA143A" w:rsidRPr="17CECF10">
        <w:rPr>
          <w:rFonts w:ascii="Segoe UI" w:hAnsi="Segoe UI" w:cs="Segoe UI"/>
          <w:szCs w:val="24"/>
        </w:rPr>
        <w:t>%</w:t>
      </w:r>
      <w:r w:rsidR="65E79C61" w:rsidRPr="17CECF10">
        <w:rPr>
          <w:rFonts w:ascii="Segoe UI" w:hAnsi="Segoe UI" w:cs="Segoe UI"/>
          <w:szCs w:val="24"/>
        </w:rPr>
        <w:t xml:space="preserve"> contained excess total claims, excess independent claims, or both (11</w:t>
      </w:r>
      <w:r w:rsidR="41F5D623" w:rsidRPr="17CECF10">
        <w:rPr>
          <w:rFonts w:ascii="Segoe UI" w:hAnsi="Segoe UI" w:cs="Segoe UI"/>
          <w:szCs w:val="24"/>
        </w:rPr>
        <w:t>%</w:t>
      </w:r>
      <w:r w:rsidR="65E79C61" w:rsidRPr="17CECF10">
        <w:rPr>
          <w:rFonts w:ascii="Segoe UI" w:hAnsi="Segoe UI" w:cs="Segoe UI"/>
          <w:szCs w:val="24"/>
        </w:rPr>
        <w:t xml:space="preserve"> contained excess total claims only, 3.6</w:t>
      </w:r>
      <w:r w:rsidR="3021FC6B" w:rsidRPr="17CECF10">
        <w:rPr>
          <w:rFonts w:ascii="Segoe UI" w:hAnsi="Segoe UI" w:cs="Segoe UI"/>
          <w:szCs w:val="24"/>
        </w:rPr>
        <w:t>%</w:t>
      </w:r>
      <w:r w:rsidR="65E79C61" w:rsidRPr="17CECF10">
        <w:rPr>
          <w:rFonts w:ascii="Segoe UI" w:hAnsi="Segoe UI" w:cs="Segoe UI"/>
          <w:szCs w:val="24"/>
        </w:rPr>
        <w:t xml:space="preserve"> contained excess independent claims only, and 3.7</w:t>
      </w:r>
      <w:r w:rsidR="3021FC6B" w:rsidRPr="17CECF10">
        <w:rPr>
          <w:rFonts w:ascii="Segoe UI" w:hAnsi="Segoe UI" w:cs="Segoe UI"/>
          <w:szCs w:val="24"/>
        </w:rPr>
        <w:t>%</w:t>
      </w:r>
      <w:r w:rsidR="65E79C61" w:rsidRPr="17CECF10">
        <w:rPr>
          <w:rFonts w:ascii="Segoe UI" w:hAnsi="Segoe UI" w:cs="Segoe UI"/>
          <w:szCs w:val="24"/>
        </w:rPr>
        <w:t xml:space="preserve"> contained both excess total claims and excess independent claims). These percentages are in line with historic values over the last decade.</w:t>
      </w:r>
    </w:p>
    <w:p w14:paraId="1F6EF4E2" w14:textId="499DD635" w:rsidR="003F546D" w:rsidRPr="005C3134" w:rsidRDefault="00F353D8" w:rsidP="17CECF10">
      <w:pPr>
        <w:pStyle w:val="ListParagraph"/>
        <w:tabs>
          <w:tab w:val="left" w:pos="450"/>
        </w:tabs>
        <w:spacing w:line="360" w:lineRule="auto"/>
        <w:rPr>
          <w:rFonts w:ascii="Segoe UI" w:hAnsi="Segoe UI" w:cs="Segoe UI"/>
          <w:szCs w:val="24"/>
        </w:rPr>
      </w:pPr>
      <w:r>
        <w:rPr>
          <w:rFonts w:ascii="Segoe UI" w:hAnsi="Segoe UI" w:cs="Segoe UI"/>
        </w:rPr>
        <w:tab/>
      </w:r>
      <w:r w:rsidR="35C07BBC" w:rsidRPr="17CECF10">
        <w:rPr>
          <w:rFonts w:ascii="Segoe UI" w:hAnsi="Segoe UI" w:cs="Segoe UI"/>
          <w:szCs w:val="24"/>
        </w:rPr>
        <w:t xml:space="preserve">The </w:t>
      </w:r>
      <w:r w:rsidR="59216CA9" w:rsidRPr="17CECF10">
        <w:rPr>
          <w:rFonts w:ascii="Segoe UI" w:hAnsi="Segoe UI" w:cs="Segoe UI"/>
          <w:szCs w:val="24"/>
        </w:rPr>
        <w:t xml:space="preserve">USPTO designed these </w:t>
      </w:r>
      <w:r w:rsidR="35C07BBC" w:rsidRPr="17CECF10">
        <w:rPr>
          <w:rFonts w:ascii="Segoe UI" w:hAnsi="Segoe UI" w:cs="Segoe UI"/>
          <w:szCs w:val="24"/>
        </w:rPr>
        <w:t>changes to promote compact prosecution</w:t>
      </w:r>
      <w:r w:rsidR="59216CA9" w:rsidRPr="17CECF10">
        <w:rPr>
          <w:rFonts w:ascii="Segoe UI" w:hAnsi="Segoe UI" w:cs="Segoe UI"/>
          <w:szCs w:val="24"/>
        </w:rPr>
        <w:t xml:space="preserve"> and incentivize a</w:t>
      </w:r>
      <w:r w:rsidR="35C07BBC" w:rsidRPr="17CECF10">
        <w:rPr>
          <w:rFonts w:ascii="Segoe UI" w:hAnsi="Segoe UI" w:cs="Segoe UI"/>
          <w:szCs w:val="24"/>
        </w:rPr>
        <w:t>pplicants motivated by costs</w:t>
      </w:r>
      <w:r w:rsidR="3A9F34D2" w:rsidRPr="17CECF10">
        <w:rPr>
          <w:rFonts w:ascii="Segoe UI" w:hAnsi="Segoe UI" w:cs="Segoe UI"/>
          <w:szCs w:val="24"/>
        </w:rPr>
        <w:t xml:space="preserve"> to</w:t>
      </w:r>
      <w:r w:rsidR="35C07BBC" w:rsidRPr="17CECF10">
        <w:rPr>
          <w:rFonts w:ascii="Segoe UI" w:hAnsi="Segoe UI" w:cs="Segoe UI"/>
          <w:szCs w:val="24"/>
        </w:rPr>
        <w:t xml:space="preserve"> not to file excess claims. </w:t>
      </w:r>
      <w:r w:rsidR="1E5E9E52" w:rsidRPr="17CECF10">
        <w:rPr>
          <w:rFonts w:ascii="Segoe UI" w:hAnsi="Segoe UI" w:cs="Segoe UI"/>
          <w:szCs w:val="24"/>
        </w:rPr>
        <w:t>T</w:t>
      </w:r>
      <w:r w:rsidR="35C07BBC" w:rsidRPr="17CECF10">
        <w:rPr>
          <w:rFonts w:ascii="Segoe UI" w:hAnsi="Segoe UI" w:cs="Segoe UI"/>
          <w:szCs w:val="24"/>
        </w:rPr>
        <w:t xml:space="preserve">hese changes </w:t>
      </w:r>
      <w:r w:rsidR="1E5E9E52" w:rsidRPr="17CECF10">
        <w:rPr>
          <w:rFonts w:ascii="Segoe UI" w:hAnsi="Segoe UI" w:cs="Segoe UI"/>
          <w:szCs w:val="24"/>
        </w:rPr>
        <w:t xml:space="preserve">will </w:t>
      </w:r>
      <w:r w:rsidR="290CB944" w:rsidRPr="17CECF10">
        <w:rPr>
          <w:rFonts w:ascii="Segoe UI" w:hAnsi="Segoe UI" w:cs="Segoe UI"/>
          <w:szCs w:val="24"/>
        </w:rPr>
        <w:t xml:space="preserve">also </w:t>
      </w:r>
      <w:r w:rsidR="35C07BBC" w:rsidRPr="17CECF10">
        <w:rPr>
          <w:rFonts w:ascii="Segoe UI" w:hAnsi="Segoe UI" w:cs="Segoe UI"/>
          <w:szCs w:val="24"/>
        </w:rPr>
        <w:t xml:space="preserve">provide more revenue to help cover additional search and examination costs associated with excess claims and </w:t>
      </w:r>
      <w:r w:rsidR="1E5E9E52" w:rsidRPr="17CECF10">
        <w:rPr>
          <w:rFonts w:ascii="Segoe UI" w:hAnsi="Segoe UI" w:cs="Segoe UI"/>
          <w:szCs w:val="24"/>
        </w:rPr>
        <w:t xml:space="preserve">recoup </w:t>
      </w:r>
      <w:r w:rsidR="35C07BBC" w:rsidRPr="17CECF10">
        <w:rPr>
          <w:rFonts w:ascii="Segoe UI" w:hAnsi="Segoe UI" w:cs="Segoe UI"/>
          <w:szCs w:val="24"/>
        </w:rPr>
        <w:t>prosecution costs not covered by front-end fees.</w:t>
      </w:r>
    </w:p>
    <w:p w14:paraId="4BDA056F" w14:textId="77777777" w:rsidR="00A47E65" w:rsidRDefault="007E342E" w:rsidP="003102A3">
      <w:pPr>
        <w:tabs>
          <w:tab w:val="left" w:pos="450"/>
        </w:tabs>
        <w:spacing w:line="360" w:lineRule="auto"/>
        <w:ind w:left="720"/>
        <w:contextualSpacing/>
        <w:rPr>
          <w:rFonts w:ascii="Segoe UI" w:hAnsi="Segoe UI" w:cs="Segoe UI"/>
        </w:rPr>
      </w:pPr>
      <w:r w:rsidRPr="005C3134">
        <w:rPr>
          <w:rFonts w:ascii="Segoe UI" w:hAnsi="Segoe UI" w:cs="Segoe UI"/>
        </w:rPr>
        <w:tab/>
      </w:r>
    </w:p>
    <w:p w14:paraId="16745A63" w14:textId="77777777" w:rsidR="00A47E65" w:rsidRDefault="00A47E65">
      <w:pPr>
        <w:spacing w:after="200" w:line="276" w:lineRule="auto"/>
        <w:rPr>
          <w:rFonts w:ascii="Segoe UI" w:hAnsi="Segoe UI" w:cs="Segoe UI"/>
        </w:rPr>
      </w:pPr>
      <w:r>
        <w:rPr>
          <w:rFonts w:ascii="Segoe UI" w:hAnsi="Segoe UI" w:cs="Segoe UI"/>
        </w:rPr>
        <w:br w:type="page"/>
      </w:r>
    </w:p>
    <w:p w14:paraId="63156917" w14:textId="060F5D20" w:rsidR="006C058C" w:rsidRPr="005C3134" w:rsidRDefault="4FFC94AA" w:rsidP="003102A3">
      <w:pPr>
        <w:tabs>
          <w:tab w:val="left" w:pos="450"/>
        </w:tabs>
        <w:spacing w:line="360" w:lineRule="auto"/>
        <w:ind w:left="720"/>
        <w:contextualSpacing/>
        <w:rPr>
          <w:rFonts w:ascii="Segoe UI" w:hAnsi="Segoe UI" w:cs="Segoe UI"/>
          <w:b/>
          <w:bCs/>
        </w:rPr>
      </w:pPr>
      <w:r w:rsidRPr="005C3134">
        <w:rPr>
          <w:rFonts w:ascii="Segoe UI" w:hAnsi="Segoe UI" w:cs="Segoe UI"/>
          <w:b/>
          <w:bCs/>
        </w:rPr>
        <w:lastRenderedPageBreak/>
        <w:t>Offer Application Processing Options for Applicants</w:t>
      </w:r>
      <w:r w:rsidR="7C9D2404" w:rsidRPr="005C3134">
        <w:rPr>
          <w:rFonts w:ascii="Segoe UI" w:hAnsi="Segoe UI" w:cs="Segoe UI"/>
          <w:b/>
          <w:bCs/>
        </w:rPr>
        <w:t xml:space="preserve">: </w:t>
      </w:r>
    </w:p>
    <w:p w14:paraId="7671C1C4" w14:textId="2591691B" w:rsidR="00DD7273" w:rsidRPr="00DD7273" w:rsidRDefault="65E79C61" w:rsidP="00DD7273">
      <w:pPr>
        <w:tabs>
          <w:tab w:val="left" w:pos="450"/>
        </w:tabs>
        <w:spacing w:line="360" w:lineRule="auto"/>
        <w:ind w:left="720"/>
        <w:contextualSpacing/>
        <w:rPr>
          <w:rFonts w:ascii="Segoe UI" w:hAnsi="Segoe UI" w:cs="Segoe UI"/>
        </w:rPr>
      </w:pPr>
      <w:r w:rsidRPr="17CECF10">
        <w:rPr>
          <w:rFonts w:ascii="Segoe UI" w:hAnsi="Segoe UI" w:cs="Segoe UI"/>
        </w:rPr>
        <w:t xml:space="preserve">The Final Patent Fee Schedule (Alternative 1) offers application processing option for applicants. One example of this </w:t>
      </w:r>
      <w:r w:rsidR="5FFF5F11" w:rsidRPr="17CECF10">
        <w:rPr>
          <w:rFonts w:ascii="Segoe UI" w:hAnsi="Segoe UI" w:cs="Segoe UI"/>
        </w:rPr>
        <w:t xml:space="preserve">is </w:t>
      </w:r>
      <w:r w:rsidR="25A599C4" w:rsidRPr="17CECF10">
        <w:rPr>
          <w:rFonts w:ascii="Segoe UI" w:hAnsi="Segoe UI" w:cs="Segoe UI"/>
        </w:rPr>
        <w:t xml:space="preserve">the fee for </w:t>
      </w:r>
      <w:r w:rsidR="5924C00F" w:rsidRPr="17CECF10">
        <w:rPr>
          <w:rFonts w:ascii="Segoe UI" w:hAnsi="Segoe UI" w:cs="Segoe UI"/>
        </w:rPr>
        <w:t>suspensions</w:t>
      </w:r>
      <w:r w:rsidR="40A4E37B" w:rsidRPr="17CECF10">
        <w:rPr>
          <w:rFonts w:ascii="Segoe UI" w:hAnsi="Segoe UI" w:cs="Segoe UI"/>
        </w:rPr>
        <w:t xml:space="preserve"> of actions</w:t>
      </w:r>
      <w:r w:rsidR="5924C00F" w:rsidRPr="17CECF10">
        <w:rPr>
          <w:rFonts w:ascii="Segoe UI" w:hAnsi="Segoe UI" w:cs="Segoe UI"/>
        </w:rPr>
        <w:t>.</w:t>
      </w:r>
      <w:r w:rsidR="5924C00F">
        <w:t xml:space="preserve"> </w:t>
      </w:r>
      <w:r w:rsidR="5924C00F" w:rsidRPr="17CECF10">
        <w:rPr>
          <w:rFonts w:ascii="Segoe UI" w:hAnsi="Segoe UI" w:cs="Segoe UI"/>
        </w:rPr>
        <w:t>Currently, applicants can request a suspension of action for a period not exceeding six months for good and sufficient cause. The patent examiner typically decides the first request for suspension. Second and subsequent requests require Technology Center director approval. Due to the heightened approval level, these requests cost the USPTO more to process. Additionally, as more requests for suspension are requested and granted, the longer the pendency of the application. The USPTO is creating a new tiered fee structure for requests for suspension of action under § 1.103(a). Specifically, the agency is increasing the undiscounted fee for a first suspension request to $300 and establishing a new fee of $450 (undiscounted) for the second or subsequent requests in the same application. This increase will not affect fees for suspensions of action requested at the time of filing a CPA under § 1.103(b) or an RCE under § 1.103(c).</w:t>
      </w:r>
    </w:p>
    <w:p w14:paraId="139026CC" w14:textId="5EE49CD4" w:rsidR="003F546D" w:rsidRPr="00CF6436" w:rsidRDefault="42F3E46B" w:rsidP="524BF87A">
      <w:pPr>
        <w:tabs>
          <w:tab w:val="left" w:pos="450"/>
        </w:tabs>
        <w:spacing w:line="360" w:lineRule="auto"/>
        <w:ind w:firstLine="450"/>
        <w:contextualSpacing/>
        <w:rPr>
          <w:rFonts w:ascii="Segoe UI" w:hAnsi="Segoe UI" w:cs="Segoe UI"/>
        </w:rPr>
      </w:pPr>
      <w:r w:rsidRPr="524BF87A">
        <w:rPr>
          <w:rFonts w:ascii="Segoe UI" w:hAnsi="Segoe UI" w:cs="Segoe UI"/>
          <w:b/>
          <w:bCs/>
        </w:rPr>
        <w:t xml:space="preserve">Summary of Fee Design Benefits for </w:t>
      </w:r>
      <w:r w:rsidR="53C4D5F7" w:rsidRPr="524BF87A">
        <w:rPr>
          <w:rFonts w:ascii="Segoe UI" w:hAnsi="Segoe UI" w:cs="Segoe UI"/>
          <w:b/>
          <w:bCs/>
        </w:rPr>
        <w:t xml:space="preserve">the </w:t>
      </w:r>
      <w:r w:rsidR="000F20DC">
        <w:rPr>
          <w:rFonts w:ascii="Segoe UI" w:hAnsi="Segoe UI" w:cs="Segoe UI"/>
          <w:b/>
          <w:bCs/>
        </w:rPr>
        <w:t>Final</w:t>
      </w:r>
      <w:r w:rsidR="53C4D5F7" w:rsidRPr="524BF87A">
        <w:rPr>
          <w:rFonts w:ascii="Segoe UI" w:hAnsi="Segoe UI" w:cs="Segoe UI"/>
          <w:b/>
          <w:bCs/>
        </w:rPr>
        <w:t xml:space="preserve"> Patent Fee Schedule (</w:t>
      </w:r>
      <w:r w:rsidRPr="524BF87A">
        <w:rPr>
          <w:rFonts w:ascii="Segoe UI" w:hAnsi="Segoe UI" w:cs="Segoe UI"/>
          <w:b/>
          <w:bCs/>
        </w:rPr>
        <w:t>Alternative 1</w:t>
      </w:r>
      <w:r w:rsidR="53C4D5F7" w:rsidRPr="524BF87A">
        <w:rPr>
          <w:rFonts w:ascii="Segoe UI" w:hAnsi="Segoe UI" w:cs="Segoe UI"/>
          <w:b/>
          <w:bCs/>
        </w:rPr>
        <w:t>)</w:t>
      </w:r>
      <w:r w:rsidRPr="524BF87A">
        <w:rPr>
          <w:rFonts w:ascii="Segoe UI" w:hAnsi="Segoe UI" w:cs="Segoe UI"/>
          <w:b/>
          <w:bCs/>
        </w:rPr>
        <w:t>:</w:t>
      </w:r>
      <w:r w:rsidR="4A906036" w:rsidRPr="524BF87A">
        <w:rPr>
          <w:rFonts w:ascii="Segoe UI" w:hAnsi="Segoe UI" w:cs="Segoe UI"/>
          <w:b/>
          <w:bCs/>
          <w:i/>
          <w:iCs/>
        </w:rPr>
        <w:t xml:space="preserve"> </w:t>
      </w:r>
      <w:r w:rsidR="06123499" w:rsidRPr="524BF87A">
        <w:rPr>
          <w:rFonts w:ascii="Segoe UI" w:hAnsi="Segoe UI" w:cs="Segoe UI"/>
        </w:rPr>
        <w:t xml:space="preserve">The </w:t>
      </w:r>
      <w:r w:rsidR="000F20DC">
        <w:rPr>
          <w:rFonts w:ascii="Segoe UI" w:hAnsi="Segoe UI" w:cs="Segoe UI"/>
        </w:rPr>
        <w:t>Final</w:t>
      </w:r>
      <w:r w:rsidR="06123499" w:rsidRPr="524BF87A">
        <w:rPr>
          <w:rFonts w:ascii="Segoe UI" w:hAnsi="Segoe UI" w:cs="Segoe UI"/>
        </w:rPr>
        <w:t xml:space="preserve"> Patent Fee Schedule </w:t>
      </w:r>
      <w:r w:rsidRPr="524BF87A">
        <w:rPr>
          <w:rFonts w:ascii="Segoe UI" w:hAnsi="Segoe UI" w:cs="Segoe UI"/>
        </w:rPr>
        <w:t xml:space="preserve">captures the most benefits of </w:t>
      </w:r>
      <w:r w:rsidR="0F26AD0F" w:rsidRPr="524BF87A">
        <w:rPr>
          <w:rFonts w:ascii="Segoe UI" w:hAnsi="Segoe UI" w:cs="Segoe UI"/>
        </w:rPr>
        <w:t xml:space="preserve">any </w:t>
      </w:r>
      <w:r w:rsidRPr="524BF87A">
        <w:rPr>
          <w:rFonts w:ascii="Segoe UI" w:hAnsi="Segoe UI" w:cs="Segoe UI"/>
        </w:rPr>
        <w:t>alternative examined</w:t>
      </w:r>
      <w:r w:rsidR="0F26AD0F" w:rsidRPr="524BF87A">
        <w:rPr>
          <w:rFonts w:ascii="Segoe UI" w:hAnsi="Segoe UI" w:cs="Segoe UI"/>
        </w:rPr>
        <w:t xml:space="preserve"> by the USPTO</w:t>
      </w:r>
      <w:r w:rsidRPr="524BF87A">
        <w:rPr>
          <w:rFonts w:ascii="Segoe UI" w:hAnsi="Segoe UI" w:cs="Segoe UI"/>
        </w:rPr>
        <w:t>.</w:t>
      </w:r>
      <w:r w:rsidR="4A906036" w:rsidRPr="524BF87A">
        <w:rPr>
          <w:rFonts w:ascii="Segoe UI" w:hAnsi="Segoe UI" w:cs="Segoe UI"/>
        </w:rPr>
        <w:t xml:space="preserve"> </w:t>
      </w:r>
      <w:r w:rsidRPr="524BF87A">
        <w:rPr>
          <w:rFonts w:ascii="Segoe UI" w:hAnsi="Segoe UI" w:cs="Segoe UI"/>
        </w:rPr>
        <w:t xml:space="preserve">The fee schedule </w:t>
      </w:r>
      <w:r w:rsidR="6294B80A" w:rsidRPr="524BF87A">
        <w:rPr>
          <w:rFonts w:ascii="Segoe UI" w:hAnsi="Segoe UI" w:cs="Segoe UI"/>
        </w:rPr>
        <w:t xml:space="preserve">is designed </w:t>
      </w:r>
      <w:r w:rsidRPr="524BF87A">
        <w:rPr>
          <w:rFonts w:ascii="Segoe UI" w:hAnsi="Segoe UI" w:cs="Segoe UI"/>
        </w:rPr>
        <w:t>around the key fee setting policy factors referenced throughout this document and the</w:t>
      </w:r>
      <w:r w:rsidR="000E20E9">
        <w:rPr>
          <w:rFonts w:ascii="Segoe UI" w:hAnsi="Segoe UI" w:cs="Segoe UI"/>
        </w:rPr>
        <w:t xml:space="preserve"> final rule</w:t>
      </w:r>
      <w:r w:rsidRPr="524BF87A">
        <w:rPr>
          <w:rFonts w:ascii="Segoe UI" w:hAnsi="Segoe UI" w:cs="Segoe UI"/>
        </w:rPr>
        <w:t>.</w:t>
      </w:r>
      <w:r w:rsidR="4A906036" w:rsidRPr="524BF87A">
        <w:rPr>
          <w:rFonts w:ascii="Segoe UI" w:hAnsi="Segoe UI" w:cs="Segoe UI"/>
        </w:rPr>
        <w:t xml:space="preserve"> </w:t>
      </w:r>
      <w:r w:rsidRPr="524BF87A">
        <w:rPr>
          <w:rFonts w:ascii="Segoe UI" w:hAnsi="Segoe UI" w:cs="Segoe UI"/>
        </w:rPr>
        <w:t xml:space="preserve">As demonstrated by </w:t>
      </w:r>
      <w:r w:rsidR="3242D742" w:rsidRPr="524BF87A">
        <w:rPr>
          <w:rFonts w:ascii="Segoe UI" w:hAnsi="Segoe UI" w:cs="Segoe UI"/>
        </w:rPr>
        <w:t xml:space="preserve">a continuing </w:t>
      </w:r>
      <w:r w:rsidRPr="524BF87A">
        <w:rPr>
          <w:rFonts w:ascii="Segoe UI" w:hAnsi="Segoe UI" w:cs="Segoe UI"/>
        </w:rPr>
        <w:t xml:space="preserve">front-end/back-end subsidy </w:t>
      </w:r>
      <w:r w:rsidR="0B7165F7" w:rsidRPr="524BF87A">
        <w:rPr>
          <w:rFonts w:ascii="Segoe UI" w:hAnsi="Segoe UI" w:cs="Segoe UI"/>
        </w:rPr>
        <w:t>framework</w:t>
      </w:r>
      <w:r w:rsidRPr="524BF87A">
        <w:rPr>
          <w:rFonts w:ascii="Segoe UI" w:hAnsi="Segoe UI" w:cs="Segoe UI"/>
        </w:rPr>
        <w:t xml:space="preserve"> and the new and revised fees discussed above</w:t>
      </w:r>
      <w:r w:rsidR="6294B80A" w:rsidRPr="524BF87A">
        <w:rPr>
          <w:rFonts w:ascii="Segoe UI" w:hAnsi="Segoe UI" w:cs="Segoe UI"/>
        </w:rPr>
        <w:t xml:space="preserve"> and in the</w:t>
      </w:r>
      <w:r w:rsidR="000E20E9">
        <w:rPr>
          <w:rFonts w:ascii="Segoe UI" w:hAnsi="Segoe UI" w:cs="Segoe UI"/>
        </w:rPr>
        <w:t xml:space="preserve"> final rule</w:t>
      </w:r>
      <w:r w:rsidRPr="524BF87A">
        <w:rPr>
          <w:rFonts w:ascii="Segoe UI" w:hAnsi="Segoe UI" w:cs="Segoe UI"/>
        </w:rPr>
        <w:t xml:space="preserve">, this alternative designs the fee structure </w:t>
      </w:r>
      <w:r w:rsidR="5DD3361C" w:rsidRPr="524BF87A">
        <w:rPr>
          <w:rFonts w:ascii="Segoe UI" w:hAnsi="Segoe UI" w:cs="Segoe UI"/>
        </w:rPr>
        <w:t xml:space="preserve">to </w:t>
      </w:r>
      <w:r w:rsidRPr="524BF87A">
        <w:rPr>
          <w:rFonts w:ascii="Segoe UI" w:hAnsi="Segoe UI" w:cs="Segoe UI"/>
        </w:rPr>
        <w:t xml:space="preserve">achieve </w:t>
      </w:r>
      <w:r w:rsidR="5DD3361C" w:rsidRPr="524BF87A">
        <w:rPr>
          <w:rFonts w:ascii="Segoe UI" w:hAnsi="Segoe UI" w:cs="Segoe UI"/>
        </w:rPr>
        <w:t xml:space="preserve">both </w:t>
      </w:r>
      <w:r w:rsidRPr="524BF87A">
        <w:rPr>
          <w:rFonts w:ascii="Segoe UI" w:hAnsi="Segoe UI" w:cs="Segoe UI"/>
        </w:rPr>
        <w:t>rulemaking and operational strategies and goals</w:t>
      </w:r>
      <w:r w:rsidR="5DD3361C" w:rsidRPr="524BF87A">
        <w:rPr>
          <w:rFonts w:ascii="Segoe UI" w:hAnsi="Segoe UI" w:cs="Segoe UI"/>
        </w:rPr>
        <w:t xml:space="preserve">, while benefitting </w:t>
      </w:r>
      <w:r w:rsidRPr="524BF87A">
        <w:rPr>
          <w:rFonts w:ascii="Segoe UI" w:hAnsi="Segoe UI" w:cs="Segoe UI"/>
        </w:rPr>
        <w:t>patent stakeholders.</w:t>
      </w:r>
      <w:r w:rsidR="4A906036" w:rsidRPr="524BF87A">
        <w:rPr>
          <w:rFonts w:ascii="Segoe UI" w:hAnsi="Segoe UI" w:cs="Segoe UI"/>
        </w:rPr>
        <w:t xml:space="preserve"> </w:t>
      </w:r>
      <w:r w:rsidR="468994E2" w:rsidRPr="524BF87A">
        <w:rPr>
          <w:rFonts w:ascii="Segoe UI" w:hAnsi="Segoe UI" w:cs="Segoe UI"/>
        </w:rPr>
        <w:t>A</w:t>
      </w:r>
      <w:r w:rsidR="0C285B7D" w:rsidRPr="524BF87A">
        <w:rPr>
          <w:rFonts w:ascii="Segoe UI" w:hAnsi="Segoe UI" w:cs="Segoe UI"/>
        </w:rPr>
        <w:t>dditional fee schedule design benefits</w:t>
      </w:r>
      <w:r w:rsidR="10B6B273" w:rsidRPr="524BF87A">
        <w:rPr>
          <w:rFonts w:ascii="Segoe UI" w:hAnsi="Segoe UI" w:cs="Segoe UI"/>
        </w:rPr>
        <w:t xml:space="preserve"> beyond </w:t>
      </w:r>
      <w:r w:rsidR="79FA8321" w:rsidRPr="524BF87A">
        <w:rPr>
          <w:rFonts w:ascii="Segoe UI" w:hAnsi="Segoe UI" w:cs="Segoe UI"/>
        </w:rPr>
        <w:t xml:space="preserve">the </w:t>
      </w:r>
      <w:r w:rsidR="10B6B273" w:rsidRPr="524BF87A">
        <w:rPr>
          <w:rFonts w:ascii="Segoe UI" w:hAnsi="Segoe UI" w:cs="Segoe UI"/>
        </w:rPr>
        <w:t>front-end/back-end subsidy</w:t>
      </w:r>
      <w:r w:rsidR="0C285B7D" w:rsidRPr="524BF87A">
        <w:rPr>
          <w:rFonts w:ascii="Segoe UI" w:hAnsi="Segoe UI" w:cs="Segoe UI"/>
        </w:rPr>
        <w:t xml:space="preserve"> are unique to Alternative 1 and not present in the Baseline or two </w:t>
      </w:r>
      <w:r w:rsidR="79FA8321" w:rsidRPr="524BF87A">
        <w:rPr>
          <w:rFonts w:ascii="Segoe UI" w:hAnsi="Segoe UI" w:cs="Segoe UI"/>
        </w:rPr>
        <w:t xml:space="preserve">other </w:t>
      </w:r>
      <w:r w:rsidR="55E47537" w:rsidRPr="524BF87A">
        <w:rPr>
          <w:rFonts w:ascii="Segoe UI" w:hAnsi="Segoe UI" w:cs="Segoe UI"/>
        </w:rPr>
        <w:t>a</w:t>
      </w:r>
      <w:r w:rsidR="0C285B7D" w:rsidRPr="524BF87A">
        <w:rPr>
          <w:rFonts w:ascii="Segoe UI" w:hAnsi="Segoe UI" w:cs="Segoe UI"/>
        </w:rPr>
        <w:t>lternatives.</w:t>
      </w:r>
    </w:p>
    <w:p w14:paraId="0A633B80" w14:textId="6EDE8BB5" w:rsidR="007356DF" w:rsidRPr="00CF6436" w:rsidRDefault="178D399F" w:rsidP="524BF87A">
      <w:pPr>
        <w:spacing w:line="360" w:lineRule="auto"/>
        <w:ind w:firstLine="450"/>
        <w:rPr>
          <w:rFonts w:ascii="Segoe UI" w:hAnsi="Segoe UI" w:cs="Segoe UI"/>
        </w:rPr>
      </w:pPr>
      <w:r w:rsidRPr="524BF87A">
        <w:rPr>
          <w:rFonts w:ascii="Segoe UI" w:hAnsi="Segoe UI" w:cs="Segoe UI"/>
          <w:b/>
          <w:bCs/>
        </w:rPr>
        <w:lastRenderedPageBreak/>
        <w:t xml:space="preserve">Summary of Secure Sufficient Aggregate Revenue to </w:t>
      </w:r>
      <w:r w:rsidR="626DD0AD" w:rsidRPr="524BF87A">
        <w:rPr>
          <w:rFonts w:ascii="Segoe UI" w:hAnsi="Segoe UI" w:cs="Segoe UI"/>
          <w:b/>
          <w:bCs/>
        </w:rPr>
        <w:t>Rec</w:t>
      </w:r>
      <w:r w:rsidRPr="524BF87A">
        <w:rPr>
          <w:rFonts w:ascii="Segoe UI" w:hAnsi="Segoe UI" w:cs="Segoe UI"/>
          <w:b/>
          <w:bCs/>
        </w:rPr>
        <w:t xml:space="preserve">over Aggregate Costs for </w:t>
      </w:r>
      <w:r w:rsidR="53C4D5F7" w:rsidRPr="524BF87A">
        <w:rPr>
          <w:rFonts w:ascii="Segoe UI" w:hAnsi="Segoe UI" w:cs="Segoe UI"/>
          <w:b/>
          <w:bCs/>
        </w:rPr>
        <w:t xml:space="preserve">the </w:t>
      </w:r>
      <w:r w:rsidR="000F20DC">
        <w:rPr>
          <w:rFonts w:ascii="Segoe UI" w:hAnsi="Segoe UI" w:cs="Segoe UI"/>
          <w:b/>
          <w:bCs/>
        </w:rPr>
        <w:t>Final</w:t>
      </w:r>
      <w:r w:rsidR="53C4D5F7" w:rsidRPr="524BF87A">
        <w:rPr>
          <w:rFonts w:ascii="Segoe UI" w:hAnsi="Segoe UI" w:cs="Segoe UI"/>
          <w:b/>
          <w:bCs/>
        </w:rPr>
        <w:t xml:space="preserve"> Patent Fee Schedule (</w:t>
      </w:r>
      <w:r w:rsidRPr="524BF87A">
        <w:rPr>
          <w:rFonts w:ascii="Segoe UI" w:hAnsi="Segoe UI" w:cs="Segoe UI"/>
          <w:b/>
          <w:bCs/>
        </w:rPr>
        <w:t>Alternative 1</w:t>
      </w:r>
      <w:r w:rsidR="53C4D5F7" w:rsidRPr="524BF87A">
        <w:rPr>
          <w:rFonts w:ascii="Segoe UI" w:hAnsi="Segoe UI" w:cs="Segoe UI"/>
          <w:b/>
          <w:bCs/>
        </w:rPr>
        <w:t>)</w:t>
      </w:r>
      <w:r w:rsidRPr="524BF87A">
        <w:rPr>
          <w:rFonts w:ascii="Segoe UI" w:hAnsi="Segoe UI" w:cs="Segoe UI"/>
          <w:b/>
          <w:bCs/>
        </w:rPr>
        <w:t>:</w:t>
      </w:r>
      <w:r w:rsidR="6558CFEB" w:rsidRPr="524BF87A">
        <w:rPr>
          <w:rFonts w:ascii="Segoe UI" w:hAnsi="Segoe UI" w:cs="Segoe UI"/>
          <w:b/>
          <w:bCs/>
          <w:i/>
          <w:iCs/>
        </w:rPr>
        <w:t xml:space="preserve"> </w:t>
      </w:r>
      <w:r w:rsidRPr="524BF87A">
        <w:rPr>
          <w:rFonts w:ascii="Segoe UI" w:hAnsi="Segoe UI" w:cs="Segoe UI"/>
        </w:rPr>
        <w:t xml:space="preserve">The </w:t>
      </w:r>
      <w:r w:rsidR="000F20DC">
        <w:rPr>
          <w:rFonts w:ascii="Segoe UI" w:hAnsi="Segoe UI" w:cs="Segoe UI"/>
        </w:rPr>
        <w:t>Final</w:t>
      </w:r>
      <w:r w:rsidR="2FF75B1E" w:rsidRPr="524BF87A">
        <w:rPr>
          <w:rFonts w:ascii="Segoe UI" w:hAnsi="Segoe UI" w:cs="Segoe UI"/>
        </w:rPr>
        <w:t xml:space="preserve"> </w:t>
      </w:r>
      <w:r w:rsidR="6219DF33" w:rsidRPr="524BF87A">
        <w:rPr>
          <w:rFonts w:ascii="Segoe UI" w:hAnsi="Segoe UI" w:cs="Segoe UI"/>
        </w:rPr>
        <w:t xml:space="preserve">Patent </w:t>
      </w:r>
      <w:r w:rsidR="2FF75B1E" w:rsidRPr="524BF87A">
        <w:rPr>
          <w:rFonts w:ascii="Segoe UI" w:hAnsi="Segoe UI" w:cs="Segoe UI"/>
        </w:rPr>
        <w:t>Fee Schedule</w:t>
      </w:r>
      <w:r w:rsidRPr="524BF87A">
        <w:rPr>
          <w:rFonts w:ascii="Segoe UI" w:hAnsi="Segoe UI" w:cs="Segoe UI"/>
        </w:rPr>
        <w:t xml:space="preserve"> </w:t>
      </w:r>
      <w:r w:rsidR="0A1FBD98" w:rsidRPr="524BF87A">
        <w:rPr>
          <w:rFonts w:ascii="Segoe UI" w:hAnsi="Segoe UI" w:cs="Segoe UI"/>
        </w:rPr>
        <w:t>secures</w:t>
      </w:r>
      <w:r w:rsidRPr="524BF87A">
        <w:rPr>
          <w:rFonts w:ascii="Segoe UI" w:hAnsi="Segoe UI" w:cs="Segoe UI"/>
        </w:rPr>
        <w:t xml:space="preserve"> sufficient aggregate revenue to allow for </w:t>
      </w:r>
      <w:r w:rsidR="20668C19" w:rsidRPr="524BF87A">
        <w:rPr>
          <w:rFonts w:ascii="Segoe UI" w:hAnsi="Segoe UI" w:cs="Segoe UI"/>
        </w:rPr>
        <w:t xml:space="preserve">improved pendency </w:t>
      </w:r>
      <w:r w:rsidR="7CC8AE1A" w:rsidRPr="524BF87A">
        <w:rPr>
          <w:rFonts w:ascii="Segoe UI" w:hAnsi="Segoe UI" w:cs="Segoe UI"/>
        </w:rPr>
        <w:t>and delivery of</w:t>
      </w:r>
      <w:r w:rsidR="20668C19" w:rsidRPr="524BF87A">
        <w:rPr>
          <w:rFonts w:ascii="Segoe UI" w:hAnsi="Segoe UI" w:cs="Segoe UI"/>
        </w:rPr>
        <w:t xml:space="preserve"> timely, efficient services that </w:t>
      </w:r>
      <w:r w:rsidR="7CC8AE1A" w:rsidRPr="524BF87A">
        <w:rPr>
          <w:rFonts w:ascii="Segoe UI" w:hAnsi="Segoe UI" w:cs="Segoe UI"/>
        </w:rPr>
        <w:t xml:space="preserve">enable </w:t>
      </w:r>
      <w:r w:rsidR="20668C19" w:rsidRPr="524BF87A">
        <w:rPr>
          <w:rFonts w:ascii="Segoe UI" w:hAnsi="Segoe UI" w:cs="Segoe UI"/>
        </w:rPr>
        <w:t xml:space="preserve">innovators </w:t>
      </w:r>
      <w:r w:rsidR="7CC8AE1A" w:rsidRPr="524BF87A">
        <w:rPr>
          <w:rFonts w:ascii="Segoe UI" w:hAnsi="Segoe UI" w:cs="Segoe UI"/>
        </w:rPr>
        <w:t xml:space="preserve">to </w:t>
      </w:r>
      <w:r w:rsidR="20668C19" w:rsidRPr="524BF87A">
        <w:rPr>
          <w:rFonts w:ascii="Segoe UI" w:hAnsi="Segoe UI" w:cs="Segoe UI"/>
        </w:rPr>
        <w:t>bring their ideas and products to impact more quickly and efficiently. Th</w:t>
      </w:r>
      <w:r w:rsidR="20C9B66D" w:rsidRPr="524BF87A">
        <w:rPr>
          <w:rFonts w:ascii="Segoe UI" w:hAnsi="Segoe UI" w:cs="Segoe UI"/>
        </w:rPr>
        <w:t>is</w:t>
      </w:r>
      <w:r w:rsidR="20668C19" w:rsidRPr="524BF87A">
        <w:rPr>
          <w:rFonts w:ascii="Segoe UI" w:hAnsi="Segoe UI" w:cs="Segoe UI"/>
        </w:rPr>
        <w:t xml:space="preserve"> revenue will allow the </w:t>
      </w:r>
      <w:r w:rsidR="21759F30" w:rsidRPr="524BF87A">
        <w:rPr>
          <w:rFonts w:ascii="Segoe UI" w:hAnsi="Segoe UI" w:cs="Segoe UI"/>
        </w:rPr>
        <w:t>USPTO</w:t>
      </w:r>
      <w:r w:rsidR="20668C19" w:rsidRPr="524BF87A">
        <w:rPr>
          <w:rFonts w:ascii="Segoe UI" w:hAnsi="Segoe UI" w:cs="Segoe UI"/>
        </w:rPr>
        <w:t xml:space="preserve"> to continue balanc</w:t>
      </w:r>
      <w:r w:rsidR="20C9B66D" w:rsidRPr="524BF87A">
        <w:rPr>
          <w:rFonts w:ascii="Segoe UI" w:hAnsi="Segoe UI" w:cs="Segoe UI"/>
        </w:rPr>
        <w:t>ing</w:t>
      </w:r>
      <w:r w:rsidR="20668C19" w:rsidRPr="524BF87A">
        <w:rPr>
          <w:rFonts w:ascii="Segoe UI" w:hAnsi="Segoe UI" w:cs="Segoe UI"/>
        </w:rPr>
        <w:t xml:space="preserve"> timely examination with improvements in patent quality</w:t>
      </w:r>
      <w:r w:rsidR="20C9B66D" w:rsidRPr="524BF87A">
        <w:rPr>
          <w:rFonts w:ascii="Segoe UI" w:hAnsi="Segoe UI" w:cs="Segoe UI"/>
        </w:rPr>
        <w:t>,</w:t>
      </w:r>
      <w:r w:rsidR="20668C19" w:rsidRPr="524BF87A">
        <w:rPr>
          <w:rFonts w:ascii="Segoe UI" w:hAnsi="Segoe UI" w:cs="Segoe UI"/>
        </w:rPr>
        <w:t xml:space="preserve"> particularly the robustness and reliability of issued patent</w:t>
      </w:r>
      <w:r w:rsidR="20C9B66D" w:rsidRPr="524BF87A">
        <w:rPr>
          <w:rFonts w:ascii="Segoe UI" w:hAnsi="Segoe UI" w:cs="Segoe UI"/>
        </w:rPr>
        <w:t>s</w:t>
      </w:r>
      <w:r w:rsidR="3E49C51E" w:rsidRPr="524BF87A">
        <w:rPr>
          <w:rFonts w:ascii="Segoe UI" w:hAnsi="Segoe UI" w:cs="Segoe UI"/>
        </w:rPr>
        <w:t>,</w:t>
      </w:r>
      <w:r w:rsidR="430DD064" w:rsidRPr="524BF87A">
        <w:rPr>
          <w:rFonts w:ascii="Segoe UI" w:hAnsi="Segoe UI" w:cs="Segoe UI"/>
        </w:rPr>
        <w:t xml:space="preserve"> </w:t>
      </w:r>
      <w:r w:rsidR="6094B05A" w:rsidRPr="524BF87A">
        <w:rPr>
          <w:rFonts w:ascii="Segoe UI" w:hAnsi="Segoe UI" w:cs="Segoe UI"/>
        </w:rPr>
        <w:t>and ensur</w:t>
      </w:r>
      <w:r w:rsidR="20668C19" w:rsidRPr="524BF87A">
        <w:rPr>
          <w:rFonts w:ascii="Segoe UI" w:hAnsi="Segoe UI" w:cs="Segoe UI"/>
        </w:rPr>
        <w:t>e</w:t>
      </w:r>
      <w:r w:rsidR="6094B05A" w:rsidRPr="524BF87A">
        <w:rPr>
          <w:rFonts w:ascii="Segoe UI" w:hAnsi="Segoe UI" w:cs="Segoe UI"/>
        </w:rPr>
        <w:t xml:space="preserve"> </w:t>
      </w:r>
      <w:r w:rsidR="3E49C51E" w:rsidRPr="524BF87A">
        <w:rPr>
          <w:rFonts w:ascii="Segoe UI" w:hAnsi="Segoe UI" w:cs="Segoe UI"/>
        </w:rPr>
        <w:t xml:space="preserve">resourcing for </w:t>
      </w:r>
      <w:r w:rsidR="50D06B4C" w:rsidRPr="524BF87A">
        <w:rPr>
          <w:rFonts w:ascii="Segoe UI" w:hAnsi="Segoe UI" w:cs="Segoe UI"/>
        </w:rPr>
        <w:t>mission success</w:t>
      </w:r>
      <w:r w:rsidRPr="524BF87A">
        <w:rPr>
          <w:rFonts w:ascii="Segoe UI" w:hAnsi="Segoe UI" w:cs="Segoe UI"/>
        </w:rPr>
        <w:t>.</w:t>
      </w:r>
    </w:p>
    <w:p w14:paraId="228B22A3" w14:textId="114AA6F5" w:rsidR="00873D48" w:rsidRPr="00CF6436" w:rsidRDefault="561BF3EB" w:rsidP="000F20DC">
      <w:pPr>
        <w:pStyle w:val="Heading2Number"/>
        <w:numPr>
          <w:ilvl w:val="1"/>
          <w:numId w:val="14"/>
        </w:numPr>
        <w:spacing w:line="360" w:lineRule="auto"/>
        <w:rPr>
          <w:rFonts w:ascii="Segoe UI" w:hAnsi="Segoe UI" w:cs="Segoe UI"/>
        </w:rPr>
      </w:pPr>
      <w:bookmarkStart w:id="163" w:name="_Toc451951721"/>
      <w:bookmarkStart w:id="164" w:name="_Toc175640432"/>
      <w:r w:rsidRPr="524BF87A">
        <w:rPr>
          <w:rFonts w:ascii="Segoe UI" w:hAnsi="Segoe UI" w:cs="Segoe UI"/>
        </w:rPr>
        <w:t>Unit Cost</w:t>
      </w:r>
      <w:bookmarkEnd w:id="163"/>
      <w:r w:rsidR="33E4192A" w:rsidRPr="524BF87A">
        <w:rPr>
          <w:rFonts w:ascii="Segoe UI" w:hAnsi="Segoe UI" w:cs="Segoe UI"/>
        </w:rPr>
        <w:t xml:space="preserve"> Recovery</w:t>
      </w:r>
      <w:r w:rsidR="00C961FF" w:rsidRPr="524BF87A">
        <w:rPr>
          <w:rFonts w:ascii="Segoe UI" w:hAnsi="Segoe UI" w:cs="Segoe UI"/>
        </w:rPr>
        <w:t xml:space="preserve"> (Alternative 2)</w:t>
      </w:r>
      <w:bookmarkEnd w:id="164"/>
    </w:p>
    <w:p w14:paraId="348712C0" w14:textId="77777777" w:rsidR="00A62DA7" w:rsidRPr="00CF6436" w:rsidRDefault="4CF21051" w:rsidP="17CECF10">
      <w:pPr>
        <w:pStyle w:val="Caption"/>
        <w:keepNext/>
        <w:spacing w:line="360" w:lineRule="auto"/>
        <w:ind w:left="360"/>
        <w:rPr>
          <w:rFonts w:ascii="Segoe UI" w:hAnsi="Segoe UI" w:cs="Segoe UI"/>
          <w:sz w:val="24"/>
          <w:szCs w:val="24"/>
        </w:rPr>
      </w:pPr>
      <w:r w:rsidRPr="17CECF10">
        <w:rPr>
          <w:rFonts w:ascii="Segoe UI" w:hAnsi="Segoe UI" w:cs="Segoe UI"/>
          <w:sz w:val="24"/>
          <w:szCs w:val="24"/>
        </w:rPr>
        <w:t>Table 4-</w:t>
      </w:r>
      <w:r w:rsidR="759584CE" w:rsidRPr="17CECF10">
        <w:rPr>
          <w:rFonts w:ascii="Segoe UI" w:hAnsi="Segoe UI" w:cs="Segoe UI"/>
          <w:sz w:val="24"/>
          <w:szCs w:val="24"/>
        </w:rPr>
        <w:t>5</w:t>
      </w:r>
      <w:r w:rsidR="00A62DA7" w:rsidRPr="17CECF10">
        <w:rPr>
          <w:rFonts w:ascii="Segoe UI" w:hAnsi="Segoe UI" w:cs="Segoe UI"/>
          <w:color w:val="2B579A"/>
        </w:rPr>
        <w:fldChar w:fldCharType="begin"/>
      </w:r>
      <w:r w:rsidR="01B3DAFF" w:rsidRPr="17CECF10">
        <w:rPr>
          <w:rFonts w:ascii="Segoe UI" w:hAnsi="Segoe UI" w:cs="Segoe UI"/>
        </w:rPr>
        <w:instrText xml:space="preserve"> LINK Excel.Sheet.12 "\\\\nsx-orgshares\\ISO-OPBE\\FORECASTING &amp; REVENUE\\FY15 Biennial Fee Review\\Patent NPRM Materials\\RIA\\RIA_Transfer tables V2.xlsx" "Sec 4 intro tables!R4C9:R13C15" \a \f 4 \h  \* MERGEFORMAT </w:instrText>
      </w:r>
      <w:r w:rsidR="00A62DA7" w:rsidRPr="17CECF10">
        <w:rPr>
          <w:rFonts w:ascii="Segoe UI" w:hAnsi="Segoe UI" w:cs="Segoe UI"/>
          <w:color w:val="2B579A"/>
        </w:rPr>
        <w:fldChar w:fldCharType="separate"/>
      </w:r>
    </w:p>
    <w:tbl>
      <w:tblPr>
        <w:tblW w:w="9800" w:type="dxa"/>
        <w:tblLayout w:type="fixed"/>
        <w:tblLook w:val="04A0" w:firstRow="1" w:lastRow="0" w:firstColumn="1" w:lastColumn="0" w:noHBand="0" w:noVBand="1"/>
      </w:tblPr>
      <w:tblGrid>
        <w:gridCol w:w="3264"/>
        <w:gridCol w:w="1089"/>
        <w:gridCol w:w="1089"/>
        <w:gridCol w:w="1090"/>
        <w:gridCol w:w="1089"/>
        <w:gridCol w:w="1089"/>
        <w:gridCol w:w="1090"/>
      </w:tblGrid>
      <w:tr w:rsidR="00A62DA7" w:rsidRPr="007F7D60" w14:paraId="0BE2AFA4" w14:textId="77777777" w:rsidTr="17CECF10">
        <w:trPr>
          <w:trHeight w:val="312"/>
          <w:tblHeader/>
        </w:trPr>
        <w:tc>
          <w:tcPr>
            <w:tcW w:w="9800" w:type="dxa"/>
            <w:gridSpan w:val="7"/>
            <w:tcBorders>
              <w:top w:val="single" w:sz="8" w:space="0" w:color="auto"/>
              <w:left w:val="single" w:sz="8" w:space="0" w:color="auto"/>
              <w:bottom w:val="nil"/>
              <w:right w:val="single" w:sz="8" w:space="0" w:color="000000" w:themeColor="text1"/>
            </w:tcBorders>
            <w:shd w:val="clear" w:color="auto" w:fill="FFFFFF" w:themeFill="background1"/>
            <w:vAlign w:val="center"/>
            <w:hideMark/>
          </w:tcPr>
          <w:p w14:paraId="3CE72E29" w14:textId="77777777" w:rsidR="00A62DA7" w:rsidRPr="00777046" w:rsidRDefault="0ABEECB2" w:rsidP="17CECF10">
            <w:pPr>
              <w:spacing w:line="276" w:lineRule="auto"/>
              <w:jc w:val="center"/>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Patent Costs and Revenue by Alternative</w:t>
            </w:r>
          </w:p>
        </w:tc>
      </w:tr>
      <w:tr w:rsidR="00A62DA7" w:rsidRPr="007F7D60" w14:paraId="43D31FEB" w14:textId="77777777" w:rsidTr="17CECF10">
        <w:trPr>
          <w:trHeight w:val="324"/>
          <w:tblHeader/>
        </w:trPr>
        <w:tc>
          <w:tcPr>
            <w:tcW w:w="9800" w:type="dxa"/>
            <w:gridSpan w:val="7"/>
            <w:tcBorders>
              <w:top w:val="nil"/>
              <w:left w:val="single" w:sz="8" w:space="0" w:color="auto"/>
              <w:bottom w:val="single" w:sz="8" w:space="0" w:color="auto"/>
              <w:right w:val="single" w:sz="8" w:space="0" w:color="000000" w:themeColor="text1"/>
            </w:tcBorders>
            <w:shd w:val="clear" w:color="auto" w:fill="FFFFFF" w:themeFill="background1"/>
            <w:vAlign w:val="center"/>
            <w:hideMark/>
          </w:tcPr>
          <w:p w14:paraId="1278EAC4" w14:textId="77777777" w:rsidR="00A62DA7" w:rsidRPr="00777046" w:rsidRDefault="0ABEECB2" w:rsidP="17CECF10">
            <w:pPr>
              <w:spacing w:line="276" w:lineRule="auto"/>
              <w:jc w:val="center"/>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(dollars in millions)</w:t>
            </w:r>
          </w:p>
        </w:tc>
      </w:tr>
      <w:tr w:rsidR="00AD50AC" w:rsidRPr="007F7D60" w14:paraId="382A3B87" w14:textId="77777777" w:rsidTr="17CECF10">
        <w:trPr>
          <w:trHeight w:val="324"/>
          <w:tblHeader/>
        </w:trPr>
        <w:tc>
          <w:tcPr>
            <w:tcW w:w="3264" w:type="dxa"/>
            <w:tcBorders>
              <w:top w:val="nil"/>
              <w:left w:val="single" w:sz="8" w:space="0" w:color="auto"/>
              <w:bottom w:val="single" w:sz="4" w:space="0" w:color="auto"/>
              <w:right w:val="single" w:sz="8" w:space="0" w:color="auto"/>
            </w:tcBorders>
            <w:shd w:val="clear" w:color="auto" w:fill="auto"/>
            <w:noWrap/>
            <w:vAlign w:val="center"/>
            <w:hideMark/>
          </w:tcPr>
          <w:p w14:paraId="157C557D" w14:textId="77777777" w:rsidR="00AD50AC" w:rsidRPr="00777046" w:rsidRDefault="5F495B55" w:rsidP="17CECF10">
            <w:pPr>
              <w:spacing w:line="276" w:lineRule="auto"/>
              <w:rPr>
                <w:rFonts w:ascii="Segoe UI" w:eastAsia="Times New Roman" w:hAnsi="Segoe UI" w:cs="Segoe UI"/>
                <w:color w:val="000000"/>
                <w:szCs w:val="24"/>
              </w:rPr>
            </w:pPr>
            <w:r w:rsidRPr="17CECF10">
              <w:rPr>
                <w:rFonts w:ascii="Segoe UI" w:eastAsia="Times New Roman" w:hAnsi="Segoe UI" w:cs="Segoe UI"/>
                <w:color w:val="000000" w:themeColor="text1"/>
                <w:sz w:val="22"/>
              </w:rPr>
              <w:t> </w:t>
            </w:r>
          </w:p>
        </w:tc>
        <w:tc>
          <w:tcPr>
            <w:tcW w:w="1089" w:type="dxa"/>
            <w:tcBorders>
              <w:top w:val="nil"/>
              <w:left w:val="nil"/>
              <w:bottom w:val="single" w:sz="8" w:space="0" w:color="auto"/>
              <w:right w:val="single" w:sz="8" w:space="0" w:color="auto"/>
            </w:tcBorders>
            <w:shd w:val="clear" w:color="auto" w:fill="auto"/>
            <w:noWrap/>
            <w:vAlign w:val="center"/>
            <w:hideMark/>
          </w:tcPr>
          <w:p w14:paraId="5DE84B17" w14:textId="2B086D2E" w:rsidR="00AD50AC" w:rsidRPr="00777046" w:rsidRDefault="5F495B55" w:rsidP="17CECF10">
            <w:pPr>
              <w:spacing w:line="276" w:lineRule="auto"/>
              <w:jc w:val="center"/>
              <w:rPr>
                <w:rFonts w:ascii="Segoe UI" w:eastAsia="Times New Roman" w:hAnsi="Segoe UI" w:cs="Segoe UI"/>
                <w:b/>
                <w:bCs/>
                <w:szCs w:val="24"/>
              </w:rPr>
            </w:pPr>
            <w:r w:rsidRPr="17CECF10">
              <w:rPr>
                <w:rFonts w:ascii="Segoe UI" w:hAnsi="Segoe UI" w:cs="Segoe UI"/>
                <w:b/>
                <w:bCs/>
                <w:sz w:val="22"/>
              </w:rPr>
              <w:t>FY 2025</w:t>
            </w:r>
          </w:p>
        </w:tc>
        <w:tc>
          <w:tcPr>
            <w:tcW w:w="1089" w:type="dxa"/>
            <w:tcBorders>
              <w:top w:val="nil"/>
              <w:left w:val="nil"/>
              <w:bottom w:val="single" w:sz="8" w:space="0" w:color="auto"/>
              <w:right w:val="single" w:sz="8" w:space="0" w:color="auto"/>
            </w:tcBorders>
            <w:shd w:val="clear" w:color="auto" w:fill="auto"/>
            <w:noWrap/>
            <w:vAlign w:val="center"/>
            <w:hideMark/>
          </w:tcPr>
          <w:p w14:paraId="3395916A" w14:textId="32316992" w:rsidR="00AD50AC" w:rsidRPr="00777046" w:rsidRDefault="5F495B55" w:rsidP="17CECF10">
            <w:pPr>
              <w:spacing w:line="276" w:lineRule="auto"/>
              <w:jc w:val="center"/>
              <w:rPr>
                <w:rFonts w:ascii="Segoe UI" w:eastAsia="Times New Roman" w:hAnsi="Segoe UI" w:cs="Segoe UI"/>
                <w:b/>
                <w:bCs/>
                <w:szCs w:val="24"/>
              </w:rPr>
            </w:pPr>
            <w:r w:rsidRPr="17CECF10">
              <w:rPr>
                <w:rFonts w:ascii="Segoe UI" w:hAnsi="Segoe UI" w:cs="Segoe UI"/>
                <w:b/>
                <w:bCs/>
                <w:sz w:val="22"/>
              </w:rPr>
              <w:t>FY 2026</w:t>
            </w:r>
          </w:p>
        </w:tc>
        <w:tc>
          <w:tcPr>
            <w:tcW w:w="1090" w:type="dxa"/>
            <w:tcBorders>
              <w:top w:val="nil"/>
              <w:left w:val="nil"/>
              <w:bottom w:val="single" w:sz="8" w:space="0" w:color="auto"/>
              <w:right w:val="single" w:sz="8" w:space="0" w:color="auto"/>
            </w:tcBorders>
            <w:shd w:val="clear" w:color="auto" w:fill="auto"/>
            <w:noWrap/>
            <w:vAlign w:val="center"/>
            <w:hideMark/>
          </w:tcPr>
          <w:p w14:paraId="0BF8641B" w14:textId="58960DF6" w:rsidR="00AD50AC" w:rsidRPr="00777046" w:rsidRDefault="5F495B55" w:rsidP="17CECF10">
            <w:pPr>
              <w:spacing w:line="276" w:lineRule="auto"/>
              <w:jc w:val="center"/>
              <w:rPr>
                <w:rFonts w:ascii="Segoe UI" w:eastAsia="Times New Roman" w:hAnsi="Segoe UI" w:cs="Segoe UI"/>
                <w:b/>
                <w:bCs/>
                <w:szCs w:val="24"/>
              </w:rPr>
            </w:pPr>
            <w:r w:rsidRPr="17CECF10">
              <w:rPr>
                <w:rFonts w:ascii="Segoe UI" w:hAnsi="Segoe UI" w:cs="Segoe UI"/>
                <w:b/>
                <w:bCs/>
                <w:sz w:val="22"/>
              </w:rPr>
              <w:t>FY 2027</w:t>
            </w:r>
          </w:p>
        </w:tc>
        <w:tc>
          <w:tcPr>
            <w:tcW w:w="1089" w:type="dxa"/>
            <w:tcBorders>
              <w:top w:val="nil"/>
              <w:left w:val="nil"/>
              <w:bottom w:val="single" w:sz="8" w:space="0" w:color="auto"/>
              <w:right w:val="single" w:sz="8" w:space="0" w:color="auto"/>
            </w:tcBorders>
            <w:shd w:val="clear" w:color="auto" w:fill="auto"/>
            <w:noWrap/>
            <w:vAlign w:val="center"/>
            <w:hideMark/>
          </w:tcPr>
          <w:p w14:paraId="5325160E" w14:textId="674FA08F" w:rsidR="00AD50AC" w:rsidRPr="00777046" w:rsidRDefault="5F495B55" w:rsidP="17CECF10">
            <w:pPr>
              <w:spacing w:line="276" w:lineRule="auto"/>
              <w:jc w:val="center"/>
              <w:rPr>
                <w:rFonts w:ascii="Segoe UI" w:eastAsia="Times New Roman" w:hAnsi="Segoe UI" w:cs="Segoe UI"/>
                <w:b/>
                <w:bCs/>
                <w:szCs w:val="24"/>
              </w:rPr>
            </w:pPr>
            <w:r w:rsidRPr="17CECF10">
              <w:rPr>
                <w:rFonts w:ascii="Segoe UI" w:hAnsi="Segoe UI" w:cs="Segoe UI"/>
                <w:b/>
                <w:bCs/>
                <w:sz w:val="22"/>
              </w:rPr>
              <w:t>FY 2028</w:t>
            </w:r>
          </w:p>
        </w:tc>
        <w:tc>
          <w:tcPr>
            <w:tcW w:w="1089" w:type="dxa"/>
            <w:tcBorders>
              <w:top w:val="nil"/>
              <w:left w:val="nil"/>
              <w:bottom w:val="single" w:sz="8" w:space="0" w:color="auto"/>
              <w:right w:val="single" w:sz="8" w:space="0" w:color="auto"/>
            </w:tcBorders>
            <w:shd w:val="clear" w:color="auto" w:fill="auto"/>
            <w:noWrap/>
            <w:vAlign w:val="center"/>
            <w:hideMark/>
          </w:tcPr>
          <w:p w14:paraId="50CC0468" w14:textId="5806516D" w:rsidR="00AD50AC" w:rsidRPr="00777046" w:rsidRDefault="5F495B55" w:rsidP="17CECF10">
            <w:pPr>
              <w:spacing w:line="276" w:lineRule="auto"/>
              <w:jc w:val="center"/>
              <w:rPr>
                <w:rFonts w:ascii="Segoe UI" w:eastAsia="Times New Roman" w:hAnsi="Segoe UI" w:cs="Segoe UI"/>
                <w:b/>
                <w:bCs/>
                <w:szCs w:val="24"/>
              </w:rPr>
            </w:pPr>
            <w:r w:rsidRPr="17CECF10">
              <w:rPr>
                <w:rFonts w:ascii="Segoe UI" w:hAnsi="Segoe UI" w:cs="Segoe UI"/>
                <w:b/>
                <w:bCs/>
                <w:sz w:val="22"/>
              </w:rPr>
              <w:t>FY 2029</w:t>
            </w:r>
          </w:p>
        </w:tc>
        <w:tc>
          <w:tcPr>
            <w:tcW w:w="1090" w:type="dxa"/>
            <w:tcBorders>
              <w:top w:val="nil"/>
              <w:left w:val="nil"/>
              <w:bottom w:val="single" w:sz="8" w:space="0" w:color="auto"/>
              <w:right w:val="single" w:sz="8" w:space="0" w:color="auto"/>
            </w:tcBorders>
            <w:shd w:val="clear" w:color="auto" w:fill="auto"/>
            <w:noWrap/>
            <w:vAlign w:val="center"/>
            <w:hideMark/>
          </w:tcPr>
          <w:p w14:paraId="3DD1E425" w14:textId="02E99E88" w:rsidR="00AD50AC" w:rsidRPr="00777046" w:rsidRDefault="5F495B55" w:rsidP="17CECF10">
            <w:pPr>
              <w:spacing w:line="276" w:lineRule="auto"/>
              <w:jc w:val="center"/>
              <w:rPr>
                <w:rFonts w:ascii="Segoe UI" w:eastAsia="Times New Roman" w:hAnsi="Segoe UI" w:cs="Segoe UI"/>
                <w:b/>
                <w:bCs/>
                <w:szCs w:val="24"/>
              </w:rPr>
            </w:pPr>
            <w:r w:rsidRPr="17CECF10">
              <w:rPr>
                <w:rFonts w:ascii="Segoe UI" w:hAnsi="Segoe UI" w:cs="Segoe UI"/>
                <w:b/>
                <w:bCs/>
                <w:sz w:val="22"/>
              </w:rPr>
              <w:t>Total</w:t>
            </w:r>
          </w:p>
        </w:tc>
      </w:tr>
      <w:tr w:rsidR="00C538E3" w:rsidRPr="007F7D60" w14:paraId="5DD878A4" w14:textId="77777777" w:rsidTr="00777046">
        <w:tblPrEx>
          <w:jc w:val="center"/>
        </w:tblPrEx>
        <w:trPr>
          <w:trHeight w:val="324"/>
          <w:jc w:val="center"/>
        </w:trPr>
        <w:tc>
          <w:tcPr>
            <w:tcW w:w="3264" w:type="dxa"/>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hideMark/>
          </w:tcPr>
          <w:p w14:paraId="473A8CF3" w14:textId="077EBCF5" w:rsidR="00A54FC1" w:rsidRPr="00777046" w:rsidRDefault="17F147E9" w:rsidP="17CECF10">
            <w:pPr>
              <w:spacing w:line="276" w:lineRule="auto"/>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Budgetary requirements</w:t>
            </w:r>
          </w:p>
        </w:tc>
        <w:tc>
          <w:tcPr>
            <w:tcW w:w="1089" w:type="dxa"/>
            <w:tcBorders>
              <w:top w:val="nil"/>
              <w:left w:val="nil"/>
              <w:bottom w:val="single" w:sz="8" w:space="0" w:color="auto"/>
              <w:right w:val="single" w:sz="8" w:space="0" w:color="auto"/>
            </w:tcBorders>
            <w:shd w:val="clear" w:color="auto" w:fill="F2F2F2" w:themeFill="background1" w:themeFillShade="F2"/>
            <w:noWrap/>
            <w:vAlign w:val="center"/>
            <w:hideMark/>
          </w:tcPr>
          <w:p w14:paraId="2C3E1720" w14:textId="03615B58" w:rsidR="00A54FC1" w:rsidRPr="00777046" w:rsidRDefault="17F147E9" w:rsidP="17CECF10">
            <w:pPr>
              <w:spacing w:line="276" w:lineRule="auto"/>
              <w:jc w:val="right"/>
              <w:rPr>
                <w:rFonts w:ascii="Segoe UI" w:eastAsia="Times New Roman" w:hAnsi="Segoe UI" w:cs="Segoe UI"/>
                <w:b/>
                <w:bCs/>
                <w:szCs w:val="24"/>
                <w:highlight w:val="yellow"/>
              </w:rPr>
            </w:pPr>
            <w:r w:rsidRPr="17CECF10">
              <w:rPr>
                <w:rFonts w:ascii="Segoe UI" w:hAnsi="Segoe UI" w:cs="Segoe UI"/>
                <w:sz w:val="22"/>
              </w:rPr>
              <w:t>$3,975</w:t>
            </w:r>
          </w:p>
        </w:tc>
        <w:tc>
          <w:tcPr>
            <w:tcW w:w="1089" w:type="dxa"/>
            <w:tcBorders>
              <w:top w:val="nil"/>
              <w:left w:val="nil"/>
              <w:bottom w:val="single" w:sz="8" w:space="0" w:color="auto"/>
              <w:right w:val="single" w:sz="8" w:space="0" w:color="auto"/>
            </w:tcBorders>
            <w:shd w:val="clear" w:color="auto" w:fill="F2F2F2" w:themeFill="background1" w:themeFillShade="F2"/>
            <w:noWrap/>
            <w:vAlign w:val="center"/>
            <w:hideMark/>
          </w:tcPr>
          <w:p w14:paraId="650A0016" w14:textId="48F9E8C7" w:rsidR="00A54FC1" w:rsidRPr="00777046" w:rsidRDefault="17F147E9" w:rsidP="17CECF10">
            <w:pPr>
              <w:spacing w:line="276" w:lineRule="auto"/>
              <w:jc w:val="right"/>
              <w:rPr>
                <w:rFonts w:ascii="Segoe UI" w:eastAsia="Times New Roman" w:hAnsi="Segoe UI" w:cs="Segoe UI"/>
                <w:b/>
                <w:bCs/>
                <w:szCs w:val="24"/>
                <w:highlight w:val="yellow"/>
              </w:rPr>
            </w:pPr>
            <w:r w:rsidRPr="17CECF10">
              <w:rPr>
                <w:rFonts w:ascii="Segoe UI" w:hAnsi="Segoe UI" w:cs="Segoe UI"/>
                <w:sz w:val="22"/>
              </w:rPr>
              <w:t>$4,102</w:t>
            </w:r>
          </w:p>
        </w:tc>
        <w:tc>
          <w:tcPr>
            <w:tcW w:w="1090" w:type="dxa"/>
            <w:tcBorders>
              <w:top w:val="nil"/>
              <w:left w:val="nil"/>
              <w:bottom w:val="single" w:sz="8" w:space="0" w:color="auto"/>
              <w:right w:val="single" w:sz="8" w:space="0" w:color="auto"/>
            </w:tcBorders>
            <w:shd w:val="clear" w:color="auto" w:fill="F2F2F2" w:themeFill="background1" w:themeFillShade="F2"/>
            <w:noWrap/>
            <w:vAlign w:val="center"/>
            <w:hideMark/>
          </w:tcPr>
          <w:p w14:paraId="4BB2478C" w14:textId="366401C5" w:rsidR="00A54FC1" w:rsidRPr="00777046" w:rsidRDefault="17F147E9" w:rsidP="17CECF10">
            <w:pPr>
              <w:spacing w:line="276" w:lineRule="auto"/>
              <w:jc w:val="right"/>
              <w:rPr>
                <w:rFonts w:ascii="Segoe UI" w:eastAsia="Times New Roman" w:hAnsi="Segoe UI" w:cs="Segoe UI"/>
                <w:b/>
                <w:bCs/>
                <w:szCs w:val="24"/>
                <w:highlight w:val="yellow"/>
              </w:rPr>
            </w:pPr>
            <w:r w:rsidRPr="17CECF10">
              <w:rPr>
                <w:rFonts w:ascii="Segoe UI" w:hAnsi="Segoe UI" w:cs="Segoe UI"/>
                <w:sz w:val="22"/>
              </w:rPr>
              <w:t>$4,268</w:t>
            </w:r>
          </w:p>
        </w:tc>
        <w:tc>
          <w:tcPr>
            <w:tcW w:w="1089" w:type="dxa"/>
            <w:tcBorders>
              <w:top w:val="nil"/>
              <w:left w:val="nil"/>
              <w:bottom w:val="single" w:sz="8" w:space="0" w:color="auto"/>
              <w:right w:val="single" w:sz="8" w:space="0" w:color="auto"/>
            </w:tcBorders>
            <w:shd w:val="clear" w:color="auto" w:fill="F2F2F2" w:themeFill="background1" w:themeFillShade="F2"/>
            <w:noWrap/>
            <w:vAlign w:val="center"/>
            <w:hideMark/>
          </w:tcPr>
          <w:p w14:paraId="116FB3DB" w14:textId="35A4B67D" w:rsidR="00A54FC1" w:rsidRPr="00777046" w:rsidRDefault="17F147E9" w:rsidP="17CECF10">
            <w:pPr>
              <w:spacing w:line="276" w:lineRule="auto"/>
              <w:jc w:val="right"/>
              <w:rPr>
                <w:rFonts w:ascii="Segoe UI" w:eastAsia="Times New Roman" w:hAnsi="Segoe UI" w:cs="Segoe UI"/>
                <w:b/>
                <w:bCs/>
                <w:szCs w:val="24"/>
                <w:highlight w:val="yellow"/>
              </w:rPr>
            </w:pPr>
            <w:r w:rsidRPr="17CECF10">
              <w:rPr>
                <w:rFonts w:ascii="Segoe UI" w:hAnsi="Segoe UI" w:cs="Segoe UI"/>
                <w:sz w:val="22"/>
              </w:rPr>
              <w:t>$4,431</w:t>
            </w:r>
          </w:p>
        </w:tc>
        <w:tc>
          <w:tcPr>
            <w:tcW w:w="1089" w:type="dxa"/>
            <w:tcBorders>
              <w:top w:val="nil"/>
              <w:left w:val="nil"/>
              <w:bottom w:val="single" w:sz="8" w:space="0" w:color="auto"/>
              <w:right w:val="single" w:sz="8" w:space="0" w:color="auto"/>
            </w:tcBorders>
            <w:shd w:val="clear" w:color="auto" w:fill="F2F2F2" w:themeFill="background1" w:themeFillShade="F2"/>
            <w:noWrap/>
            <w:vAlign w:val="center"/>
            <w:hideMark/>
          </w:tcPr>
          <w:p w14:paraId="0553A4EA" w14:textId="0AF99DAC" w:rsidR="00A54FC1" w:rsidRPr="00777046" w:rsidRDefault="17F147E9" w:rsidP="17CECF10">
            <w:pPr>
              <w:spacing w:line="276" w:lineRule="auto"/>
              <w:jc w:val="right"/>
              <w:rPr>
                <w:rFonts w:ascii="Segoe UI" w:eastAsia="Times New Roman" w:hAnsi="Segoe UI" w:cs="Segoe UI"/>
                <w:b/>
                <w:bCs/>
                <w:szCs w:val="24"/>
                <w:highlight w:val="yellow"/>
              </w:rPr>
            </w:pPr>
            <w:r w:rsidRPr="17CECF10">
              <w:rPr>
                <w:rFonts w:ascii="Segoe UI" w:hAnsi="Segoe UI" w:cs="Segoe UI"/>
                <w:sz w:val="22"/>
              </w:rPr>
              <w:t>$4,600</w:t>
            </w:r>
          </w:p>
        </w:tc>
        <w:tc>
          <w:tcPr>
            <w:tcW w:w="1090" w:type="dxa"/>
            <w:tcBorders>
              <w:top w:val="nil"/>
              <w:left w:val="nil"/>
              <w:bottom w:val="single" w:sz="8" w:space="0" w:color="auto"/>
              <w:right w:val="single" w:sz="8" w:space="0" w:color="auto"/>
            </w:tcBorders>
            <w:shd w:val="clear" w:color="auto" w:fill="F2F2F2" w:themeFill="background1" w:themeFillShade="F2"/>
            <w:noWrap/>
            <w:vAlign w:val="center"/>
            <w:hideMark/>
          </w:tcPr>
          <w:p w14:paraId="74EA5C01" w14:textId="2522952B" w:rsidR="00A54FC1" w:rsidRPr="00777046" w:rsidRDefault="17F147E9" w:rsidP="17CECF10">
            <w:pPr>
              <w:spacing w:line="276" w:lineRule="auto"/>
              <w:jc w:val="right"/>
              <w:rPr>
                <w:rFonts w:ascii="Segoe UI" w:eastAsia="Times New Roman" w:hAnsi="Segoe UI" w:cs="Segoe UI"/>
                <w:b/>
                <w:bCs/>
                <w:szCs w:val="24"/>
                <w:highlight w:val="yellow"/>
              </w:rPr>
            </w:pPr>
            <w:r w:rsidRPr="17CECF10">
              <w:rPr>
                <w:rFonts w:ascii="Segoe UI" w:hAnsi="Segoe UI" w:cs="Segoe UI"/>
                <w:sz w:val="22"/>
              </w:rPr>
              <w:t>$21,376</w:t>
            </w:r>
          </w:p>
        </w:tc>
      </w:tr>
      <w:tr w:rsidR="0061637C" w:rsidRPr="007F7D60" w14:paraId="166C00F9" w14:textId="77777777" w:rsidTr="00B64020">
        <w:trPr>
          <w:trHeight w:val="758"/>
        </w:trPr>
        <w:tc>
          <w:tcPr>
            <w:tcW w:w="3264"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499032B" w14:textId="76E593C1" w:rsidR="0061637C" w:rsidRPr="00777046" w:rsidRDefault="0061637C" w:rsidP="0061637C">
            <w:pPr>
              <w:spacing w:line="276" w:lineRule="auto"/>
              <w:rPr>
                <w:rFonts w:ascii="Segoe UI" w:eastAsia="Times New Roman" w:hAnsi="Segoe UI" w:cs="Segoe UI"/>
                <w:color w:val="000000"/>
                <w:szCs w:val="24"/>
              </w:rPr>
            </w:pPr>
            <w:r w:rsidRPr="17CECF10">
              <w:rPr>
                <w:rFonts w:ascii="Segoe UI" w:eastAsia="Times New Roman" w:hAnsi="Segoe UI" w:cs="Segoe UI"/>
                <w:color w:val="000000" w:themeColor="text1"/>
                <w:sz w:val="22"/>
              </w:rPr>
              <w:t>Unit Cost Recovery (Alternative 2)—fee revenue</w:t>
            </w:r>
          </w:p>
        </w:tc>
        <w:tc>
          <w:tcPr>
            <w:tcW w:w="1089" w:type="dxa"/>
            <w:tcBorders>
              <w:top w:val="nil"/>
              <w:left w:val="nil"/>
              <w:bottom w:val="single" w:sz="8" w:space="0" w:color="auto"/>
              <w:right w:val="single" w:sz="8" w:space="0" w:color="auto"/>
            </w:tcBorders>
            <w:shd w:val="clear" w:color="auto" w:fill="auto"/>
            <w:noWrap/>
            <w:vAlign w:val="center"/>
            <w:hideMark/>
          </w:tcPr>
          <w:p w14:paraId="0D1B6F6D" w14:textId="040500DB" w:rsidR="0061637C" w:rsidRPr="00B64020" w:rsidRDefault="0061637C" w:rsidP="0061637C">
            <w:pPr>
              <w:spacing w:line="276" w:lineRule="auto"/>
              <w:jc w:val="right"/>
              <w:rPr>
                <w:rFonts w:ascii="Segoe UI" w:eastAsia="Times New Roman" w:hAnsi="Segoe UI" w:cs="Segoe UI"/>
                <w:sz w:val="22"/>
                <w:highlight w:val="yellow"/>
              </w:rPr>
            </w:pPr>
            <w:r w:rsidRPr="00B64020">
              <w:rPr>
                <w:rFonts w:ascii="Segoe UI" w:hAnsi="Segoe UI" w:cs="Segoe UI"/>
                <w:sz w:val="22"/>
              </w:rPr>
              <w:t>$4,026</w:t>
            </w:r>
          </w:p>
        </w:tc>
        <w:tc>
          <w:tcPr>
            <w:tcW w:w="1089" w:type="dxa"/>
            <w:tcBorders>
              <w:top w:val="nil"/>
              <w:left w:val="nil"/>
              <w:bottom w:val="single" w:sz="8" w:space="0" w:color="auto"/>
              <w:right w:val="single" w:sz="8" w:space="0" w:color="auto"/>
            </w:tcBorders>
            <w:shd w:val="clear" w:color="auto" w:fill="auto"/>
            <w:noWrap/>
            <w:vAlign w:val="center"/>
            <w:hideMark/>
          </w:tcPr>
          <w:p w14:paraId="708E642A" w14:textId="4EFE9658" w:rsidR="0061637C" w:rsidRPr="00B64020" w:rsidRDefault="0061637C" w:rsidP="0061637C">
            <w:pPr>
              <w:spacing w:line="276" w:lineRule="auto"/>
              <w:jc w:val="right"/>
              <w:rPr>
                <w:rFonts w:ascii="Segoe UI" w:eastAsia="Times New Roman" w:hAnsi="Segoe UI" w:cs="Segoe UI"/>
                <w:sz w:val="22"/>
                <w:highlight w:val="yellow"/>
              </w:rPr>
            </w:pPr>
            <w:r w:rsidRPr="00B64020">
              <w:rPr>
                <w:rFonts w:ascii="Segoe UI" w:hAnsi="Segoe UI" w:cs="Segoe UI"/>
                <w:sz w:val="22"/>
              </w:rPr>
              <w:t>$4,241</w:t>
            </w:r>
          </w:p>
        </w:tc>
        <w:tc>
          <w:tcPr>
            <w:tcW w:w="1090" w:type="dxa"/>
            <w:tcBorders>
              <w:top w:val="nil"/>
              <w:left w:val="nil"/>
              <w:bottom w:val="single" w:sz="8" w:space="0" w:color="auto"/>
              <w:right w:val="single" w:sz="8" w:space="0" w:color="auto"/>
            </w:tcBorders>
            <w:shd w:val="clear" w:color="auto" w:fill="auto"/>
            <w:noWrap/>
            <w:vAlign w:val="center"/>
            <w:hideMark/>
          </w:tcPr>
          <w:p w14:paraId="21A5889C" w14:textId="17DA7E12" w:rsidR="0061637C" w:rsidRPr="00B64020" w:rsidRDefault="0061637C" w:rsidP="0061637C">
            <w:pPr>
              <w:spacing w:line="276" w:lineRule="auto"/>
              <w:jc w:val="right"/>
              <w:rPr>
                <w:rFonts w:ascii="Segoe UI" w:eastAsia="Times New Roman" w:hAnsi="Segoe UI" w:cs="Segoe UI"/>
                <w:sz w:val="22"/>
                <w:highlight w:val="yellow"/>
              </w:rPr>
            </w:pPr>
            <w:r w:rsidRPr="00B64020">
              <w:rPr>
                <w:rFonts w:ascii="Segoe UI" w:hAnsi="Segoe UI" w:cs="Segoe UI"/>
                <w:sz w:val="22"/>
              </w:rPr>
              <w:t>$4,333</w:t>
            </w:r>
          </w:p>
        </w:tc>
        <w:tc>
          <w:tcPr>
            <w:tcW w:w="1089" w:type="dxa"/>
            <w:tcBorders>
              <w:top w:val="nil"/>
              <w:left w:val="nil"/>
              <w:bottom w:val="single" w:sz="8" w:space="0" w:color="auto"/>
              <w:right w:val="single" w:sz="8" w:space="0" w:color="auto"/>
            </w:tcBorders>
            <w:shd w:val="clear" w:color="auto" w:fill="auto"/>
            <w:noWrap/>
            <w:vAlign w:val="center"/>
            <w:hideMark/>
          </w:tcPr>
          <w:p w14:paraId="66768B22" w14:textId="342332AF" w:rsidR="0061637C" w:rsidRPr="00B64020" w:rsidRDefault="0061637C" w:rsidP="0061637C">
            <w:pPr>
              <w:spacing w:line="276" w:lineRule="auto"/>
              <w:jc w:val="right"/>
              <w:rPr>
                <w:rFonts w:ascii="Segoe UI" w:eastAsia="Times New Roman" w:hAnsi="Segoe UI" w:cs="Segoe UI"/>
                <w:sz w:val="22"/>
                <w:highlight w:val="yellow"/>
              </w:rPr>
            </w:pPr>
            <w:r w:rsidRPr="00B64020">
              <w:rPr>
                <w:rFonts w:ascii="Segoe UI" w:hAnsi="Segoe UI" w:cs="Segoe UI"/>
                <w:sz w:val="22"/>
              </w:rPr>
              <w:t>$4,305</w:t>
            </w:r>
          </w:p>
        </w:tc>
        <w:tc>
          <w:tcPr>
            <w:tcW w:w="1089" w:type="dxa"/>
            <w:tcBorders>
              <w:top w:val="nil"/>
              <w:left w:val="nil"/>
              <w:bottom w:val="single" w:sz="8" w:space="0" w:color="auto"/>
              <w:right w:val="single" w:sz="8" w:space="0" w:color="auto"/>
            </w:tcBorders>
            <w:shd w:val="clear" w:color="auto" w:fill="auto"/>
            <w:noWrap/>
            <w:vAlign w:val="center"/>
            <w:hideMark/>
          </w:tcPr>
          <w:p w14:paraId="6CC4759C" w14:textId="455C3B9D" w:rsidR="0061637C" w:rsidRPr="00B64020" w:rsidRDefault="0061637C" w:rsidP="0061637C">
            <w:pPr>
              <w:spacing w:line="276" w:lineRule="auto"/>
              <w:jc w:val="right"/>
              <w:rPr>
                <w:rFonts w:ascii="Segoe UI" w:eastAsia="Times New Roman" w:hAnsi="Segoe UI" w:cs="Segoe UI"/>
                <w:sz w:val="22"/>
                <w:highlight w:val="yellow"/>
              </w:rPr>
            </w:pPr>
            <w:r w:rsidRPr="00B64020">
              <w:rPr>
                <w:rFonts w:ascii="Segoe UI" w:hAnsi="Segoe UI" w:cs="Segoe UI"/>
                <w:sz w:val="22"/>
              </w:rPr>
              <w:t>$4,319</w:t>
            </w:r>
          </w:p>
        </w:tc>
        <w:tc>
          <w:tcPr>
            <w:tcW w:w="1090" w:type="dxa"/>
            <w:tcBorders>
              <w:top w:val="nil"/>
              <w:left w:val="nil"/>
              <w:bottom w:val="single" w:sz="8" w:space="0" w:color="auto"/>
              <w:right w:val="single" w:sz="8" w:space="0" w:color="auto"/>
            </w:tcBorders>
            <w:shd w:val="clear" w:color="auto" w:fill="auto"/>
            <w:noWrap/>
            <w:vAlign w:val="center"/>
            <w:hideMark/>
          </w:tcPr>
          <w:p w14:paraId="47E0CED8" w14:textId="7E67E048" w:rsidR="0061637C" w:rsidRPr="00B64020" w:rsidRDefault="0061637C" w:rsidP="0061637C">
            <w:pPr>
              <w:spacing w:line="276" w:lineRule="auto"/>
              <w:jc w:val="right"/>
              <w:rPr>
                <w:rFonts w:ascii="Segoe UI" w:eastAsia="Times New Roman" w:hAnsi="Segoe UI" w:cs="Segoe UI"/>
                <w:sz w:val="22"/>
                <w:highlight w:val="yellow"/>
              </w:rPr>
            </w:pPr>
            <w:r w:rsidRPr="00B64020">
              <w:rPr>
                <w:rFonts w:ascii="Segoe UI" w:hAnsi="Segoe UI" w:cs="Segoe UI"/>
                <w:sz w:val="22"/>
              </w:rPr>
              <w:t>$21,223</w:t>
            </w:r>
          </w:p>
        </w:tc>
      </w:tr>
      <w:tr w:rsidR="0061637C" w:rsidRPr="007F7D60" w14:paraId="4DF4840A" w14:textId="77777777" w:rsidTr="00B64020">
        <w:trPr>
          <w:trHeight w:val="324"/>
        </w:trPr>
        <w:tc>
          <w:tcPr>
            <w:tcW w:w="3264"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86E1564" w14:textId="4854E3AD" w:rsidR="0061637C" w:rsidRPr="00777046" w:rsidRDefault="0061637C" w:rsidP="0061637C">
            <w:pPr>
              <w:spacing w:line="276" w:lineRule="auto"/>
              <w:rPr>
                <w:rFonts w:ascii="Segoe UI" w:eastAsia="Times New Roman" w:hAnsi="Segoe UI" w:cs="Segoe UI"/>
                <w:color w:val="000000"/>
                <w:szCs w:val="24"/>
              </w:rPr>
            </w:pPr>
            <w:r w:rsidRPr="17CECF10">
              <w:rPr>
                <w:rFonts w:ascii="Segoe UI" w:eastAsia="Times New Roman" w:hAnsi="Segoe UI" w:cs="Segoe UI"/>
                <w:color w:val="000000" w:themeColor="text1"/>
                <w:sz w:val="22"/>
              </w:rPr>
              <w:t>Other income</w:t>
            </w:r>
          </w:p>
        </w:tc>
        <w:tc>
          <w:tcPr>
            <w:tcW w:w="1089" w:type="dxa"/>
            <w:tcBorders>
              <w:top w:val="nil"/>
              <w:left w:val="nil"/>
              <w:bottom w:val="single" w:sz="8" w:space="0" w:color="auto"/>
              <w:right w:val="single" w:sz="8" w:space="0" w:color="auto"/>
            </w:tcBorders>
            <w:shd w:val="clear" w:color="auto" w:fill="auto"/>
            <w:noWrap/>
            <w:vAlign w:val="center"/>
            <w:hideMark/>
          </w:tcPr>
          <w:p w14:paraId="42377B5D" w14:textId="721419B9" w:rsidR="0061637C" w:rsidRPr="00B64020" w:rsidRDefault="0061637C" w:rsidP="0061637C">
            <w:pPr>
              <w:spacing w:line="276" w:lineRule="auto"/>
              <w:jc w:val="right"/>
              <w:rPr>
                <w:rFonts w:ascii="Segoe UI" w:eastAsia="Times New Roman" w:hAnsi="Segoe UI" w:cs="Segoe UI"/>
                <w:sz w:val="22"/>
                <w:highlight w:val="yellow"/>
              </w:rPr>
            </w:pPr>
            <w:r w:rsidRPr="00B64020">
              <w:rPr>
                <w:rFonts w:ascii="Segoe UI" w:hAnsi="Segoe UI" w:cs="Segoe UI"/>
                <w:sz w:val="22"/>
              </w:rPr>
              <w:t>$50</w:t>
            </w:r>
          </w:p>
        </w:tc>
        <w:tc>
          <w:tcPr>
            <w:tcW w:w="1089" w:type="dxa"/>
            <w:tcBorders>
              <w:top w:val="nil"/>
              <w:left w:val="nil"/>
              <w:bottom w:val="single" w:sz="8" w:space="0" w:color="auto"/>
              <w:right w:val="single" w:sz="8" w:space="0" w:color="auto"/>
            </w:tcBorders>
            <w:shd w:val="clear" w:color="auto" w:fill="auto"/>
            <w:noWrap/>
            <w:vAlign w:val="center"/>
            <w:hideMark/>
          </w:tcPr>
          <w:p w14:paraId="6584770C" w14:textId="082BB9E2" w:rsidR="0061637C" w:rsidRPr="00B64020" w:rsidRDefault="0061637C" w:rsidP="0061637C">
            <w:pPr>
              <w:spacing w:line="276" w:lineRule="auto"/>
              <w:jc w:val="right"/>
              <w:rPr>
                <w:rFonts w:ascii="Segoe UI" w:eastAsia="Times New Roman" w:hAnsi="Segoe UI" w:cs="Segoe UI"/>
                <w:sz w:val="22"/>
                <w:highlight w:val="yellow"/>
              </w:rPr>
            </w:pPr>
            <w:r w:rsidRPr="00B64020">
              <w:rPr>
                <w:rFonts w:ascii="Segoe UI" w:hAnsi="Segoe UI" w:cs="Segoe UI"/>
                <w:sz w:val="22"/>
              </w:rPr>
              <w:t>$50</w:t>
            </w:r>
          </w:p>
        </w:tc>
        <w:tc>
          <w:tcPr>
            <w:tcW w:w="1090" w:type="dxa"/>
            <w:tcBorders>
              <w:top w:val="nil"/>
              <w:left w:val="nil"/>
              <w:bottom w:val="single" w:sz="8" w:space="0" w:color="auto"/>
              <w:right w:val="single" w:sz="8" w:space="0" w:color="auto"/>
            </w:tcBorders>
            <w:shd w:val="clear" w:color="auto" w:fill="auto"/>
            <w:noWrap/>
            <w:vAlign w:val="center"/>
            <w:hideMark/>
          </w:tcPr>
          <w:p w14:paraId="25D80684" w14:textId="1086C754" w:rsidR="0061637C" w:rsidRPr="00B64020" w:rsidRDefault="0061637C" w:rsidP="0061637C">
            <w:pPr>
              <w:spacing w:line="276" w:lineRule="auto"/>
              <w:jc w:val="right"/>
              <w:rPr>
                <w:rFonts w:ascii="Segoe UI" w:eastAsia="Times New Roman" w:hAnsi="Segoe UI" w:cs="Segoe UI"/>
                <w:sz w:val="22"/>
                <w:highlight w:val="yellow"/>
              </w:rPr>
            </w:pPr>
            <w:r w:rsidRPr="00B64020">
              <w:rPr>
                <w:rFonts w:ascii="Segoe UI" w:hAnsi="Segoe UI" w:cs="Segoe UI"/>
                <w:sz w:val="22"/>
              </w:rPr>
              <w:t>$50</w:t>
            </w:r>
          </w:p>
        </w:tc>
        <w:tc>
          <w:tcPr>
            <w:tcW w:w="1089" w:type="dxa"/>
            <w:tcBorders>
              <w:top w:val="nil"/>
              <w:left w:val="nil"/>
              <w:bottom w:val="single" w:sz="8" w:space="0" w:color="auto"/>
              <w:right w:val="single" w:sz="8" w:space="0" w:color="auto"/>
            </w:tcBorders>
            <w:shd w:val="clear" w:color="auto" w:fill="auto"/>
            <w:noWrap/>
            <w:vAlign w:val="center"/>
            <w:hideMark/>
          </w:tcPr>
          <w:p w14:paraId="6B7EB2CB" w14:textId="1D99AC26" w:rsidR="0061637C" w:rsidRPr="00B64020" w:rsidRDefault="0061637C" w:rsidP="0061637C">
            <w:pPr>
              <w:spacing w:line="276" w:lineRule="auto"/>
              <w:jc w:val="right"/>
              <w:rPr>
                <w:rFonts w:ascii="Segoe UI" w:eastAsia="Times New Roman" w:hAnsi="Segoe UI" w:cs="Segoe UI"/>
                <w:sz w:val="22"/>
                <w:highlight w:val="yellow"/>
              </w:rPr>
            </w:pPr>
            <w:r w:rsidRPr="00B64020">
              <w:rPr>
                <w:rFonts w:ascii="Segoe UI" w:hAnsi="Segoe UI" w:cs="Segoe UI"/>
                <w:sz w:val="22"/>
              </w:rPr>
              <w:t>$50</w:t>
            </w:r>
          </w:p>
        </w:tc>
        <w:tc>
          <w:tcPr>
            <w:tcW w:w="1089" w:type="dxa"/>
            <w:tcBorders>
              <w:top w:val="nil"/>
              <w:left w:val="nil"/>
              <w:bottom w:val="single" w:sz="8" w:space="0" w:color="auto"/>
              <w:right w:val="single" w:sz="8" w:space="0" w:color="auto"/>
            </w:tcBorders>
            <w:shd w:val="clear" w:color="auto" w:fill="auto"/>
            <w:noWrap/>
            <w:vAlign w:val="center"/>
            <w:hideMark/>
          </w:tcPr>
          <w:p w14:paraId="769E0277" w14:textId="2B6DDDFC" w:rsidR="0061637C" w:rsidRPr="00B64020" w:rsidRDefault="0061637C" w:rsidP="0061637C">
            <w:pPr>
              <w:spacing w:line="276" w:lineRule="auto"/>
              <w:jc w:val="right"/>
              <w:rPr>
                <w:rFonts w:ascii="Segoe UI" w:eastAsia="Times New Roman" w:hAnsi="Segoe UI" w:cs="Segoe UI"/>
                <w:sz w:val="22"/>
                <w:highlight w:val="yellow"/>
              </w:rPr>
            </w:pPr>
            <w:r w:rsidRPr="00B64020">
              <w:rPr>
                <w:rFonts w:ascii="Segoe UI" w:hAnsi="Segoe UI" w:cs="Segoe UI"/>
                <w:sz w:val="22"/>
              </w:rPr>
              <w:t>$50</w:t>
            </w:r>
          </w:p>
        </w:tc>
        <w:tc>
          <w:tcPr>
            <w:tcW w:w="1090" w:type="dxa"/>
            <w:tcBorders>
              <w:top w:val="nil"/>
              <w:left w:val="nil"/>
              <w:bottom w:val="single" w:sz="8" w:space="0" w:color="auto"/>
              <w:right w:val="single" w:sz="8" w:space="0" w:color="auto"/>
            </w:tcBorders>
            <w:shd w:val="clear" w:color="auto" w:fill="auto"/>
            <w:noWrap/>
            <w:vAlign w:val="center"/>
            <w:hideMark/>
          </w:tcPr>
          <w:p w14:paraId="26D17EA7" w14:textId="30E9DE85" w:rsidR="0061637C" w:rsidRPr="00B64020" w:rsidRDefault="0061637C" w:rsidP="0061637C">
            <w:pPr>
              <w:spacing w:line="276" w:lineRule="auto"/>
              <w:jc w:val="right"/>
              <w:rPr>
                <w:rFonts w:ascii="Segoe UI" w:eastAsia="Times New Roman" w:hAnsi="Segoe UI" w:cs="Segoe UI"/>
                <w:sz w:val="22"/>
                <w:highlight w:val="yellow"/>
              </w:rPr>
            </w:pPr>
            <w:r w:rsidRPr="00B64020">
              <w:rPr>
                <w:rFonts w:ascii="Segoe UI" w:hAnsi="Segoe UI" w:cs="Segoe UI"/>
                <w:sz w:val="22"/>
              </w:rPr>
              <w:t>$250</w:t>
            </w:r>
          </w:p>
        </w:tc>
      </w:tr>
      <w:tr w:rsidR="0061637C" w:rsidRPr="007F7D60" w14:paraId="3BAA412F" w14:textId="77777777" w:rsidTr="00B64020">
        <w:tblPrEx>
          <w:jc w:val="center"/>
        </w:tblPrEx>
        <w:trPr>
          <w:trHeight w:val="324"/>
          <w:jc w:val="center"/>
        </w:trPr>
        <w:tc>
          <w:tcPr>
            <w:tcW w:w="3264" w:type="dxa"/>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hideMark/>
          </w:tcPr>
          <w:p w14:paraId="387A5664" w14:textId="1434A8AF" w:rsidR="0061637C" w:rsidRPr="00777046" w:rsidRDefault="0061637C" w:rsidP="0061637C">
            <w:pPr>
              <w:spacing w:line="276" w:lineRule="auto"/>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Aggregate revenue</w:t>
            </w:r>
          </w:p>
        </w:tc>
        <w:tc>
          <w:tcPr>
            <w:tcW w:w="1089" w:type="dxa"/>
            <w:tcBorders>
              <w:top w:val="nil"/>
              <w:left w:val="nil"/>
              <w:bottom w:val="single" w:sz="8" w:space="0" w:color="auto"/>
              <w:right w:val="single" w:sz="8" w:space="0" w:color="auto"/>
            </w:tcBorders>
            <w:shd w:val="clear" w:color="auto" w:fill="F2F2F2" w:themeFill="background1" w:themeFillShade="F2"/>
            <w:noWrap/>
            <w:vAlign w:val="center"/>
            <w:hideMark/>
          </w:tcPr>
          <w:p w14:paraId="4850FD3D" w14:textId="170A6338" w:rsidR="0061637C" w:rsidRPr="00B64020" w:rsidRDefault="0061637C" w:rsidP="0061637C">
            <w:pPr>
              <w:spacing w:line="276" w:lineRule="auto"/>
              <w:jc w:val="right"/>
              <w:rPr>
                <w:rFonts w:ascii="Segoe UI" w:eastAsia="Times New Roman" w:hAnsi="Segoe UI" w:cs="Segoe UI"/>
                <w:b/>
                <w:bCs/>
                <w:sz w:val="22"/>
                <w:highlight w:val="yellow"/>
              </w:rPr>
            </w:pPr>
            <w:r w:rsidRPr="00B64020">
              <w:rPr>
                <w:rFonts w:ascii="Segoe UI" w:hAnsi="Segoe UI" w:cs="Segoe UI"/>
                <w:sz w:val="22"/>
              </w:rPr>
              <w:t>$4,076</w:t>
            </w:r>
          </w:p>
        </w:tc>
        <w:tc>
          <w:tcPr>
            <w:tcW w:w="1089" w:type="dxa"/>
            <w:tcBorders>
              <w:top w:val="nil"/>
              <w:left w:val="nil"/>
              <w:bottom w:val="single" w:sz="8" w:space="0" w:color="auto"/>
              <w:right w:val="single" w:sz="8" w:space="0" w:color="auto"/>
            </w:tcBorders>
            <w:shd w:val="clear" w:color="auto" w:fill="F2F2F2" w:themeFill="background1" w:themeFillShade="F2"/>
            <w:noWrap/>
            <w:vAlign w:val="center"/>
            <w:hideMark/>
          </w:tcPr>
          <w:p w14:paraId="660FEEDD" w14:textId="048D1917" w:rsidR="0061637C" w:rsidRPr="00B64020" w:rsidRDefault="0061637C" w:rsidP="0061637C">
            <w:pPr>
              <w:spacing w:line="276" w:lineRule="auto"/>
              <w:jc w:val="right"/>
              <w:rPr>
                <w:rFonts w:ascii="Segoe UI" w:eastAsia="Times New Roman" w:hAnsi="Segoe UI" w:cs="Segoe UI"/>
                <w:b/>
                <w:bCs/>
                <w:sz w:val="22"/>
                <w:highlight w:val="yellow"/>
              </w:rPr>
            </w:pPr>
            <w:r w:rsidRPr="00B64020">
              <w:rPr>
                <w:rFonts w:ascii="Segoe UI" w:hAnsi="Segoe UI" w:cs="Segoe UI"/>
                <w:sz w:val="22"/>
              </w:rPr>
              <w:t>$4,291</w:t>
            </w:r>
          </w:p>
        </w:tc>
        <w:tc>
          <w:tcPr>
            <w:tcW w:w="1090" w:type="dxa"/>
            <w:tcBorders>
              <w:top w:val="nil"/>
              <w:left w:val="nil"/>
              <w:bottom w:val="single" w:sz="8" w:space="0" w:color="auto"/>
              <w:right w:val="single" w:sz="8" w:space="0" w:color="auto"/>
            </w:tcBorders>
            <w:shd w:val="clear" w:color="auto" w:fill="F2F2F2" w:themeFill="background1" w:themeFillShade="F2"/>
            <w:noWrap/>
            <w:vAlign w:val="center"/>
            <w:hideMark/>
          </w:tcPr>
          <w:p w14:paraId="0C4B8F19" w14:textId="34082E3F" w:rsidR="0061637C" w:rsidRPr="00B64020" w:rsidRDefault="0061637C" w:rsidP="0061637C">
            <w:pPr>
              <w:spacing w:line="276" w:lineRule="auto"/>
              <w:jc w:val="right"/>
              <w:rPr>
                <w:rFonts w:ascii="Segoe UI" w:eastAsia="Times New Roman" w:hAnsi="Segoe UI" w:cs="Segoe UI"/>
                <w:b/>
                <w:bCs/>
                <w:sz w:val="22"/>
                <w:highlight w:val="yellow"/>
              </w:rPr>
            </w:pPr>
            <w:r w:rsidRPr="00B64020">
              <w:rPr>
                <w:rFonts w:ascii="Segoe UI" w:hAnsi="Segoe UI" w:cs="Segoe UI"/>
                <w:sz w:val="22"/>
              </w:rPr>
              <w:t>$4,383</w:t>
            </w:r>
          </w:p>
        </w:tc>
        <w:tc>
          <w:tcPr>
            <w:tcW w:w="1089" w:type="dxa"/>
            <w:tcBorders>
              <w:top w:val="nil"/>
              <w:left w:val="nil"/>
              <w:bottom w:val="single" w:sz="8" w:space="0" w:color="auto"/>
              <w:right w:val="single" w:sz="8" w:space="0" w:color="auto"/>
            </w:tcBorders>
            <w:shd w:val="clear" w:color="auto" w:fill="F2F2F2" w:themeFill="background1" w:themeFillShade="F2"/>
            <w:noWrap/>
            <w:vAlign w:val="center"/>
            <w:hideMark/>
          </w:tcPr>
          <w:p w14:paraId="49BD5A65" w14:textId="38E2E4C7" w:rsidR="0061637C" w:rsidRPr="00B64020" w:rsidRDefault="0061637C" w:rsidP="0061637C">
            <w:pPr>
              <w:spacing w:line="276" w:lineRule="auto"/>
              <w:jc w:val="right"/>
              <w:rPr>
                <w:rFonts w:ascii="Segoe UI" w:eastAsia="Times New Roman" w:hAnsi="Segoe UI" w:cs="Segoe UI"/>
                <w:b/>
                <w:bCs/>
                <w:sz w:val="22"/>
                <w:highlight w:val="yellow"/>
              </w:rPr>
            </w:pPr>
            <w:r w:rsidRPr="00B64020">
              <w:rPr>
                <w:rFonts w:ascii="Segoe UI" w:hAnsi="Segoe UI" w:cs="Segoe UI"/>
                <w:sz w:val="22"/>
              </w:rPr>
              <w:t>$4,355</w:t>
            </w:r>
          </w:p>
        </w:tc>
        <w:tc>
          <w:tcPr>
            <w:tcW w:w="1089" w:type="dxa"/>
            <w:tcBorders>
              <w:top w:val="nil"/>
              <w:left w:val="nil"/>
              <w:bottom w:val="single" w:sz="8" w:space="0" w:color="auto"/>
              <w:right w:val="single" w:sz="8" w:space="0" w:color="auto"/>
            </w:tcBorders>
            <w:shd w:val="clear" w:color="auto" w:fill="F2F2F2" w:themeFill="background1" w:themeFillShade="F2"/>
            <w:noWrap/>
            <w:vAlign w:val="center"/>
            <w:hideMark/>
          </w:tcPr>
          <w:p w14:paraId="0041A3E5" w14:textId="736F817A" w:rsidR="0061637C" w:rsidRPr="00B64020" w:rsidRDefault="0061637C" w:rsidP="0061637C">
            <w:pPr>
              <w:spacing w:line="276" w:lineRule="auto"/>
              <w:jc w:val="right"/>
              <w:rPr>
                <w:rFonts w:ascii="Segoe UI" w:eastAsia="Times New Roman" w:hAnsi="Segoe UI" w:cs="Segoe UI"/>
                <w:b/>
                <w:bCs/>
                <w:sz w:val="22"/>
                <w:highlight w:val="yellow"/>
              </w:rPr>
            </w:pPr>
            <w:r w:rsidRPr="00B64020">
              <w:rPr>
                <w:rFonts w:ascii="Segoe UI" w:hAnsi="Segoe UI" w:cs="Segoe UI"/>
                <w:sz w:val="22"/>
              </w:rPr>
              <w:t>$4,369</w:t>
            </w:r>
          </w:p>
        </w:tc>
        <w:tc>
          <w:tcPr>
            <w:tcW w:w="1090" w:type="dxa"/>
            <w:tcBorders>
              <w:top w:val="nil"/>
              <w:left w:val="nil"/>
              <w:bottom w:val="single" w:sz="8" w:space="0" w:color="auto"/>
              <w:right w:val="single" w:sz="8" w:space="0" w:color="auto"/>
            </w:tcBorders>
            <w:shd w:val="clear" w:color="auto" w:fill="F2F2F2" w:themeFill="background1" w:themeFillShade="F2"/>
            <w:noWrap/>
            <w:vAlign w:val="center"/>
            <w:hideMark/>
          </w:tcPr>
          <w:p w14:paraId="71393B71" w14:textId="17C727B3" w:rsidR="0061637C" w:rsidRPr="00B64020" w:rsidRDefault="0061637C" w:rsidP="0061637C">
            <w:pPr>
              <w:spacing w:line="276" w:lineRule="auto"/>
              <w:jc w:val="right"/>
              <w:rPr>
                <w:rFonts w:ascii="Segoe UI" w:eastAsia="Times New Roman" w:hAnsi="Segoe UI" w:cs="Segoe UI"/>
                <w:b/>
                <w:bCs/>
                <w:sz w:val="22"/>
                <w:highlight w:val="yellow"/>
              </w:rPr>
            </w:pPr>
            <w:r w:rsidRPr="00B64020">
              <w:rPr>
                <w:rFonts w:ascii="Segoe UI" w:hAnsi="Segoe UI" w:cs="Segoe UI"/>
                <w:sz w:val="22"/>
              </w:rPr>
              <w:t>$21,473</w:t>
            </w:r>
          </w:p>
        </w:tc>
      </w:tr>
      <w:tr w:rsidR="0061637C" w:rsidRPr="007F7D60" w14:paraId="0B421F7B" w14:textId="77777777" w:rsidTr="00B64020">
        <w:trPr>
          <w:trHeight w:val="324"/>
        </w:trPr>
        <w:tc>
          <w:tcPr>
            <w:tcW w:w="3264"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D9375EE" w14:textId="481FCAF3" w:rsidR="0061637C" w:rsidRPr="00777046" w:rsidRDefault="0061637C" w:rsidP="0061637C">
            <w:pPr>
              <w:spacing w:line="276" w:lineRule="auto"/>
              <w:rPr>
                <w:rFonts w:ascii="Segoe UI" w:eastAsia="Times New Roman" w:hAnsi="Segoe UI" w:cs="Segoe UI"/>
                <w:color w:val="000000"/>
                <w:szCs w:val="24"/>
              </w:rPr>
            </w:pPr>
            <w:r w:rsidRPr="17CECF10">
              <w:rPr>
                <w:rFonts w:ascii="Segoe UI" w:eastAsia="Times New Roman" w:hAnsi="Segoe UI" w:cs="Segoe UI"/>
                <w:color w:val="000000" w:themeColor="text1"/>
                <w:sz w:val="22"/>
              </w:rPr>
              <w:t>Operating reserve</w:t>
            </w:r>
          </w:p>
        </w:tc>
        <w:tc>
          <w:tcPr>
            <w:tcW w:w="1089" w:type="dxa"/>
            <w:tcBorders>
              <w:top w:val="nil"/>
              <w:left w:val="nil"/>
              <w:bottom w:val="single" w:sz="8" w:space="0" w:color="auto"/>
              <w:right w:val="single" w:sz="8" w:space="0" w:color="auto"/>
            </w:tcBorders>
            <w:shd w:val="clear" w:color="auto" w:fill="auto"/>
            <w:noWrap/>
            <w:vAlign w:val="center"/>
            <w:hideMark/>
          </w:tcPr>
          <w:p w14:paraId="6D1FD45F" w14:textId="4E4AB39A" w:rsidR="0061637C" w:rsidRPr="00B64020" w:rsidRDefault="0061637C" w:rsidP="0061637C">
            <w:pPr>
              <w:spacing w:line="276" w:lineRule="auto"/>
              <w:jc w:val="right"/>
              <w:rPr>
                <w:rFonts w:ascii="Segoe UI" w:eastAsia="Times New Roman" w:hAnsi="Segoe UI" w:cs="Segoe UI"/>
                <w:sz w:val="22"/>
                <w:highlight w:val="yellow"/>
              </w:rPr>
            </w:pPr>
            <w:r w:rsidRPr="00B64020">
              <w:rPr>
                <w:rFonts w:ascii="Segoe UI" w:hAnsi="Segoe UI" w:cs="Segoe UI"/>
                <w:sz w:val="22"/>
              </w:rPr>
              <w:t>$894</w:t>
            </w:r>
          </w:p>
        </w:tc>
        <w:tc>
          <w:tcPr>
            <w:tcW w:w="1089" w:type="dxa"/>
            <w:tcBorders>
              <w:top w:val="nil"/>
              <w:left w:val="nil"/>
              <w:bottom w:val="single" w:sz="8" w:space="0" w:color="auto"/>
              <w:right w:val="single" w:sz="8" w:space="0" w:color="auto"/>
            </w:tcBorders>
            <w:shd w:val="clear" w:color="auto" w:fill="auto"/>
            <w:noWrap/>
            <w:vAlign w:val="center"/>
            <w:hideMark/>
          </w:tcPr>
          <w:p w14:paraId="79232117" w14:textId="22D8EFEB" w:rsidR="0061637C" w:rsidRPr="00B64020" w:rsidRDefault="0061637C" w:rsidP="0061637C">
            <w:pPr>
              <w:spacing w:line="276" w:lineRule="auto"/>
              <w:jc w:val="right"/>
              <w:rPr>
                <w:rFonts w:ascii="Segoe UI" w:eastAsia="Times New Roman" w:hAnsi="Segoe UI" w:cs="Segoe UI"/>
                <w:sz w:val="22"/>
                <w:highlight w:val="yellow"/>
              </w:rPr>
            </w:pPr>
            <w:r w:rsidRPr="00B64020">
              <w:rPr>
                <w:rFonts w:ascii="Segoe UI" w:hAnsi="Segoe UI" w:cs="Segoe UI"/>
                <w:sz w:val="22"/>
              </w:rPr>
              <w:t>$1,082</w:t>
            </w:r>
          </w:p>
        </w:tc>
        <w:tc>
          <w:tcPr>
            <w:tcW w:w="1090" w:type="dxa"/>
            <w:tcBorders>
              <w:top w:val="nil"/>
              <w:left w:val="nil"/>
              <w:bottom w:val="single" w:sz="8" w:space="0" w:color="auto"/>
              <w:right w:val="single" w:sz="8" w:space="0" w:color="auto"/>
            </w:tcBorders>
            <w:shd w:val="clear" w:color="auto" w:fill="auto"/>
            <w:noWrap/>
            <w:vAlign w:val="center"/>
            <w:hideMark/>
          </w:tcPr>
          <w:p w14:paraId="53B974CD" w14:textId="7778BD18" w:rsidR="0061637C" w:rsidRPr="00B64020" w:rsidRDefault="0061637C" w:rsidP="0061637C">
            <w:pPr>
              <w:spacing w:line="276" w:lineRule="auto"/>
              <w:jc w:val="right"/>
              <w:rPr>
                <w:rFonts w:ascii="Segoe UI" w:eastAsia="Times New Roman" w:hAnsi="Segoe UI" w:cs="Segoe UI"/>
                <w:sz w:val="22"/>
                <w:highlight w:val="yellow"/>
              </w:rPr>
            </w:pPr>
            <w:r w:rsidRPr="00B64020">
              <w:rPr>
                <w:rFonts w:ascii="Segoe UI" w:hAnsi="Segoe UI" w:cs="Segoe UI"/>
                <w:sz w:val="22"/>
              </w:rPr>
              <w:t>$1,197</w:t>
            </w:r>
          </w:p>
        </w:tc>
        <w:tc>
          <w:tcPr>
            <w:tcW w:w="1089" w:type="dxa"/>
            <w:tcBorders>
              <w:top w:val="nil"/>
              <w:left w:val="nil"/>
              <w:bottom w:val="single" w:sz="8" w:space="0" w:color="auto"/>
              <w:right w:val="single" w:sz="8" w:space="0" w:color="auto"/>
            </w:tcBorders>
            <w:shd w:val="clear" w:color="auto" w:fill="auto"/>
            <w:noWrap/>
            <w:vAlign w:val="center"/>
            <w:hideMark/>
          </w:tcPr>
          <w:p w14:paraId="0CC2C9A6" w14:textId="6DFB40CB" w:rsidR="0061637C" w:rsidRPr="00B64020" w:rsidRDefault="0061637C" w:rsidP="0061637C">
            <w:pPr>
              <w:spacing w:line="276" w:lineRule="auto"/>
              <w:jc w:val="right"/>
              <w:rPr>
                <w:rFonts w:ascii="Segoe UI" w:eastAsia="Times New Roman" w:hAnsi="Segoe UI" w:cs="Segoe UI"/>
                <w:sz w:val="22"/>
                <w:highlight w:val="yellow"/>
              </w:rPr>
            </w:pPr>
            <w:r w:rsidRPr="00B64020">
              <w:rPr>
                <w:rFonts w:ascii="Segoe UI" w:hAnsi="Segoe UI" w:cs="Segoe UI"/>
                <w:sz w:val="22"/>
              </w:rPr>
              <w:t>$1,121</w:t>
            </w:r>
          </w:p>
        </w:tc>
        <w:tc>
          <w:tcPr>
            <w:tcW w:w="1089" w:type="dxa"/>
            <w:tcBorders>
              <w:top w:val="nil"/>
              <w:left w:val="nil"/>
              <w:bottom w:val="single" w:sz="8" w:space="0" w:color="auto"/>
              <w:right w:val="single" w:sz="8" w:space="0" w:color="auto"/>
            </w:tcBorders>
            <w:shd w:val="clear" w:color="auto" w:fill="auto"/>
            <w:noWrap/>
            <w:vAlign w:val="center"/>
            <w:hideMark/>
          </w:tcPr>
          <w:p w14:paraId="27BE8B5F" w14:textId="5AF1AE58" w:rsidR="0061637C" w:rsidRPr="00B64020" w:rsidRDefault="0061637C" w:rsidP="0061637C">
            <w:pPr>
              <w:spacing w:line="276" w:lineRule="auto"/>
              <w:jc w:val="right"/>
              <w:rPr>
                <w:rFonts w:ascii="Segoe UI" w:eastAsia="Times New Roman" w:hAnsi="Segoe UI" w:cs="Segoe UI"/>
                <w:sz w:val="22"/>
                <w:highlight w:val="yellow"/>
              </w:rPr>
            </w:pPr>
            <w:r w:rsidRPr="00B64020">
              <w:rPr>
                <w:rFonts w:ascii="Segoe UI" w:hAnsi="Segoe UI" w:cs="Segoe UI"/>
                <w:sz w:val="22"/>
              </w:rPr>
              <w:t>$890</w:t>
            </w:r>
          </w:p>
        </w:tc>
        <w:tc>
          <w:tcPr>
            <w:tcW w:w="1090" w:type="dxa"/>
            <w:tcBorders>
              <w:top w:val="nil"/>
              <w:left w:val="nil"/>
              <w:bottom w:val="single" w:sz="8" w:space="0" w:color="auto"/>
              <w:right w:val="single" w:sz="8" w:space="0" w:color="auto"/>
            </w:tcBorders>
            <w:shd w:val="clear" w:color="auto" w:fill="auto"/>
            <w:noWrap/>
            <w:vAlign w:val="center"/>
            <w:hideMark/>
          </w:tcPr>
          <w:p w14:paraId="53F5797A" w14:textId="60D62529" w:rsidR="0061637C" w:rsidRPr="00B64020" w:rsidRDefault="0061637C" w:rsidP="0061637C">
            <w:pPr>
              <w:spacing w:line="276" w:lineRule="auto"/>
              <w:jc w:val="right"/>
              <w:rPr>
                <w:rFonts w:ascii="Segoe UI" w:eastAsia="Times New Roman" w:hAnsi="Segoe UI" w:cs="Segoe UI"/>
                <w:sz w:val="22"/>
                <w:highlight w:val="yellow"/>
              </w:rPr>
            </w:pPr>
          </w:p>
        </w:tc>
      </w:tr>
      <w:tr w:rsidR="0061637C" w:rsidRPr="007F7D60" w14:paraId="4D90D70D" w14:textId="77777777" w:rsidTr="00B64020">
        <w:trPr>
          <w:trHeight w:val="636"/>
        </w:trPr>
        <w:tc>
          <w:tcPr>
            <w:tcW w:w="3264"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2BE6337" w14:textId="14EC75CE" w:rsidR="0061637C" w:rsidRPr="00777046" w:rsidRDefault="0061637C" w:rsidP="0061637C">
            <w:pPr>
              <w:spacing w:line="276" w:lineRule="auto"/>
              <w:rPr>
                <w:rFonts w:ascii="Segoe UI" w:eastAsia="Times New Roman" w:hAnsi="Segoe UI" w:cs="Segoe UI"/>
                <w:color w:val="000000"/>
                <w:szCs w:val="24"/>
              </w:rPr>
            </w:pPr>
            <w:r w:rsidRPr="17CECF10">
              <w:rPr>
                <w:rFonts w:ascii="Segoe UI" w:eastAsia="Times New Roman" w:hAnsi="Segoe UI" w:cs="Segoe UI"/>
                <w:color w:val="000000" w:themeColor="text1"/>
                <w:sz w:val="22"/>
              </w:rPr>
              <w:t>Optimal operating reserve</w:t>
            </w:r>
          </w:p>
        </w:tc>
        <w:tc>
          <w:tcPr>
            <w:tcW w:w="1089" w:type="dxa"/>
            <w:tcBorders>
              <w:top w:val="nil"/>
              <w:left w:val="nil"/>
              <w:bottom w:val="single" w:sz="8" w:space="0" w:color="auto"/>
              <w:right w:val="single" w:sz="8" w:space="0" w:color="auto"/>
            </w:tcBorders>
            <w:shd w:val="clear" w:color="auto" w:fill="auto"/>
            <w:noWrap/>
            <w:vAlign w:val="center"/>
            <w:hideMark/>
          </w:tcPr>
          <w:p w14:paraId="5CF0EAED" w14:textId="04BA56E4" w:rsidR="0061637C" w:rsidRPr="00B64020" w:rsidRDefault="0061637C" w:rsidP="0061637C">
            <w:pPr>
              <w:spacing w:line="276" w:lineRule="auto"/>
              <w:jc w:val="right"/>
              <w:rPr>
                <w:rFonts w:ascii="Segoe UI" w:eastAsia="Times New Roman" w:hAnsi="Segoe UI" w:cs="Segoe UI"/>
                <w:sz w:val="22"/>
                <w:highlight w:val="yellow"/>
              </w:rPr>
            </w:pPr>
            <w:r w:rsidRPr="00B64020">
              <w:rPr>
                <w:rFonts w:ascii="Segoe UI" w:hAnsi="Segoe UI" w:cs="Segoe UI"/>
                <w:sz w:val="22"/>
              </w:rPr>
              <w:t>$874</w:t>
            </w:r>
          </w:p>
        </w:tc>
        <w:tc>
          <w:tcPr>
            <w:tcW w:w="1089" w:type="dxa"/>
            <w:tcBorders>
              <w:top w:val="nil"/>
              <w:left w:val="nil"/>
              <w:bottom w:val="single" w:sz="8" w:space="0" w:color="auto"/>
              <w:right w:val="single" w:sz="8" w:space="0" w:color="auto"/>
            </w:tcBorders>
            <w:shd w:val="clear" w:color="auto" w:fill="auto"/>
            <w:noWrap/>
            <w:vAlign w:val="center"/>
            <w:hideMark/>
          </w:tcPr>
          <w:p w14:paraId="21717DEA" w14:textId="7BA41209" w:rsidR="0061637C" w:rsidRPr="00B64020" w:rsidRDefault="0061637C" w:rsidP="0061637C">
            <w:pPr>
              <w:spacing w:line="276" w:lineRule="auto"/>
              <w:jc w:val="right"/>
              <w:rPr>
                <w:rFonts w:ascii="Segoe UI" w:eastAsia="Times New Roman" w:hAnsi="Segoe UI" w:cs="Segoe UI"/>
                <w:sz w:val="22"/>
                <w:highlight w:val="yellow"/>
              </w:rPr>
            </w:pPr>
            <w:r w:rsidRPr="00B64020">
              <w:rPr>
                <w:rFonts w:ascii="Segoe UI" w:hAnsi="Segoe UI" w:cs="Segoe UI"/>
                <w:sz w:val="22"/>
              </w:rPr>
              <w:t>$902</w:t>
            </w:r>
          </w:p>
        </w:tc>
        <w:tc>
          <w:tcPr>
            <w:tcW w:w="1090" w:type="dxa"/>
            <w:tcBorders>
              <w:top w:val="nil"/>
              <w:left w:val="nil"/>
              <w:bottom w:val="single" w:sz="8" w:space="0" w:color="auto"/>
              <w:right w:val="single" w:sz="8" w:space="0" w:color="auto"/>
            </w:tcBorders>
            <w:shd w:val="clear" w:color="auto" w:fill="auto"/>
            <w:noWrap/>
            <w:vAlign w:val="center"/>
            <w:hideMark/>
          </w:tcPr>
          <w:p w14:paraId="19F82F22" w14:textId="6054DFB9" w:rsidR="0061637C" w:rsidRPr="00B64020" w:rsidRDefault="0061637C" w:rsidP="0061637C">
            <w:pPr>
              <w:spacing w:line="276" w:lineRule="auto"/>
              <w:jc w:val="right"/>
              <w:rPr>
                <w:rFonts w:ascii="Segoe UI" w:eastAsia="Times New Roman" w:hAnsi="Segoe UI" w:cs="Segoe UI"/>
                <w:sz w:val="22"/>
                <w:highlight w:val="yellow"/>
              </w:rPr>
            </w:pPr>
            <w:r w:rsidRPr="00B64020">
              <w:rPr>
                <w:rFonts w:ascii="Segoe UI" w:hAnsi="Segoe UI" w:cs="Segoe UI"/>
                <w:sz w:val="22"/>
              </w:rPr>
              <w:t>$939</w:t>
            </w:r>
          </w:p>
        </w:tc>
        <w:tc>
          <w:tcPr>
            <w:tcW w:w="1089" w:type="dxa"/>
            <w:tcBorders>
              <w:top w:val="nil"/>
              <w:left w:val="nil"/>
              <w:bottom w:val="single" w:sz="8" w:space="0" w:color="auto"/>
              <w:right w:val="single" w:sz="8" w:space="0" w:color="auto"/>
            </w:tcBorders>
            <w:shd w:val="clear" w:color="auto" w:fill="auto"/>
            <w:noWrap/>
            <w:vAlign w:val="center"/>
            <w:hideMark/>
          </w:tcPr>
          <w:p w14:paraId="6134FCDF" w14:textId="3317B12C" w:rsidR="0061637C" w:rsidRPr="00B64020" w:rsidRDefault="0061637C" w:rsidP="0061637C">
            <w:pPr>
              <w:spacing w:line="276" w:lineRule="auto"/>
              <w:jc w:val="right"/>
              <w:rPr>
                <w:rFonts w:ascii="Segoe UI" w:eastAsia="Times New Roman" w:hAnsi="Segoe UI" w:cs="Segoe UI"/>
                <w:sz w:val="22"/>
                <w:highlight w:val="yellow"/>
              </w:rPr>
            </w:pPr>
            <w:r w:rsidRPr="00B64020">
              <w:rPr>
                <w:rFonts w:ascii="Segoe UI" w:hAnsi="Segoe UI" w:cs="Segoe UI"/>
                <w:sz w:val="22"/>
              </w:rPr>
              <w:t>$975</w:t>
            </w:r>
          </w:p>
        </w:tc>
        <w:tc>
          <w:tcPr>
            <w:tcW w:w="1089" w:type="dxa"/>
            <w:tcBorders>
              <w:top w:val="nil"/>
              <w:left w:val="nil"/>
              <w:bottom w:val="single" w:sz="8" w:space="0" w:color="auto"/>
              <w:right w:val="single" w:sz="8" w:space="0" w:color="auto"/>
            </w:tcBorders>
            <w:shd w:val="clear" w:color="auto" w:fill="auto"/>
            <w:noWrap/>
            <w:vAlign w:val="center"/>
            <w:hideMark/>
          </w:tcPr>
          <w:p w14:paraId="48D5E8D4" w14:textId="2EF4AD37" w:rsidR="0061637C" w:rsidRPr="00B64020" w:rsidRDefault="0061637C" w:rsidP="0061637C">
            <w:pPr>
              <w:spacing w:line="276" w:lineRule="auto"/>
              <w:jc w:val="right"/>
              <w:rPr>
                <w:rFonts w:ascii="Segoe UI" w:eastAsia="Times New Roman" w:hAnsi="Segoe UI" w:cs="Segoe UI"/>
                <w:sz w:val="22"/>
                <w:highlight w:val="yellow"/>
              </w:rPr>
            </w:pPr>
            <w:r w:rsidRPr="00B64020">
              <w:rPr>
                <w:rFonts w:ascii="Segoe UI" w:hAnsi="Segoe UI" w:cs="Segoe UI"/>
                <w:sz w:val="22"/>
              </w:rPr>
              <w:t>$1,012</w:t>
            </w:r>
          </w:p>
        </w:tc>
        <w:tc>
          <w:tcPr>
            <w:tcW w:w="1090" w:type="dxa"/>
            <w:tcBorders>
              <w:top w:val="nil"/>
              <w:left w:val="nil"/>
              <w:bottom w:val="single" w:sz="8" w:space="0" w:color="auto"/>
              <w:right w:val="single" w:sz="8" w:space="0" w:color="auto"/>
            </w:tcBorders>
            <w:shd w:val="clear" w:color="auto" w:fill="auto"/>
            <w:noWrap/>
            <w:vAlign w:val="center"/>
            <w:hideMark/>
          </w:tcPr>
          <w:p w14:paraId="5151E37B" w14:textId="47B7C644" w:rsidR="0061637C" w:rsidRPr="00B64020" w:rsidRDefault="0061637C" w:rsidP="0061637C">
            <w:pPr>
              <w:spacing w:line="276" w:lineRule="auto"/>
              <w:jc w:val="right"/>
              <w:rPr>
                <w:rFonts w:ascii="Segoe UI" w:eastAsia="Times New Roman" w:hAnsi="Segoe UI" w:cs="Segoe UI"/>
                <w:sz w:val="22"/>
                <w:highlight w:val="yellow"/>
              </w:rPr>
            </w:pPr>
          </w:p>
        </w:tc>
      </w:tr>
      <w:tr w:rsidR="0061637C" w:rsidRPr="007F7D60" w14:paraId="09370417" w14:textId="77777777" w:rsidTr="00B64020">
        <w:tblPrEx>
          <w:jc w:val="center"/>
        </w:tblPrEx>
        <w:trPr>
          <w:trHeight w:val="636"/>
          <w:jc w:val="center"/>
        </w:trPr>
        <w:tc>
          <w:tcPr>
            <w:tcW w:w="3264" w:type="dxa"/>
            <w:tcBorders>
              <w:top w:val="single" w:sz="4"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4896E0BE" w14:textId="074FBCC1" w:rsidR="0061637C" w:rsidRPr="00777046" w:rsidRDefault="0061637C" w:rsidP="0061637C">
            <w:pPr>
              <w:spacing w:line="276" w:lineRule="auto"/>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Optimal operating reserve surplus (deficit)</w:t>
            </w:r>
          </w:p>
        </w:tc>
        <w:tc>
          <w:tcPr>
            <w:tcW w:w="1089" w:type="dxa"/>
            <w:tcBorders>
              <w:top w:val="nil"/>
              <w:left w:val="nil"/>
              <w:bottom w:val="single" w:sz="8" w:space="0" w:color="auto"/>
              <w:right w:val="single" w:sz="8" w:space="0" w:color="auto"/>
            </w:tcBorders>
            <w:shd w:val="clear" w:color="auto" w:fill="F2F2F2" w:themeFill="background1" w:themeFillShade="F2"/>
            <w:noWrap/>
            <w:vAlign w:val="center"/>
            <w:hideMark/>
          </w:tcPr>
          <w:p w14:paraId="5F38BCC0" w14:textId="7BA5F4B6" w:rsidR="0061637C" w:rsidRPr="00B64020" w:rsidRDefault="0061637C" w:rsidP="0061637C">
            <w:pPr>
              <w:spacing w:line="276" w:lineRule="auto"/>
              <w:jc w:val="right"/>
              <w:rPr>
                <w:rFonts w:ascii="Segoe UI" w:eastAsia="Times New Roman" w:hAnsi="Segoe UI" w:cs="Segoe UI"/>
                <w:sz w:val="22"/>
                <w:highlight w:val="yellow"/>
              </w:rPr>
            </w:pPr>
            <w:r w:rsidRPr="00B64020">
              <w:rPr>
                <w:rFonts w:ascii="Segoe UI" w:hAnsi="Segoe UI" w:cs="Segoe UI"/>
                <w:sz w:val="22"/>
              </w:rPr>
              <w:t>$20</w:t>
            </w:r>
          </w:p>
        </w:tc>
        <w:tc>
          <w:tcPr>
            <w:tcW w:w="1089" w:type="dxa"/>
            <w:tcBorders>
              <w:top w:val="nil"/>
              <w:left w:val="nil"/>
              <w:bottom w:val="single" w:sz="8" w:space="0" w:color="auto"/>
              <w:right w:val="single" w:sz="8" w:space="0" w:color="auto"/>
            </w:tcBorders>
            <w:shd w:val="clear" w:color="auto" w:fill="F2F2F2" w:themeFill="background1" w:themeFillShade="F2"/>
            <w:noWrap/>
            <w:vAlign w:val="center"/>
            <w:hideMark/>
          </w:tcPr>
          <w:p w14:paraId="1EAE08E3" w14:textId="28A9F33D" w:rsidR="0061637C" w:rsidRPr="00B64020" w:rsidRDefault="0061637C" w:rsidP="0061637C">
            <w:pPr>
              <w:spacing w:line="276" w:lineRule="auto"/>
              <w:jc w:val="right"/>
              <w:rPr>
                <w:rFonts w:ascii="Segoe UI" w:eastAsia="Times New Roman" w:hAnsi="Segoe UI" w:cs="Segoe UI"/>
                <w:sz w:val="22"/>
                <w:highlight w:val="yellow"/>
              </w:rPr>
            </w:pPr>
            <w:r w:rsidRPr="00B64020">
              <w:rPr>
                <w:rFonts w:ascii="Segoe UI" w:hAnsi="Segoe UI" w:cs="Segoe UI"/>
                <w:sz w:val="22"/>
              </w:rPr>
              <w:t>$180</w:t>
            </w:r>
          </w:p>
        </w:tc>
        <w:tc>
          <w:tcPr>
            <w:tcW w:w="1090" w:type="dxa"/>
            <w:tcBorders>
              <w:top w:val="nil"/>
              <w:left w:val="nil"/>
              <w:bottom w:val="single" w:sz="8" w:space="0" w:color="auto"/>
              <w:right w:val="single" w:sz="8" w:space="0" w:color="auto"/>
            </w:tcBorders>
            <w:shd w:val="clear" w:color="auto" w:fill="F2F2F2" w:themeFill="background1" w:themeFillShade="F2"/>
            <w:noWrap/>
            <w:vAlign w:val="center"/>
            <w:hideMark/>
          </w:tcPr>
          <w:p w14:paraId="1597BEF7" w14:textId="1AE52E39" w:rsidR="0061637C" w:rsidRPr="00B64020" w:rsidRDefault="0061637C" w:rsidP="0061637C">
            <w:pPr>
              <w:spacing w:line="276" w:lineRule="auto"/>
              <w:jc w:val="right"/>
              <w:rPr>
                <w:rFonts w:ascii="Segoe UI" w:eastAsia="Times New Roman" w:hAnsi="Segoe UI" w:cs="Segoe UI"/>
                <w:sz w:val="22"/>
                <w:highlight w:val="yellow"/>
              </w:rPr>
            </w:pPr>
            <w:r w:rsidRPr="00B64020">
              <w:rPr>
                <w:rFonts w:ascii="Segoe UI" w:hAnsi="Segoe UI" w:cs="Segoe UI"/>
                <w:sz w:val="22"/>
              </w:rPr>
              <w:t>$258</w:t>
            </w:r>
          </w:p>
        </w:tc>
        <w:tc>
          <w:tcPr>
            <w:tcW w:w="1089" w:type="dxa"/>
            <w:tcBorders>
              <w:top w:val="nil"/>
              <w:left w:val="nil"/>
              <w:bottom w:val="single" w:sz="8" w:space="0" w:color="auto"/>
              <w:right w:val="single" w:sz="8" w:space="0" w:color="auto"/>
            </w:tcBorders>
            <w:shd w:val="clear" w:color="auto" w:fill="F2F2F2" w:themeFill="background1" w:themeFillShade="F2"/>
            <w:noWrap/>
            <w:vAlign w:val="center"/>
            <w:hideMark/>
          </w:tcPr>
          <w:p w14:paraId="7985BCAE" w14:textId="652B09FC" w:rsidR="0061637C" w:rsidRPr="00B64020" w:rsidRDefault="0061637C" w:rsidP="0061637C">
            <w:pPr>
              <w:spacing w:line="276" w:lineRule="auto"/>
              <w:jc w:val="right"/>
              <w:rPr>
                <w:rFonts w:ascii="Segoe UI" w:eastAsia="Times New Roman" w:hAnsi="Segoe UI" w:cs="Segoe UI"/>
                <w:sz w:val="22"/>
                <w:highlight w:val="yellow"/>
              </w:rPr>
            </w:pPr>
            <w:r w:rsidRPr="00B64020">
              <w:rPr>
                <w:rFonts w:ascii="Segoe UI" w:hAnsi="Segoe UI" w:cs="Segoe UI"/>
                <w:sz w:val="22"/>
              </w:rPr>
              <w:t>$146</w:t>
            </w:r>
          </w:p>
        </w:tc>
        <w:tc>
          <w:tcPr>
            <w:tcW w:w="1089" w:type="dxa"/>
            <w:tcBorders>
              <w:top w:val="nil"/>
              <w:left w:val="nil"/>
              <w:bottom w:val="single" w:sz="8" w:space="0" w:color="auto"/>
              <w:right w:val="single" w:sz="8" w:space="0" w:color="auto"/>
            </w:tcBorders>
            <w:shd w:val="clear" w:color="auto" w:fill="F2F2F2" w:themeFill="background1" w:themeFillShade="F2"/>
            <w:noWrap/>
            <w:vAlign w:val="center"/>
            <w:hideMark/>
          </w:tcPr>
          <w:p w14:paraId="1AA44CD5" w14:textId="2581EA44" w:rsidR="0061637C" w:rsidRPr="00B64020" w:rsidRDefault="0061637C" w:rsidP="0061637C">
            <w:pPr>
              <w:spacing w:line="276" w:lineRule="auto"/>
              <w:jc w:val="right"/>
              <w:rPr>
                <w:rFonts w:ascii="Segoe UI" w:eastAsia="Times New Roman" w:hAnsi="Segoe UI" w:cs="Segoe UI"/>
                <w:sz w:val="22"/>
                <w:highlight w:val="yellow"/>
              </w:rPr>
            </w:pPr>
            <w:r w:rsidRPr="00B64020">
              <w:rPr>
                <w:rFonts w:ascii="Segoe UI" w:hAnsi="Segoe UI" w:cs="Segoe UI"/>
                <w:sz w:val="22"/>
              </w:rPr>
              <w:t>($122)</w:t>
            </w:r>
          </w:p>
        </w:tc>
        <w:tc>
          <w:tcPr>
            <w:tcW w:w="1090" w:type="dxa"/>
            <w:tcBorders>
              <w:top w:val="nil"/>
              <w:left w:val="nil"/>
              <w:bottom w:val="single" w:sz="8" w:space="0" w:color="auto"/>
              <w:right w:val="single" w:sz="8" w:space="0" w:color="auto"/>
            </w:tcBorders>
            <w:shd w:val="clear" w:color="auto" w:fill="F2F2F2" w:themeFill="background1" w:themeFillShade="F2"/>
            <w:noWrap/>
            <w:vAlign w:val="center"/>
            <w:hideMark/>
          </w:tcPr>
          <w:p w14:paraId="2C245754" w14:textId="0B7E51F8" w:rsidR="0061637C" w:rsidRPr="00B64020" w:rsidRDefault="0061637C" w:rsidP="0061637C">
            <w:pPr>
              <w:spacing w:line="276" w:lineRule="auto"/>
              <w:jc w:val="right"/>
              <w:rPr>
                <w:rFonts w:ascii="Segoe UI" w:eastAsia="Times New Roman" w:hAnsi="Segoe UI" w:cs="Segoe UI"/>
                <w:sz w:val="22"/>
                <w:highlight w:val="yellow"/>
              </w:rPr>
            </w:pPr>
          </w:p>
        </w:tc>
      </w:tr>
    </w:tbl>
    <w:p w14:paraId="1EA4A047" w14:textId="77777777" w:rsidR="00873D48" w:rsidRPr="009008DD" w:rsidRDefault="00A62DA7" w:rsidP="17CECF10">
      <w:pPr>
        <w:spacing w:line="360" w:lineRule="auto"/>
        <w:rPr>
          <w:rFonts w:ascii="Segoe UI" w:hAnsi="Segoe UI" w:cs="Segoe UI"/>
          <w:szCs w:val="24"/>
        </w:rPr>
      </w:pPr>
      <w:r w:rsidRPr="17CECF10">
        <w:rPr>
          <w:rFonts w:ascii="Segoe UI" w:hAnsi="Segoe UI" w:cs="Segoe UI"/>
          <w:color w:val="2B579A"/>
        </w:rPr>
        <w:fldChar w:fldCharType="end"/>
      </w:r>
    </w:p>
    <w:p w14:paraId="653628B5" w14:textId="2A7F1ED1" w:rsidR="00873D48" w:rsidRPr="00CF6436" w:rsidRDefault="00873D48" w:rsidP="000F20DC">
      <w:pPr>
        <w:pStyle w:val="Heading3Numbering"/>
        <w:numPr>
          <w:ilvl w:val="2"/>
          <w:numId w:val="14"/>
        </w:numPr>
        <w:spacing w:after="0" w:line="360" w:lineRule="auto"/>
        <w:ind w:left="810" w:hanging="810"/>
        <w:rPr>
          <w:rFonts w:ascii="Segoe UI" w:hAnsi="Segoe UI" w:cs="Segoe UI"/>
        </w:rPr>
      </w:pPr>
      <w:r w:rsidRPr="524BF87A">
        <w:rPr>
          <w:rFonts w:ascii="Segoe UI" w:hAnsi="Segoe UI" w:cs="Segoe UI"/>
        </w:rPr>
        <w:t xml:space="preserve">Description of </w:t>
      </w:r>
      <w:r w:rsidR="00A25EDF" w:rsidRPr="524BF87A">
        <w:rPr>
          <w:rFonts w:ascii="Segoe UI" w:hAnsi="Segoe UI" w:cs="Segoe UI"/>
        </w:rPr>
        <w:t>Unit Cost Recovery (</w:t>
      </w:r>
      <w:r w:rsidRPr="524BF87A">
        <w:rPr>
          <w:rFonts w:ascii="Segoe UI" w:hAnsi="Segoe UI" w:cs="Segoe UI"/>
        </w:rPr>
        <w:t>Alternative 2</w:t>
      </w:r>
      <w:r w:rsidR="00A25EDF" w:rsidRPr="524BF87A">
        <w:rPr>
          <w:rFonts w:ascii="Segoe UI" w:hAnsi="Segoe UI" w:cs="Segoe UI"/>
        </w:rPr>
        <w:t>)</w:t>
      </w:r>
    </w:p>
    <w:p w14:paraId="35C2F254" w14:textId="76777571" w:rsidR="00CC447F" w:rsidRPr="00777046" w:rsidRDefault="3F24DFBE" w:rsidP="17CECF10">
      <w:pPr>
        <w:pStyle w:val="ParagraphSpace"/>
        <w:spacing w:line="360" w:lineRule="auto"/>
        <w:ind w:firstLine="450"/>
        <w:rPr>
          <w:rFonts w:ascii="Segoe UI" w:hAnsi="Segoe UI" w:cs="Segoe UI"/>
          <w:szCs w:val="24"/>
        </w:rPr>
      </w:pPr>
      <w:r w:rsidRPr="009008DD">
        <w:rPr>
          <w:rFonts w:ascii="Segoe UI" w:hAnsi="Segoe UI" w:cs="Segoe UI"/>
          <w:szCs w:val="24"/>
        </w:rPr>
        <w:t xml:space="preserve">The </w:t>
      </w:r>
      <w:r w:rsidR="08A9B80C" w:rsidRPr="00777046">
        <w:rPr>
          <w:rFonts w:ascii="Segoe UI" w:hAnsi="Segoe UI" w:cs="Segoe UI"/>
          <w:szCs w:val="24"/>
        </w:rPr>
        <w:t>Unit Cost Recovery</w:t>
      </w:r>
      <w:r w:rsidR="64590D63" w:rsidRPr="00777046">
        <w:rPr>
          <w:rFonts w:ascii="Segoe UI" w:hAnsi="Segoe UI" w:cs="Segoe UI"/>
          <w:szCs w:val="24"/>
        </w:rPr>
        <w:t xml:space="preserve"> </w:t>
      </w:r>
      <w:r w:rsidR="08A9B80C" w:rsidRPr="00777046">
        <w:rPr>
          <w:rFonts w:ascii="Segoe UI" w:hAnsi="Segoe UI" w:cs="Segoe UI"/>
          <w:szCs w:val="24"/>
        </w:rPr>
        <w:t>(</w:t>
      </w:r>
      <w:r w:rsidR="0ABEFF6B" w:rsidRPr="00777046">
        <w:rPr>
          <w:rFonts w:ascii="Segoe UI" w:hAnsi="Segoe UI" w:cs="Segoe UI"/>
          <w:szCs w:val="24"/>
        </w:rPr>
        <w:t>Alternative 2</w:t>
      </w:r>
      <w:r w:rsidR="08A9B80C" w:rsidRPr="00777046">
        <w:rPr>
          <w:rFonts w:ascii="Segoe UI" w:hAnsi="Segoe UI" w:cs="Segoe UI"/>
          <w:szCs w:val="24"/>
        </w:rPr>
        <w:t>)</w:t>
      </w:r>
      <w:r w:rsidR="0ABEFF6B" w:rsidRPr="00777046">
        <w:rPr>
          <w:rFonts w:ascii="Segoe UI" w:hAnsi="Segoe UI" w:cs="Segoe UI"/>
          <w:szCs w:val="24"/>
        </w:rPr>
        <w:t xml:space="preserve"> fee structure </w:t>
      </w:r>
      <w:r w:rsidR="053B37DC" w:rsidRPr="00777046">
        <w:rPr>
          <w:rFonts w:ascii="Segoe UI" w:hAnsi="Segoe UI" w:cs="Segoe UI"/>
          <w:szCs w:val="24"/>
        </w:rPr>
        <w:t xml:space="preserve">would </w:t>
      </w:r>
      <w:r w:rsidR="0ABEFF6B" w:rsidRPr="00777046">
        <w:rPr>
          <w:rFonts w:ascii="Segoe UI" w:hAnsi="Segoe UI" w:cs="Segoe UI"/>
          <w:szCs w:val="24"/>
        </w:rPr>
        <w:t xml:space="preserve">set most individual </w:t>
      </w:r>
      <w:r w:rsidR="4A5808F3" w:rsidRPr="00777046">
        <w:rPr>
          <w:rFonts w:ascii="Segoe UI" w:hAnsi="Segoe UI" w:cs="Segoe UI"/>
          <w:szCs w:val="24"/>
        </w:rPr>
        <w:t>undiscounted</w:t>
      </w:r>
      <w:r w:rsidR="0ABEFF6B" w:rsidRPr="00777046">
        <w:rPr>
          <w:rFonts w:ascii="Segoe UI" w:hAnsi="Segoe UI" w:cs="Segoe UI"/>
          <w:szCs w:val="24"/>
        </w:rPr>
        <w:t xml:space="preserve"> fees at the </w:t>
      </w:r>
      <w:r w:rsidR="439A8EA5" w:rsidRPr="00777046">
        <w:rPr>
          <w:rFonts w:ascii="Segoe UI" w:hAnsi="Segoe UI" w:cs="Segoe UI"/>
          <w:szCs w:val="24"/>
        </w:rPr>
        <w:t xml:space="preserve">USPTO’s </w:t>
      </w:r>
      <w:r w:rsidR="0ABEFF6B" w:rsidRPr="00777046">
        <w:rPr>
          <w:rFonts w:ascii="Segoe UI" w:hAnsi="Segoe UI" w:cs="Segoe UI"/>
          <w:szCs w:val="24"/>
        </w:rPr>
        <w:t xml:space="preserve">historical cost of performing the activities related to </w:t>
      </w:r>
      <w:r w:rsidR="2991E0ED" w:rsidRPr="00777046">
        <w:rPr>
          <w:rFonts w:ascii="Segoe UI" w:hAnsi="Segoe UI" w:cs="Segoe UI"/>
          <w:szCs w:val="24"/>
        </w:rPr>
        <w:t>a</w:t>
      </w:r>
      <w:r w:rsidR="0ABEFF6B" w:rsidRPr="00777046">
        <w:rPr>
          <w:rFonts w:ascii="Segoe UI" w:hAnsi="Segoe UI" w:cs="Segoe UI"/>
          <w:szCs w:val="24"/>
        </w:rPr>
        <w:t xml:space="preserve"> particular service</w:t>
      </w:r>
      <w:r w:rsidR="667C8CB2" w:rsidRPr="00777046">
        <w:rPr>
          <w:rFonts w:ascii="Segoe UI" w:hAnsi="Segoe UI" w:cs="Segoe UI"/>
          <w:szCs w:val="24"/>
        </w:rPr>
        <w:t>.</w:t>
      </w:r>
      <w:r w:rsidR="2171104A" w:rsidRPr="00777046">
        <w:rPr>
          <w:rFonts w:ascii="Segoe UI" w:hAnsi="Segoe UI" w:cs="Segoe UI"/>
          <w:szCs w:val="24"/>
        </w:rPr>
        <w:t xml:space="preserve"> </w:t>
      </w:r>
      <w:r w:rsidR="00199768" w:rsidRPr="00777046">
        <w:rPr>
          <w:rFonts w:ascii="Segoe UI" w:hAnsi="Segoe UI" w:cs="Segoe UI"/>
          <w:szCs w:val="24"/>
        </w:rPr>
        <w:t>As required by law, t</w:t>
      </w:r>
      <w:r w:rsidR="0ABEFF6B" w:rsidRPr="00777046">
        <w:rPr>
          <w:rFonts w:ascii="Segoe UI" w:hAnsi="Segoe UI" w:cs="Segoe UI"/>
          <w:szCs w:val="24"/>
        </w:rPr>
        <w:t xml:space="preserve">his alternative </w:t>
      </w:r>
      <w:r w:rsidR="00199768" w:rsidRPr="00777046">
        <w:rPr>
          <w:rFonts w:ascii="Segoe UI" w:hAnsi="Segoe UI" w:cs="Segoe UI"/>
          <w:szCs w:val="24"/>
        </w:rPr>
        <w:t>maintains</w:t>
      </w:r>
      <w:r w:rsidR="67E3A5FA" w:rsidRPr="00777046">
        <w:rPr>
          <w:rFonts w:ascii="Segoe UI" w:hAnsi="Segoe UI" w:cs="Segoe UI"/>
          <w:szCs w:val="24"/>
        </w:rPr>
        <w:t xml:space="preserve"> existing small and micro entity discounts</w:t>
      </w:r>
      <w:r w:rsidR="0ABEFF6B" w:rsidRPr="00777046">
        <w:rPr>
          <w:rFonts w:ascii="Segoe UI" w:hAnsi="Segoe UI" w:cs="Segoe UI"/>
          <w:szCs w:val="24"/>
        </w:rPr>
        <w:t>.</w:t>
      </w:r>
      <w:r w:rsidR="2171104A" w:rsidRPr="00777046">
        <w:rPr>
          <w:rFonts w:ascii="Segoe UI" w:hAnsi="Segoe UI" w:cs="Segoe UI"/>
          <w:szCs w:val="24"/>
        </w:rPr>
        <w:t xml:space="preserve"> </w:t>
      </w:r>
      <w:r w:rsidR="6C045ED3" w:rsidRPr="00777046">
        <w:rPr>
          <w:rFonts w:ascii="Segoe UI" w:hAnsi="Segoe UI" w:cs="Segoe UI"/>
          <w:szCs w:val="24"/>
        </w:rPr>
        <w:t>For FY 202</w:t>
      </w:r>
      <w:r w:rsidR="21B23734" w:rsidRPr="00777046">
        <w:rPr>
          <w:rFonts w:ascii="Segoe UI" w:hAnsi="Segoe UI" w:cs="Segoe UI"/>
          <w:szCs w:val="24"/>
        </w:rPr>
        <w:t>5</w:t>
      </w:r>
      <w:r w:rsidR="6C045ED3" w:rsidRPr="00777046">
        <w:rPr>
          <w:rFonts w:ascii="Segoe UI" w:hAnsi="Segoe UI" w:cs="Segoe UI"/>
          <w:szCs w:val="24"/>
        </w:rPr>
        <w:t xml:space="preserve"> through FY 2029, the USPTO based </w:t>
      </w:r>
      <w:r w:rsidR="00199768" w:rsidRPr="00777046">
        <w:rPr>
          <w:rFonts w:ascii="Segoe UI" w:hAnsi="Segoe UI" w:cs="Segoe UI"/>
          <w:szCs w:val="24"/>
        </w:rPr>
        <w:t>Unit Cost Recovery</w:t>
      </w:r>
      <w:r w:rsidR="6C045ED3" w:rsidRPr="00777046">
        <w:rPr>
          <w:rFonts w:ascii="Segoe UI" w:hAnsi="Segoe UI" w:cs="Segoe UI"/>
          <w:szCs w:val="24"/>
        </w:rPr>
        <w:t xml:space="preserve"> </w:t>
      </w:r>
      <w:r w:rsidR="527FAD12" w:rsidRPr="00777046">
        <w:rPr>
          <w:rFonts w:ascii="Segoe UI" w:hAnsi="Segoe UI" w:cs="Segoe UI"/>
          <w:szCs w:val="24"/>
        </w:rPr>
        <w:t xml:space="preserve">fee rates </w:t>
      </w:r>
      <w:r w:rsidR="6C045ED3" w:rsidRPr="00777046">
        <w:rPr>
          <w:rFonts w:ascii="Segoe UI" w:hAnsi="Segoe UI" w:cs="Segoe UI"/>
          <w:szCs w:val="24"/>
        </w:rPr>
        <w:t>on FY 2022 historical unit costs</w:t>
      </w:r>
      <w:r w:rsidR="7FA765B6" w:rsidRPr="00777046">
        <w:rPr>
          <w:rFonts w:ascii="Segoe UI" w:hAnsi="Segoe UI" w:cs="Segoe UI"/>
          <w:szCs w:val="24"/>
        </w:rPr>
        <w:t xml:space="preserve"> (for consistency, the fee </w:t>
      </w:r>
      <w:r w:rsidR="7FA765B6" w:rsidRPr="00777046">
        <w:rPr>
          <w:rFonts w:ascii="Segoe UI" w:hAnsi="Segoe UI" w:cs="Segoe UI"/>
          <w:szCs w:val="24"/>
        </w:rPr>
        <w:lastRenderedPageBreak/>
        <w:t>rates were not updated from the RIA that accompanied the NPRM</w:t>
      </w:r>
      <w:r w:rsidR="7FA765B6" w:rsidRPr="00777046">
        <w:rPr>
          <w:rFonts w:ascii="Segoe UI" w:hAnsi="Segoe UI" w:cs="Segoe UI"/>
          <w:color w:val="1F497D" w:themeColor="text2"/>
          <w:szCs w:val="24"/>
        </w:rPr>
        <w:t>)</w:t>
      </w:r>
      <w:r w:rsidR="6C045ED3" w:rsidRPr="00777046">
        <w:rPr>
          <w:rFonts w:ascii="Segoe UI" w:hAnsi="Segoe UI" w:cs="Segoe UI"/>
          <w:szCs w:val="24"/>
        </w:rPr>
        <w:t>.</w:t>
      </w:r>
      <w:r w:rsidR="2171104A" w:rsidRPr="00777046">
        <w:rPr>
          <w:rFonts w:ascii="Segoe UI" w:hAnsi="Segoe UI" w:cs="Segoe UI"/>
          <w:szCs w:val="24"/>
        </w:rPr>
        <w:t xml:space="preserve"> </w:t>
      </w:r>
      <w:r w:rsidR="4C8DB93C" w:rsidRPr="00777046">
        <w:rPr>
          <w:rFonts w:ascii="Segoe UI" w:hAnsi="Segoe UI" w:cs="Segoe UI"/>
          <w:szCs w:val="24"/>
        </w:rPr>
        <w:t xml:space="preserve">Because unit cost calculations are </w:t>
      </w:r>
      <w:r w:rsidR="4262EF6F" w:rsidRPr="00777046">
        <w:rPr>
          <w:rFonts w:ascii="Segoe UI" w:hAnsi="Segoe UI" w:cs="Segoe UI"/>
          <w:szCs w:val="24"/>
        </w:rPr>
        <w:t>retrospectiv</w:t>
      </w:r>
      <w:r w:rsidR="37F6E759" w:rsidRPr="00777046">
        <w:rPr>
          <w:rFonts w:ascii="Segoe UI" w:hAnsi="Segoe UI" w:cs="Segoe UI"/>
          <w:szCs w:val="24"/>
        </w:rPr>
        <w:t>e</w:t>
      </w:r>
      <w:r w:rsidR="4C8DB93C" w:rsidRPr="00777046">
        <w:rPr>
          <w:rFonts w:ascii="Segoe UI" w:hAnsi="Segoe UI" w:cs="Segoe UI"/>
          <w:szCs w:val="24"/>
        </w:rPr>
        <w:t xml:space="preserve">, </w:t>
      </w:r>
      <w:r w:rsidR="00914768" w:rsidRPr="00777046">
        <w:rPr>
          <w:rFonts w:ascii="Segoe UI" w:hAnsi="Segoe UI" w:cs="Segoe UI"/>
          <w:szCs w:val="24"/>
        </w:rPr>
        <w:t xml:space="preserve">the agency </w:t>
      </w:r>
      <w:r w:rsidR="0ABEFF6B" w:rsidRPr="00777046">
        <w:rPr>
          <w:rFonts w:ascii="Segoe UI" w:hAnsi="Segoe UI" w:cs="Segoe UI"/>
          <w:szCs w:val="24"/>
        </w:rPr>
        <w:t>recognize</w:t>
      </w:r>
      <w:r w:rsidR="00914768" w:rsidRPr="00777046">
        <w:rPr>
          <w:rFonts w:ascii="Segoe UI" w:hAnsi="Segoe UI" w:cs="Segoe UI"/>
          <w:szCs w:val="24"/>
        </w:rPr>
        <w:t>s</w:t>
      </w:r>
      <w:r w:rsidR="0ABEFF6B" w:rsidRPr="00777046">
        <w:rPr>
          <w:rFonts w:ascii="Segoe UI" w:hAnsi="Segoe UI" w:cs="Segoe UI"/>
          <w:szCs w:val="24"/>
        </w:rPr>
        <w:t xml:space="preserve"> that this approach does not account for inflationary factors that </w:t>
      </w:r>
      <w:r w:rsidR="667C8CB2" w:rsidRPr="00777046">
        <w:rPr>
          <w:rFonts w:ascii="Segoe UI" w:hAnsi="Segoe UI" w:cs="Segoe UI"/>
          <w:szCs w:val="24"/>
        </w:rPr>
        <w:t xml:space="preserve">will </w:t>
      </w:r>
      <w:r w:rsidR="0ABEFF6B" w:rsidRPr="00777046">
        <w:rPr>
          <w:rFonts w:ascii="Segoe UI" w:hAnsi="Segoe UI" w:cs="Segoe UI"/>
          <w:szCs w:val="24"/>
        </w:rPr>
        <w:t>likely</w:t>
      </w:r>
      <w:r w:rsidR="4C8DB93C" w:rsidRPr="00777046">
        <w:rPr>
          <w:rFonts w:ascii="Segoe UI" w:hAnsi="Segoe UI" w:cs="Segoe UI"/>
          <w:szCs w:val="24"/>
        </w:rPr>
        <w:t>, and have already</w:t>
      </w:r>
      <w:r w:rsidR="5EE3A7E0" w:rsidRPr="00777046">
        <w:rPr>
          <w:rFonts w:ascii="Segoe UI" w:hAnsi="Segoe UI" w:cs="Segoe UI"/>
          <w:szCs w:val="24"/>
        </w:rPr>
        <w:t>,</w:t>
      </w:r>
      <w:r w:rsidR="0ABEFF6B" w:rsidRPr="00777046">
        <w:rPr>
          <w:rFonts w:ascii="Segoe UI" w:hAnsi="Segoe UI" w:cs="Segoe UI"/>
          <w:szCs w:val="24"/>
        </w:rPr>
        <w:t xml:space="preserve"> increase</w:t>
      </w:r>
      <w:r w:rsidR="4C8DB93C" w:rsidRPr="00777046">
        <w:rPr>
          <w:rFonts w:ascii="Segoe UI" w:hAnsi="Segoe UI" w:cs="Segoe UI"/>
          <w:szCs w:val="24"/>
        </w:rPr>
        <w:t>d</w:t>
      </w:r>
      <w:r w:rsidR="0ABEFF6B" w:rsidRPr="00777046">
        <w:rPr>
          <w:rFonts w:ascii="Segoe UI" w:hAnsi="Segoe UI" w:cs="Segoe UI"/>
          <w:szCs w:val="24"/>
        </w:rPr>
        <w:t xml:space="preserve"> </w:t>
      </w:r>
      <w:r w:rsidR="54629BD0" w:rsidRPr="00777046">
        <w:rPr>
          <w:rFonts w:ascii="Segoe UI" w:hAnsi="Segoe UI" w:cs="Segoe UI"/>
          <w:szCs w:val="24"/>
        </w:rPr>
        <w:t xml:space="preserve">the </w:t>
      </w:r>
      <w:r w:rsidR="0ABEFF6B" w:rsidRPr="00777046">
        <w:rPr>
          <w:rFonts w:ascii="Segoe UI" w:hAnsi="Segoe UI" w:cs="Segoe UI"/>
          <w:szCs w:val="24"/>
        </w:rPr>
        <w:t>costs</w:t>
      </w:r>
      <w:r w:rsidR="54629BD0" w:rsidRPr="00777046">
        <w:rPr>
          <w:rFonts w:ascii="Segoe UI" w:hAnsi="Segoe UI" w:cs="Segoe UI"/>
          <w:szCs w:val="24"/>
        </w:rPr>
        <w:t xml:space="preserve"> of certain patent services</w:t>
      </w:r>
      <w:r w:rsidR="0ABEFF6B" w:rsidRPr="00777046">
        <w:rPr>
          <w:rFonts w:ascii="Segoe UI" w:hAnsi="Segoe UI" w:cs="Segoe UI"/>
          <w:szCs w:val="24"/>
        </w:rPr>
        <w:t xml:space="preserve"> and necessitate higher fees in the outyears.</w:t>
      </w:r>
      <w:r w:rsidR="2171104A" w:rsidRPr="00777046">
        <w:rPr>
          <w:rFonts w:ascii="Segoe UI" w:hAnsi="Segoe UI" w:cs="Segoe UI"/>
          <w:szCs w:val="24"/>
        </w:rPr>
        <w:t xml:space="preserve"> </w:t>
      </w:r>
      <w:r w:rsidR="00914768" w:rsidRPr="00777046">
        <w:rPr>
          <w:rFonts w:ascii="Segoe UI" w:hAnsi="Segoe UI" w:cs="Segoe UI"/>
          <w:szCs w:val="24"/>
        </w:rPr>
        <w:t>Despite these limitations,</w:t>
      </w:r>
      <w:r w:rsidR="527FAD12" w:rsidRPr="00777046">
        <w:rPr>
          <w:rFonts w:ascii="Segoe UI" w:hAnsi="Segoe UI" w:cs="Segoe UI"/>
          <w:szCs w:val="24"/>
        </w:rPr>
        <w:t xml:space="preserve"> the </w:t>
      </w:r>
      <w:r w:rsidR="5EE3A7E0" w:rsidRPr="00777046">
        <w:rPr>
          <w:rFonts w:ascii="Segoe UI" w:hAnsi="Segoe UI" w:cs="Segoe UI"/>
          <w:szCs w:val="24"/>
        </w:rPr>
        <w:t>USPTO</w:t>
      </w:r>
      <w:r w:rsidR="72CA5FA7" w:rsidRPr="00777046">
        <w:rPr>
          <w:rFonts w:ascii="Segoe UI" w:hAnsi="Segoe UI" w:cs="Segoe UI"/>
          <w:szCs w:val="24"/>
        </w:rPr>
        <w:t xml:space="preserve"> </w:t>
      </w:r>
      <w:r w:rsidR="00914768" w:rsidRPr="00777046">
        <w:rPr>
          <w:rFonts w:ascii="Segoe UI" w:hAnsi="Segoe UI" w:cs="Segoe UI"/>
          <w:szCs w:val="24"/>
        </w:rPr>
        <w:t xml:space="preserve">believes that </w:t>
      </w:r>
      <w:r w:rsidR="527FAD12" w:rsidRPr="00777046">
        <w:rPr>
          <w:rFonts w:ascii="Segoe UI" w:hAnsi="Segoe UI" w:cs="Segoe UI"/>
          <w:szCs w:val="24"/>
        </w:rPr>
        <w:t>FY 20</w:t>
      </w:r>
      <w:r w:rsidR="4C8DB93C" w:rsidRPr="00777046">
        <w:rPr>
          <w:rFonts w:ascii="Segoe UI" w:hAnsi="Segoe UI" w:cs="Segoe UI"/>
          <w:szCs w:val="24"/>
        </w:rPr>
        <w:t>22</w:t>
      </w:r>
      <w:r w:rsidR="54629BD0" w:rsidRPr="00777046">
        <w:rPr>
          <w:rFonts w:ascii="Segoe UI" w:hAnsi="Segoe UI" w:cs="Segoe UI"/>
          <w:szCs w:val="24"/>
        </w:rPr>
        <w:t xml:space="preserve"> data is the best available </w:t>
      </w:r>
      <w:r w:rsidR="1B74C839" w:rsidRPr="00777046">
        <w:rPr>
          <w:rFonts w:ascii="Segoe UI" w:hAnsi="Segoe UI" w:cs="Segoe UI"/>
          <w:szCs w:val="24"/>
        </w:rPr>
        <w:t xml:space="preserve">data </w:t>
      </w:r>
      <w:r w:rsidR="54629BD0" w:rsidRPr="00777046">
        <w:rPr>
          <w:rFonts w:ascii="Segoe UI" w:hAnsi="Segoe UI" w:cs="Segoe UI"/>
          <w:szCs w:val="24"/>
        </w:rPr>
        <w:t>to inform this analysis.</w:t>
      </w:r>
    </w:p>
    <w:p w14:paraId="6784AB54" w14:textId="19EBD602" w:rsidR="003A2A46" w:rsidRPr="00777046" w:rsidRDefault="09145035" w:rsidP="17CECF10">
      <w:pPr>
        <w:pStyle w:val="ParagraphSpace"/>
        <w:spacing w:line="360" w:lineRule="auto"/>
        <w:ind w:firstLine="450"/>
        <w:rPr>
          <w:rFonts w:ascii="Segoe UI" w:hAnsi="Segoe UI" w:cs="Segoe UI"/>
          <w:szCs w:val="24"/>
        </w:rPr>
      </w:pPr>
      <w:r w:rsidRPr="00777046">
        <w:rPr>
          <w:rFonts w:ascii="Segoe UI" w:hAnsi="Segoe UI" w:cs="Segoe UI"/>
          <w:szCs w:val="24"/>
        </w:rPr>
        <w:t>B</w:t>
      </w:r>
      <w:r w:rsidR="39A854CF" w:rsidRPr="00777046">
        <w:rPr>
          <w:rFonts w:ascii="Segoe UI" w:hAnsi="Segoe UI" w:cs="Segoe UI"/>
          <w:szCs w:val="24"/>
        </w:rPr>
        <w:t>ased on assumptions found in the</w:t>
      </w:r>
      <w:r w:rsidR="41F4589E" w:rsidRPr="00777046">
        <w:rPr>
          <w:rFonts w:ascii="Segoe UI" w:hAnsi="Segoe UI" w:cs="Segoe UI"/>
          <w:szCs w:val="24"/>
        </w:rPr>
        <w:t xml:space="preserve"> final rule</w:t>
      </w:r>
      <w:r w:rsidR="39A854CF" w:rsidRPr="00777046">
        <w:rPr>
          <w:rFonts w:ascii="Segoe UI" w:hAnsi="Segoe UI" w:cs="Segoe UI"/>
          <w:szCs w:val="24"/>
        </w:rPr>
        <w:t xml:space="preserve"> and the FY </w:t>
      </w:r>
      <w:r w:rsidR="77A8CC7D" w:rsidRPr="00777046">
        <w:rPr>
          <w:rFonts w:ascii="Segoe UI" w:hAnsi="Segoe UI" w:cs="Segoe UI"/>
          <w:szCs w:val="24"/>
        </w:rPr>
        <w:t>2025 Budget</w:t>
      </w:r>
      <w:r w:rsidR="39A854CF" w:rsidRPr="00777046">
        <w:rPr>
          <w:rFonts w:ascii="Segoe UI" w:hAnsi="Segoe UI" w:cs="Segoe UI"/>
          <w:szCs w:val="24"/>
        </w:rPr>
        <w:t xml:space="preserve">, </w:t>
      </w:r>
      <w:r w:rsidR="626B74FC" w:rsidRPr="00777046">
        <w:rPr>
          <w:rFonts w:ascii="Segoe UI" w:hAnsi="Segoe UI" w:cs="Segoe UI"/>
          <w:szCs w:val="24"/>
        </w:rPr>
        <w:t xml:space="preserve">the aggregate revenue </w:t>
      </w:r>
      <w:r w:rsidR="296A918E" w:rsidRPr="00777046">
        <w:rPr>
          <w:rFonts w:ascii="Segoe UI" w:hAnsi="Segoe UI" w:cs="Segoe UI"/>
          <w:szCs w:val="24"/>
        </w:rPr>
        <w:t xml:space="preserve">generated by the Unit Cost Recovery </w:t>
      </w:r>
      <w:r w:rsidRPr="00777046">
        <w:rPr>
          <w:rFonts w:ascii="Segoe UI" w:hAnsi="Segoe UI" w:cs="Segoe UI"/>
          <w:szCs w:val="24"/>
        </w:rPr>
        <w:t xml:space="preserve">alternative </w:t>
      </w:r>
      <w:r w:rsidR="626B74FC" w:rsidRPr="00777046">
        <w:rPr>
          <w:rFonts w:ascii="Segoe UI" w:hAnsi="Segoe UI" w:cs="Segoe UI"/>
          <w:szCs w:val="24"/>
        </w:rPr>
        <w:t xml:space="preserve">would be sufficient to </w:t>
      </w:r>
      <w:r w:rsidR="7DC95AA7" w:rsidRPr="00777046">
        <w:rPr>
          <w:rFonts w:ascii="Segoe UI" w:hAnsi="Segoe UI" w:cs="Segoe UI"/>
          <w:szCs w:val="24"/>
        </w:rPr>
        <w:t xml:space="preserve">recoup </w:t>
      </w:r>
      <w:r w:rsidR="626B74FC" w:rsidRPr="00777046">
        <w:rPr>
          <w:rFonts w:ascii="Segoe UI" w:hAnsi="Segoe UI" w:cs="Segoe UI"/>
          <w:szCs w:val="24"/>
        </w:rPr>
        <w:t>the aggregate cost</w:t>
      </w:r>
      <w:r w:rsidR="5ED4D1F4" w:rsidRPr="00777046">
        <w:rPr>
          <w:rFonts w:ascii="Segoe UI" w:hAnsi="Segoe UI" w:cs="Segoe UI"/>
          <w:szCs w:val="24"/>
        </w:rPr>
        <w:t>s</w:t>
      </w:r>
      <w:r w:rsidR="626B74FC" w:rsidRPr="00777046">
        <w:rPr>
          <w:rFonts w:ascii="Segoe UI" w:hAnsi="Segoe UI" w:cs="Segoe UI"/>
          <w:szCs w:val="24"/>
        </w:rPr>
        <w:t xml:space="preserve"> of patent operations and support the </w:t>
      </w:r>
      <w:r w:rsidR="7DC95AA7" w:rsidRPr="00777046">
        <w:rPr>
          <w:rFonts w:ascii="Segoe UI" w:hAnsi="Segoe UI" w:cs="Segoe UI"/>
          <w:szCs w:val="24"/>
        </w:rPr>
        <w:t xml:space="preserve">USPTO’s </w:t>
      </w:r>
      <w:r w:rsidR="626B74FC" w:rsidRPr="00777046">
        <w:rPr>
          <w:rFonts w:ascii="Segoe UI" w:hAnsi="Segoe UI" w:cs="Segoe UI"/>
          <w:szCs w:val="24"/>
        </w:rPr>
        <w:t>strategic priorities</w:t>
      </w:r>
      <w:r w:rsidR="0A7BCC9E" w:rsidRPr="00777046">
        <w:rPr>
          <w:rFonts w:ascii="Segoe UI" w:hAnsi="Segoe UI" w:cs="Segoe UI"/>
          <w:szCs w:val="24"/>
        </w:rPr>
        <w:t xml:space="preserve"> </w:t>
      </w:r>
      <w:r w:rsidR="7DC95AA7" w:rsidRPr="00777046">
        <w:rPr>
          <w:rFonts w:ascii="Segoe UI" w:hAnsi="Segoe UI" w:cs="Segoe UI"/>
          <w:szCs w:val="24"/>
        </w:rPr>
        <w:t>of</w:t>
      </w:r>
      <w:r w:rsidR="0A7BCC9E" w:rsidRPr="00777046">
        <w:rPr>
          <w:rFonts w:ascii="Segoe UI" w:hAnsi="Segoe UI" w:cs="Segoe UI"/>
          <w:szCs w:val="24"/>
        </w:rPr>
        <w:t xml:space="preserve"> (1)</w:t>
      </w:r>
      <w:r w:rsidR="626B74FC" w:rsidRPr="00777046">
        <w:rPr>
          <w:rFonts w:ascii="Segoe UI" w:hAnsi="Segoe UI" w:cs="Segoe UI"/>
          <w:szCs w:val="24"/>
        </w:rPr>
        <w:t xml:space="preserve"> </w:t>
      </w:r>
      <w:r w:rsidR="0A7BCC9E" w:rsidRPr="00777046">
        <w:rPr>
          <w:rFonts w:ascii="Segoe UI" w:hAnsi="Segoe UI" w:cs="Segoe UI"/>
          <w:szCs w:val="24"/>
        </w:rPr>
        <w:t>driv</w:t>
      </w:r>
      <w:r w:rsidR="7DC95AA7" w:rsidRPr="00777046">
        <w:rPr>
          <w:rFonts w:ascii="Segoe UI" w:hAnsi="Segoe UI" w:cs="Segoe UI"/>
          <w:szCs w:val="24"/>
        </w:rPr>
        <w:t>ing</w:t>
      </w:r>
      <w:r w:rsidR="0A7BCC9E" w:rsidRPr="00777046">
        <w:rPr>
          <w:rFonts w:ascii="Segoe UI" w:hAnsi="Segoe UI" w:cs="Segoe UI"/>
          <w:szCs w:val="24"/>
        </w:rPr>
        <w:t xml:space="preserve"> inclusive U.S. innovation and global competitiveness</w:t>
      </w:r>
      <w:r w:rsidR="7DC95AA7" w:rsidRPr="00777046">
        <w:rPr>
          <w:rFonts w:ascii="Segoe UI" w:hAnsi="Segoe UI" w:cs="Segoe UI"/>
          <w:szCs w:val="24"/>
        </w:rPr>
        <w:t>;</w:t>
      </w:r>
      <w:r w:rsidR="0A7BCC9E" w:rsidRPr="00777046">
        <w:rPr>
          <w:rFonts w:ascii="Segoe UI" w:hAnsi="Segoe UI" w:cs="Segoe UI"/>
          <w:szCs w:val="24"/>
        </w:rPr>
        <w:t xml:space="preserve"> (2) promot</w:t>
      </w:r>
      <w:r w:rsidR="7DC95AA7" w:rsidRPr="00777046">
        <w:rPr>
          <w:rFonts w:ascii="Segoe UI" w:hAnsi="Segoe UI" w:cs="Segoe UI"/>
          <w:szCs w:val="24"/>
        </w:rPr>
        <w:t>ing</w:t>
      </w:r>
      <w:r w:rsidR="0A7BCC9E" w:rsidRPr="00777046">
        <w:rPr>
          <w:rFonts w:ascii="Segoe UI" w:hAnsi="Segoe UI" w:cs="Segoe UI"/>
          <w:szCs w:val="24"/>
        </w:rPr>
        <w:t xml:space="preserve"> the efficient delivery of reliable IP rights</w:t>
      </w:r>
      <w:r w:rsidR="7DC95AA7" w:rsidRPr="00777046">
        <w:rPr>
          <w:rFonts w:ascii="Segoe UI" w:hAnsi="Segoe UI" w:cs="Segoe UI"/>
          <w:szCs w:val="24"/>
        </w:rPr>
        <w:t>;</w:t>
      </w:r>
      <w:r w:rsidR="0A7BCC9E" w:rsidRPr="00777046">
        <w:rPr>
          <w:rFonts w:ascii="Segoe UI" w:hAnsi="Segoe UI" w:cs="Segoe UI"/>
          <w:szCs w:val="24"/>
        </w:rPr>
        <w:t xml:space="preserve"> (3) promot</w:t>
      </w:r>
      <w:r w:rsidR="7DC95AA7" w:rsidRPr="00777046">
        <w:rPr>
          <w:rFonts w:ascii="Segoe UI" w:hAnsi="Segoe UI" w:cs="Segoe UI"/>
          <w:szCs w:val="24"/>
        </w:rPr>
        <w:t>ing</w:t>
      </w:r>
      <w:r w:rsidR="0A7BCC9E" w:rsidRPr="00777046">
        <w:rPr>
          <w:rFonts w:ascii="Segoe UI" w:hAnsi="Segoe UI" w:cs="Segoe UI"/>
          <w:szCs w:val="24"/>
        </w:rPr>
        <w:t xml:space="preserve"> the protection of IP against new and persistent threats</w:t>
      </w:r>
      <w:r w:rsidR="7DC95AA7" w:rsidRPr="00777046">
        <w:rPr>
          <w:rFonts w:ascii="Segoe UI" w:hAnsi="Segoe UI" w:cs="Segoe UI"/>
          <w:szCs w:val="24"/>
        </w:rPr>
        <w:t>;</w:t>
      </w:r>
      <w:r w:rsidR="0A7BCC9E" w:rsidRPr="00777046">
        <w:rPr>
          <w:rFonts w:ascii="Segoe UI" w:hAnsi="Segoe UI" w:cs="Segoe UI"/>
          <w:szCs w:val="24"/>
        </w:rPr>
        <w:t xml:space="preserve"> (4) bring</w:t>
      </w:r>
      <w:r w:rsidR="7DC95AA7" w:rsidRPr="00777046">
        <w:rPr>
          <w:rFonts w:ascii="Segoe UI" w:hAnsi="Segoe UI" w:cs="Segoe UI"/>
          <w:szCs w:val="24"/>
        </w:rPr>
        <w:t>ing</w:t>
      </w:r>
      <w:r w:rsidR="0A7BCC9E" w:rsidRPr="00777046">
        <w:rPr>
          <w:rFonts w:ascii="Segoe UI" w:hAnsi="Segoe UI" w:cs="Segoe UI"/>
          <w:szCs w:val="24"/>
        </w:rPr>
        <w:t xml:space="preserve"> innovation to impact</w:t>
      </w:r>
      <w:r w:rsidR="5137E114" w:rsidRPr="00777046">
        <w:rPr>
          <w:rFonts w:ascii="Segoe UI" w:hAnsi="Segoe UI" w:cs="Segoe UI"/>
          <w:szCs w:val="24"/>
        </w:rPr>
        <w:t>;</w:t>
      </w:r>
      <w:r w:rsidR="0A7BCC9E" w:rsidRPr="00777046">
        <w:rPr>
          <w:rFonts w:ascii="Segoe UI" w:hAnsi="Segoe UI" w:cs="Segoe UI"/>
          <w:szCs w:val="24"/>
        </w:rPr>
        <w:t xml:space="preserve"> and (5) generat</w:t>
      </w:r>
      <w:r w:rsidR="5137E114" w:rsidRPr="00777046">
        <w:rPr>
          <w:rFonts w:ascii="Segoe UI" w:hAnsi="Segoe UI" w:cs="Segoe UI"/>
          <w:szCs w:val="24"/>
        </w:rPr>
        <w:t>ing</w:t>
      </w:r>
      <w:r w:rsidR="0A7BCC9E" w:rsidRPr="00777046">
        <w:rPr>
          <w:rFonts w:ascii="Segoe UI" w:hAnsi="Segoe UI" w:cs="Segoe UI"/>
          <w:szCs w:val="24"/>
        </w:rPr>
        <w:t xml:space="preserve"> impactful employee and customer experiences by maximizing agency operations</w:t>
      </w:r>
      <w:r w:rsidR="626B74FC" w:rsidRPr="00777046">
        <w:rPr>
          <w:rFonts w:ascii="Segoe UI" w:hAnsi="Segoe UI" w:cs="Segoe UI"/>
          <w:szCs w:val="24"/>
        </w:rPr>
        <w:t>.</w:t>
      </w:r>
      <w:r w:rsidR="75DDF123" w:rsidRPr="00777046">
        <w:rPr>
          <w:rFonts w:ascii="Segoe UI" w:hAnsi="Segoe UI" w:cs="Segoe UI"/>
          <w:szCs w:val="24"/>
        </w:rPr>
        <w:t xml:space="preserve"> </w:t>
      </w:r>
      <w:r w:rsidR="626B74FC" w:rsidRPr="00777046">
        <w:rPr>
          <w:rFonts w:ascii="Segoe UI" w:hAnsi="Segoe UI" w:cs="Segoe UI"/>
          <w:szCs w:val="24"/>
        </w:rPr>
        <w:t xml:space="preserve">It is important </w:t>
      </w:r>
      <w:r w:rsidR="5137E114" w:rsidRPr="00777046">
        <w:rPr>
          <w:rFonts w:ascii="Segoe UI" w:hAnsi="Segoe UI" w:cs="Segoe UI"/>
          <w:szCs w:val="24"/>
        </w:rPr>
        <w:t xml:space="preserve">that the agency </w:t>
      </w:r>
      <w:r w:rsidR="626B74FC" w:rsidRPr="00777046">
        <w:rPr>
          <w:rFonts w:ascii="Segoe UI" w:hAnsi="Segoe UI" w:cs="Segoe UI"/>
          <w:szCs w:val="24"/>
        </w:rPr>
        <w:t xml:space="preserve">balance accomplishing </w:t>
      </w:r>
      <w:r w:rsidR="7AF74051" w:rsidRPr="00777046">
        <w:rPr>
          <w:rFonts w:ascii="Segoe UI" w:hAnsi="Segoe UI" w:cs="Segoe UI"/>
          <w:szCs w:val="24"/>
        </w:rPr>
        <w:t xml:space="preserve">these strategic </w:t>
      </w:r>
      <w:r w:rsidR="626B74FC" w:rsidRPr="00777046">
        <w:rPr>
          <w:rFonts w:ascii="Segoe UI" w:hAnsi="Segoe UI" w:cs="Segoe UI"/>
          <w:szCs w:val="24"/>
        </w:rPr>
        <w:t xml:space="preserve">priorities </w:t>
      </w:r>
      <w:r w:rsidR="5137E114" w:rsidRPr="00777046">
        <w:rPr>
          <w:rFonts w:ascii="Segoe UI" w:hAnsi="Segoe UI" w:cs="Segoe UI"/>
          <w:szCs w:val="24"/>
        </w:rPr>
        <w:t xml:space="preserve">and their objectives </w:t>
      </w:r>
      <w:r w:rsidR="626B74FC" w:rsidRPr="00777046">
        <w:rPr>
          <w:rFonts w:ascii="Segoe UI" w:hAnsi="Segoe UI" w:cs="Segoe UI"/>
          <w:szCs w:val="24"/>
        </w:rPr>
        <w:t xml:space="preserve">together so once </w:t>
      </w:r>
      <w:r w:rsidR="7AF74051" w:rsidRPr="00777046">
        <w:rPr>
          <w:rFonts w:ascii="Segoe UI" w:hAnsi="Segoe UI" w:cs="Segoe UI"/>
          <w:szCs w:val="24"/>
        </w:rPr>
        <w:t>the</w:t>
      </w:r>
      <w:r w:rsidR="5137E114" w:rsidRPr="00777046">
        <w:rPr>
          <w:rFonts w:ascii="Segoe UI" w:hAnsi="Segoe UI" w:cs="Segoe UI"/>
          <w:szCs w:val="24"/>
        </w:rPr>
        <w:t xml:space="preserve">y </w:t>
      </w:r>
      <w:r w:rsidR="75AE699E" w:rsidRPr="00777046">
        <w:rPr>
          <w:rFonts w:ascii="Segoe UI" w:hAnsi="Segoe UI" w:cs="Segoe UI"/>
          <w:szCs w:val="24"/>
        </w:rPr>
        <w:t>are achieved</w:t>
      </w:r>
      <w:r w:rsidR="626B74FC" w:rsidRPr="00777046">
        <w:rPr>
          <w:rFonts w:ascii="Segoe UI" w:hAnsi="Segoe UI" w:cs="Segoe UI"/>
          <w:szCs w:val="24"/>
        </w:rPr>
        <w:t xml:space="preserve">, sufficient resources </w:t>
      </w:r>
      <w:r w:rsidR="5137E114" w:rsidRPr="00777046">
        <w:rPr>
          <w:rFonts w:ascii="Segoe UI" w:hAnsi="Segoe UI" w:cs="Segoe UI"/>
          <w:szCs w:val="24"/>
        </w:rPr>
        <w:t xml:space="preserve">remain </w:t>
      </w:r>
      <w:r w:rsidR="626B74FC" w:rsidRPr="00777046">
        <w:rPr>
          <w:rFonts w:ascii="Segoe UI" w:hAnsi="Segoe UI" w:cs="Segoe UI"/>
          <w:szCs w:val="24"/>
        </w:rPr>
        <w:t xml:space="preserve">to maintain </w:t>
      </w:r>
      <w:r w:rsidR="69F5E436" w:rsidRPr="00777046">
        <w:rPr>
          <w:rFonts w:ascii="Segoe UI" w:hAnsi="Segoe UI" w:cs="Segoe UI"/>
          <w:szCs w:val="24"/>
        </w:rPr>
        <w:t xml:space="preserve">operations </w:t>
      </w:r>
      <w:r w:rsidR="1CC6EB85" w:rsidRPr="00777046">
        <w:rPr>
          <w:rFonts w:ascii="Segoe UI" w:hAnsi="Segoe UI" w:cs="Segoe UI"/>
          <w:szCs w:val="24"/>
        </w:rPr>
        <w:t>at desired service levels</w:t>
      </w:r>
      <w:r w:rsidR="626B74FC" w:rsidRPr="00777046">
        <w:rPr>
          <w:rFonts w:ascii="Segoe UI" w:hAnsi="Segoe UI" w:cs="Segoe UI"/>
          <w:szCs w:val="24"/>
        </w:rPr>
        <w:t>.</w:t>
      </w:r>
    </w:p>
    <w:p w14:paraId="48C876DA" w14:textId="0E7FF807" w:rsidR="00F05980" w:rsidRPr="00777046" w:rsidRDefault="530D0A60" w:rsidP="17CECF10">
      <w:pPr>
        <w:spacing w:line="360" w:lineRule="auto"/>
        <w:ind w:firstLine="450"/>
        <w:rPr>
          <w:rFonts w:ascii="Segoe UI" w:hAnsi="Segoe UI" w:cs="Segoe UI"/>
          <w:color w:val="000000" w:themeColor="text1"/>
          <w:szCs w:val="24"/>
        </w:rPr>
      </w:pPr>
      <w:r w:rsidRPr="00777046">
        <w:rPr>
          <w:rFonts w:ascii="Segoe UI" w:hAnsi="Segoe UI" w:cs="Segoe UI"/>
          <w:szCs w:val="24"/>
        </w:rPr>
        <w:t>As shown in Table 4-</w:t>
      </w:r>
      <w:r w:rsidR="5EF26F86" w:rsidRPr="00777046">
        <w:rPr>
          <w:rFonts w:ascii="Segoe UI" w:hAnsi="Segoe UI" w:cs="Segoe UI"/>
          <w:szCs w:val="24"/>
        </w:rPr>
        <w:t>6</w:t>
      </w:r>
      <w:r w:rsidR="0635FADB" w:rsidRPr="00777046">
        <w:rPr>
          <w:rFonts w:ascii="Segoe UI" w:hAnsi="Segoe UI" w:cs="Segoe UI"/>
          <w:szCs w:val="24"/>
        </w:rPr>
        <w:t xml:space="preserve">, the </w:t>
      </w:r>
      <w:r w:rsidR="6A6D4D2B" w:rsidRPr="00777046">
        <w:rPr>
          <w:rFonts w:ascii="Segoe UI" w:hAnsi="Segoe UI" w:cs="Segoe UI"/>
          <w:szCs w:val="24"/>
        </w:rPr>
        <w:t xml:space="preserve">Unit Cost Recovery </w:t>
      </w:r>
      <w:r w:rsidR="0635FADB" w:rsidRPr="00777046">
        <w:rPr>
          <w:rFonts w:ascii="Segoe UI" w:hAnsi="Segoe UI" w:cs="Segoe UI"/>
          <w:szCs w:val="24"/>
        </w:rPr>
        <w:t>fee schedule</w:t>
      </w:r>
      <w:r w:rsidR="6A6D4D2B" w:rsidRPr="00777046">
        <w:rPr>
          <w:rFonts w:ascii="Segoe UI" w:hAnsi="Segoe UI" w:cs="Segoe UI"/>
          <w:szCs w:val="24"/>
        </w:rPr>
        <w:t xml:space="preserve"> </w:t>
      </w:r>
      <w:r w:rsidR="0635FADB" w:rsidRPr="00777046">
        <w:rPr>
          <w:rFonts w:ascii="Segoe UI" w:hAnsi="Segoe UI" w:cs="Segoe UI"/>
          <w:szCs w:val="24"/>
        </w:rPr>
        <w:t>includes the highest combined filing, search, and examination fee</w:t>
      </w:r>
      <w:r w:rsidR="0AF99945" w:rsidRPr="00777046">
        <w:rPr>
          <w:rFonts w:ascii="Segoe UI" w:hAnsi="Segoe UI" w:cs="Segoe UI"/>
          <w:szCs w:val="24"/>
        </w:rPr>
        <w:t xml:space="preserve"> rate</w:t>
      </w:r>
      <w:r w:rsidR="0635FADB" w:rsidRPr="00777046">
        <w:rPr>
          <w:rFonts w:ascii="Segoe UI" w:hAnsi="Segoe UI" w:cs="Segoe UI"/>
          <w:szCs w:val="24"/>
        </w:rPr>
        <w:t>s and lowest maintenance fee</w:t>
      </w:r>
      <w:r w:rsidR="0AF99945" w:rsidRPr="00777046">
        <w:rPr>
          <w:rFonts w:ascii="Segoe UI" w:hAnsi="Segoe UI" w:cs="Segoe UI"/>
          <w:szCs w:val="24"/>
        </w:rPr>
        <w:t xml:space="preserve"> rate</w:t>
      </w:r>
      <w:r w:rsidR="0635FADB" w:rsidRPr="00777046">
        <w:rPr>
          <w:rFonts w:ascii="Segoe UI" w:hAnsi="Segoe UI" w:cs="Segoe UI"/>
          <w:szCs w:val="24"/>
        </w:rPr>
        <w:t>s of any alternative.</w:t>
      </w:r>
      <w:r w:rsidR="17EFD447" w:rsidRPr="00777046">
        <w:rPr>
          <w:rFonts w:ascii="Segoe UI" w:hAnsi="Segoe UI" w:cs="Segoe UI"/>
          <w:szCs w:val="24"/>
        </w:rPr>
        <w:t xml:space="preserve"> </w:t>
      </w:r>
      <w:r w:rsidR="56B5A89D" w:rsidRPr="00777046">
        <w:rPr>
          <w:rFonts w:ascii="Segoe UI" w:hAnsi="Segoe UI" w:cs="Segoe UI"/>
          <w:color w:val="000000" w:themeColor="text1"/>
          <w:szCs w:val="24"/>
        </w:rPr>
        <w:t>As shown in Table 4-6, the cost of securing and maintaining a patent through a typical prosecution seque</w:t>
      </w:r>
      <w:r w:rsidR="10234CBD" w:rsidRPr="00777046">
        <w:rPr>
          <w:rFonts w:ascii="Segoe UI" w:hAnsi="Segoe UI" w:cs="Segoe UI"/>
          <w:color w:val="000000" w:themeColor="text1"/>
          <w:szCs w:val="24"/>
        </w:rPr>
        <w:t>nce for its full 20-year term increases by $</w:t>
      </w:r>
      <w:r w:rsidR="77A711E6" w:rsidRPr="00777046">
        <w:rPr>
          <w:rFonts w:ascii="Segoe UI" w:hAnsi="Segoe UI" w:cs="Segoe UI"/>
          <w:color w:val="000000" w:themeColor="text1"/>
          <w:szCs w:val="24"/>
        </w:rPr>
        <w:t>4</w:t>
      </w:r>
      <w:r w:rsidR="10234CBD" w:rsidRPr="00777046">
        <w:rPr>
          <w:rFonts w:ascii="Segoe UI" w:hAnsi="Segoe UI" w:cs="Segoe UI"/>
          <w:color w:val="000000" w:themeColor="text1"/>
          <w:szCs w:val="24"/>
        </w:rPr>
        <w:t>,</w:t>
      </w:r>
      <w:r w:rsidR="77A711E6" w:rsidRPr="00777046">
        <w:rPr>
          <w:rFonts w:ascii="Segoe UI" w:hAnsi="Segoe UI" w:cs="Segoe UI"/>
          <w:color w:val="000000" w:themeColor="text1"/>
          <w:szCs w:val="24"/>
        </w:rPr>
        <w:t>310</w:t>
      </w:r>
      <w:r w:rsidR="15EE53E1" w:rsidRPr="00777046">
        <w:rPr>
          <w:rFonts w:ascii="Segoe UI" w:hAnsi="Segoe UI" w:cs="Segoe UI"/>
          <w:color w:val="000000" w:themeColor="text1"/>
          <w:szCs w:val="24"/>
        </w:rPr>
        <w:t xml:space="preserve"> </w:t>
      </w:r>
      <w:r w:rsidR="10234CBD" w:rsidRPr="00777046">
        <w:rPr>
          <w:rFonts w:ascii="Segoe UI" w:hAnsi="Segoe UI" w:cs="Segoe UI"/>
          <w:color w:val="000000" w:themeColor="text1"/>
          <w:szCs w:val="24"/>
        </w:rPr>
        <w:t>(</w:t>
      </w:r>
      <w:r w:rsidR="77A711E6" w:rsidRPr="00777046">
        <w:rPr>
          <w:rFonts w:ascii="Segoe UI" w:hAnsi="Segoe UI" w:cs="Segoe UI"/>
          <w:color w:val="000000" w:themeColor="text1"/>
          <w:szCs w:val="24"/>
        </w:rPr>
        <w:t>24</w:t>
      </w:r>
      <w:r w:rsidR="15EE53E1" w:rsidRPr="00777046">
        <w:rPr>
          <w:rFonts w:ascii="Segoe UI" w:hAnsi="Segoe UI" w:cs="Segoe UI"/>
          <w:color w:val="000000" w:themeColor="text1"/>
          <w:szCs w:val="24"/>
        </w:rPr>
        <w:t>.</w:t>
      </w:r>
      <w:r w:rsidR="77A711E6" w:rsidRPr="00777046">
        <w:rPr>
          <w:rFonts w:ascii="Segoe UI" w:hAnsi="Segoe UI" w:cs="Segoe UI"/>
          <w:color w:val="000000" w:themeColor="text1"/>
          <w:szCs w:val="24"/>
        </w:rPr>
        <w:t>2</w:t>
      </w:r>
      <w:r w:rsidR="52F78106" w:rsidRPr="00777046">
        <w:rPr>
          <w:rFonts w:ascii="Segoe UI" w:hAnsi="Segoe UI" w:cs="Segoe UI"/>
          <w:color w:val="000000" w:themeColor="text1"/>
          <w:szCs w:val="24"/>
        </w:rPr>
        <w:t>%</w:t>
      </w:r>
      <w:r w:rsidR="56B5A89D" w:rsidRPr="00777046">
        <w:rPr>
          <w:rFonts w:ascii="Segoe UI" w:hAnsi="Segoe UI" w:cs="Segoe UI"/>
          <w:color w:val="000000" w:themeColor="text1"/>
          <w:szCs w:val="24"/>
        </w:rPr>
        <w:t xml:space="preserve">) </w:t>
      </w:r>
      <w:r w:rsidR="7750A397" w:rsidRPr="00777046">
        <w:rPr>
          <w:rFonts w:ascii="Segoe UI" w:hAnsi="Segoe UI" w:cs="Segoe UI"/>
          <w:color w:val="000000" w:themeColor="text1"/>
          <w:szCs w:val="24"/>
        </w:rPr>
        <w:t xml:space="preserve">under </w:t>
      </w:r>
      <w:r w:rsidR="0386070D" w:rsidRPr="00777046">
        <w:rPr>
          <w:rFonts w:ascii="Segoe UI" w:hAnsi="Segoe UI" w:cs="Segoe UI"/>
          <w:color w:val="000000" w:themeColor="text1"/>
          <w:szCs w:val="24"/>
        </w:rPr>
        <w:t xml:space="preserve">Unit Cost Recovery. For </w:t>
      </w:r>
      <w:r w:rsidR="4A5808F3" w:rsidRPr="00777046">
        <w:rPr>
          <w:rFonts w:ascii="Segoe UI" w:hAnsi="Segoe UI" w:cs="Segoe UI"/>
          <w:color w:val="000000" w:themeColor="text1"/>
          <w:szCs w:val="24"/>
        </w:rPr>
        <w:t>an undiscounted</w:t>
      </w:r>
      <w:r w:rsidR="0386070D" w:rsidRPr="00777046">
        <w:rPr>
          <w:rFonts w:ascii="Segoe UI" w:hAnsi="Segoe UI" w:cs="Segoe UI"/>
          <w:color w:val="000000" w:themeColor="text1"/>
          <w:szCs w:val="24"/>
        </w:rPr>
        <w:t xml:space="preserve"> entity, a</w:t>
      </w:r>
      <w:r w:rsidR="56B5A89D" w:rsidRPr="00777046">
        <w:rPr>
          <w:rFonts w:ascii="Segoe UI" w:hAnsi="Segoe UI" w:cs="Segoe UI"/>
          <w:color w:val="000000" w:themeColor="text1"/>
          <w:szCs w:val="24"/>
        </w:rPr>
        <w:t xml:space="preserve">ssuming a </w:t>
      </w:r>
      <w:r w:rsidR="09C6AC54" w:rsidRPr="00777046">
        <w:rPr>
          <w:rFonts w:ascii="Segoe UI" w:hAnsi="Segoe UI" w:cs="Segoe UI"/>
          <w:color w:val="000000" w:themeColor="text1"/>
          <w:szCs w:val="24"/>
        </w:rPr>
        <w:t>3</w:t>
      </w:r>
      <w:r w:rsidR="52F78106" w:rsidRPr="00777046">
        <w:rPr>
          <w:rFonts w:ascii="Segoe UI" w:hAnsi="Segoe UI" w:cs="Segoe UI"/>
          <w:color w:val="000000" w:themeColor="text1"/>
          <w:szCs w:val="24"/>
        </w:rPr>
        <w:t>%</w:t>
      </w:r>
      <w:r w:rsidR="56B5A89D" w:rsidRPr="00777046">
        <w:rPr>
          <w:rFonts w:ascii="Segoe UI" w:hAnsi="Segoe UI" w:cs="Segoe UI"/>
          <w:color w:val="000000" w:themeColor="text1"/>
          <w:szCs w:val="24"/>
        </w:rPr>
        <w:t xml:space="preserve"> discount rate,</w:t>
      </w:r>
      <w:r w:rsidR="3E22693F" w:rsidRPr="00777046">
        <w:rPr>
          <w:rFonts w:ascii="Segoe UI" w:hAnsi="Segoe UI" w:cs="Segoe UI"/>
          <w:color w:val="000000" w:themeColor="text1"/>
          <w:szCs w:val="24"/>
        </w:rPr>
        <w:t xml:space="preserve"> </w:t>
      </w:r>
      <w:r w:rsidR="56B5A89D" w:rsidRPr="00777046">
        <w:rPr>
          <w:rFonts w:ascii="Segoe UI" w:hAnsi="Segoe UI" w:cs="Segoe UI"/>
          <w:color w:val="000000" w:themeColor="text1"/>
          <w:szCs w:val="24"/>
        </w:rPr>
        <w:t>the net present value of investing in a paten</w:t>
      </w:r>
      <w:r w:rsidR="10234CBD" w:rsidRPr="00777046">
        <w:rPr>
          <w:rFonts w:ascii="Segoe UI" w:hAnsi="Segoe UI" w:cs="Segoe UI"/>
          <w:color w:val="000000" w:themeColor="text1"/>
          <w:szCs w:val="24"/>
        </w:rPr>
        <w:t>t for this alternative is $</w:t>
      </w:r>
      <w:r w:rsidR="1B74C839" w:rsidRPr="00777046">
        <w:rPr>
          <w:rFonts w:ascii="Segoe UI" w:hAnsi="Segoe UI" w:cs="Segoe UI"/>
          <w:color w:val="000000" w:themeColor="text1"/>
          <w:szCs w:val="24"/>
        </w:rPr>
        <w:t>1</w:t>
      </w:r>
      <w:r w:rsidR="4798E0DF" w:rsidRPr="00777046">
        <w:rPr>
          <w:rFonts w:ascii="Segoe UI" w:hAnsi="Segoe UI" w:cs="Segoe UI"/>
          <w:color w:val="000000" w:themeColor="text1"/>
          <w:szCs w:val="24"/>
        </w:rPr>
        <w:t>7</w:t>
      </w:r>
      <w:r w:rsidR="10234CBD" w:rsidRPr="00777046">
        <w:rPr>
          <w:rFonts w:ascii="Segoe UI" w:hAnsi="Segoe UI" w:cs="Segoe UI"/>
          <w:color w:val="000000" w:themeColor="text1"/>
          <w:szCs w:val="24"/>
        </w:rPr>
        <w:t>,</w:t>
      </w:r>
      <w:r w:rsidR="4798E0DF" w:rsidRPr="00777046">
        <w:rPr>
          <w:rFonts w:ascii="Segoe UI" w:hAnsi="Segoe UI" w:cs="Segoe UI"/>
          <w:color w:val="000000" w:themeColor="text1"/>
          <w:szCs w:val="24"/>
        </w:rPr>
        <w:t>708</w:t>
      </w:r>
      <w:r w:rsidR="56B5A89D" w:rsidRPr="00777046">
        <w:rPr>
          <w:rFonts w:ascii="Segoe UI" w:hAnsi="Segoe UI" w:cs="Segoe UI"/>
          <w:color w:val="000000" w:themeColor="text1"/>
          <w:szCs w:val="24"/>
        </w:rPr>
        <w:t>, compared t</w:t>
      </w:r>
      <w:r w:rsidR="10234CBD" w:rsidRPr="00777046">
        <w:rPr>
          <w:rFonts w:ascii="Segoe UI" w:hAnsi="Segoe UI" w:cs="Segoe UI"/>
          <w:color w:val="000000" w:themeColor="text1"/>
          <w:szCs w:val="24"/>
        </w:rPr>
        <w:t>o a net present value of $</w:t>
      </w:r>
      <w:r w:rsidR="1B74C839" w:rsidRPr="00777046">
        <w:rPr>
          <w:rFonts w:ascii="Segoe UI" w:hAnsi="Segoe UI" w:cs="Segoe UI"/>
          <w:color w:val="000000" w:themeColor="text1"/>
          <w:szCs w:val="24"/>
        </w:rPr>
        <w:t>1</w:t>
      </w:r>
      <w:r w:rsidR="4798E0DF" w:rsidRPr="00777046">
        <w:rPr>
          <w:rFonts w:ascii="Segoe UI" w:hAnsi="Segoe UI" w:cs="Segoe UI"/>
          <w:color w:val="000000" w:themeColor="text1"/>
          <w:szCs w:val="24"/>
        </w:rPr>
        <w:t>3</w:t>
      </w:r>
      <w:r w:rsidR="10234CBD" w:rsidRPr="00777046">
        <w:rPr>
          <w:rFonts w:ascii="Segoe UI" w:hAnsi="Segoe UI" w:cs="Segoe UI"/>
          <w:color w:val="000000" w:themeColor="text1"/>
          <w:szCs w:val="24"/>
        </w:rPr>
        <w:t>,</w:t>
      </w:r>
      <w:r w:rsidR="4798E0DF" w:rsidRPr="00777046">
        <w:rPr>
          <w:rFonts w:ascii="Segoe UI" w:hAnsi="Segoe UI" w:cs="Segoe UI"/>
          <w:color w:val="000000" w:themeColor="text1"/>
          <w:szCs w:val="24"/>
        </w:rPr>
        <w:t>363</w:t>
      </w:r>
      <w:r w:rsidR="56B5A89D" w:rsidRPr="00777046">
        <w:rPr>
          <w:rFonts w:ascii="Segoe UI" w:hAnsi="Segoe UI" w:cs="Segoe UI"/>
          <w:color w:val="000000" w:themeColor="text1"/>
          <w:szCs w:val="24"/>
        </w:rPr>
        <w:t xml:space="preserve"> for the Baseline.</w:t>
      </w:r>
      <w:r w:rsidR="17EFD447" w:rsidRPr="00777046">
        <w:rPr>
          <w:rFonts w:ascii="Segoe UI" w:hAnsi="Segoe UI" w:cs="Segoe UI"/>
          <w:color w:val="000000" w:themeColor="text1"/>
          <w:szCs w:val="24"/>
        </w:rPr>
        <w:t xml:space="preserve"> </w:t>
      </w:r>
      <w:r w:rsidR="597BCBBB" w:rsidRPr="00777046">
        <w:rPr>
          <w:rFonts w:ascii="Segoe UI" w:hAnsi="Segoe UI" w:cs="Segoe UI"/>
          <w:color w:val="000000" w:themeColor="text1"/>
          <w:szCs w:val="24"/>
        </w:rPr>
        <w:t xml:space="preserve">In particular, </w:t>
      </w:r>
      <w:r w:rsidR="56B5A89D" w:rsidRPr="00777046">
        <w:rPr>
          <w:rFonts w:ascii="Segoe UI" w:hAnsi="Segoe UI" w:cs="Segoe UI"/>
          <w:color w:val="000000" w:themeColor="text1"/>
          <w:szCs w:val="24"/>
        </w:rPr>
        <w:t>the difference in front-e</w:t>
      </w:r>
      <w:r w:rsidR="10234CBD" w:rsidRPr="00777046">
        <w:rPr>
          <w:rFonts w:ascii="Segoe UI" w:hAnsi="Segoe UI" w:cs="Segoe UI"/>
          <w:color w:val="000000" w:themeColor="text1"/>
          <w:szCs w:val="24"/>
        </w:rPr>
        <w:t>nd fees is telling</w:t>
      </w:r>
      <w:r w:rsidR="597BCBBB" w:rsidRPr="00777046">
        <w:rPr>
          <w:rFonts w:ascii="Segoe UI" w:hAnsi="Segoe UI" w:cs="Segoe UI"/>
          <w:color w:val="000000" w:themeColor="text1"/>
          <w:szCs w:val="24"/>
        </w:rPr>
        <w:t>:</w:t>
      </w:r>
      <w:r w:rsidR="10234CBD" w:rsidRPr="00777046">
        <w:rPr>
          <w:rFonts w:ascii="Segoe UI" w:hAnsi="Segoe UI" w:cs="Segoe UI"/>
          <w:color w:val="000000" w:themeColor="text1"/>
          <w:szCs w:val="24"/>
        </w:rPr>
        <w:t xml:space="preserve"> $</w:t>
      </w:r>
      <w:r w:rsidR="3E22693F" w:rsidRPr="00777046">
        <w:rPr>
          <w:rFonts w:ascii="Segoe UI" w:hAnsi="Segoe UI" w:cs="Segoe UI"/>
          <w:color w:val="000000" w:themeColor="text1"/>
          <w:szCs w:val="24"/>
        </w:rPr>
        <w:t>8</w:t>
      </w:r>
      <w:r w:rsidR="15EE53E1" w:rsidRPr="00777046">
        <w:rPr>
          <w:rFonts w:ascii="Segoe UI" w:hAnsi="Segoe UI" w:cs="Segoe UI"/>
          <w:color w:val="000000" w:themeColor="text1"/>
          <w:szCs w:val="24"/>
        </w:rPr>
        <w:t>,</w:t>
      </w:r>
      <w:r w:rsidR="3E22693F" w:rsidRPr="00777046">
        <w:rPr>
          <w:rFonts w:ascii="Segoe UI" w:hAnsi="Segoe UI" w:cs="Segoe UI"/>
          <w:color w:val="000000" w:themeColor="text1"/>
          <w:szCs w:val="24"/>
        </w:rPr>
        <w:t>8</w:t>
      </w:r>
      <w:r w:rsidR="15EE53E1" w:rsidRPr="00777046">
        <w:rPr>
          <w:rFonts w:ascii="Segoe UI" w:hAnsi="Segoe UI" w:cs="Segoe UI"/>
          <w:color w:val="000000" w:themeColor="text1"/>
          <w:szCs w:val="24"/>
        </w:rPr>
        <w:t>4</w:t>
      </w:r>
      <w:r w:rsidR="3E22693F" w:rsidRPr="00777046">
        <w:rPr>
          <w:rFonts w:ascii="Segoe UI" w:hAnsi="Segoe UI" w:cs="Segoe UI"/>
          <w:color w:val="000000" w:themeColor="text1"/>
          <w:szCs w:val="24"/>
        </w:rPr>
        <w:t>0</w:t>
      </w:r>
      <w:r w:rsidR="10234CBD" w:rsidRPr="00777046">
        <w:rPr>
          <w:rFonts w:ascii="Segoe UI" w:hAnsi="Segoe UI" w:cs="Segoe UI"/>
          <w:color w:val="000000" w:themeColor="text1"/>
          <w:szCs w:val="24"/>
        </w:rPr>
        <w:t xml:space="preserve"> ($</w:t>
      </w:r>
      <w:r w:rsidR="3E22693F" w:rsidRPr="00777046">
        <w:rPr>
          <w:rFonts w:ascii="Segoe UI" w:hAnsi="Segoe UI" w:cs="Segoe UI"/>
          <w:color w:val="000000" w:themeColor="text1"/>
          <w:szCs w:val="24"/>
        </w:rPr>
        <w:t>8</w:t>
      </w:r>
      <w:r w:rsidR="15EE53E1" w:rsidRPr="00777046">
        <w:rPr>
          <w:rFonts w:ascii="Segoe UI" w:hAnsi="Segoe UI" w:cs="Segoe UI"/>
          <w:color w:val="000000" w:themeColor="text1"/>
          <w:szCs w:val="24"/>
        </w:rPr>
        <w:t>,</w:t>
      </w:r>
      <w:r w:rsidR="3E22693F" w:rsidRPr="00777046">
        <w:rPr>
          <w:rFonts w:ascii="Segoe UI" w:hAnsi="Segoe UI" w:cs="Segoe UI"/>
          <w:color w:val="000000" w:themeColor="text1"/>
          <w:szCs w:val="24"/>
        </w:rPr>
        <w:t>412</w:t>
      </w:r>
      <w:r w:rsidR="56B5A89D" w:rsidRPr="00777046">
        <w:rPr>
          <w:rFonts w:ascii="Segoe UI" w:hAnsi="Segoe UI" w:cs="Segoe UI"/>
          <w:color w:val="000000" w:themeColor="text1"/>
          <w:szCs w:val="24"/>
        </w:rPr>
        <w:t xml:space="preserve"> net present value assuming </w:t>
      </w:r>
      <w:r w:rsidR="597BCBBB" w:rsidRPr="00777046">
        <w:rPr>
          <w:rFonts w:ascii="Segoe UI" w:hAnsi="Segoe UI" w:cs="Segoe UI"/>
          <w:color w:val="000000" w:themeColor="text1"/>
          <w:szCs w:val="24"/>
        </w:rPr>
        <w:t xml:space="preserve">a </w:t>
      </w:r>
      <w:r w:rsidR="09C6AC54" w:rsidRPr="00777046">
        <w:rPr>
          <w:rFonts w:ascii="Segoe UI" w:hAnsi="Segoe UI" w:cs="Segoe UI"/>
          <w:color w:val="000000" w:themeColor="text1"/>
          <w:szCs w:val="24"/>
        </w:rPr>
        <w:t>3</w:t>
      </w:r>
      <w:r w:rsidR="52F78106" w:rsidRPr="00777046">
        <w:rPr>
          <w:rFonts w:ascii="Segoe UI" w:hAnsi="Segoe UI" w:cs="Segoe UI"/>
          <w:color w:val="000000" w:themeColor="text1"/>
          <w:szCs w:val="24"/>
        </w:rPr>
        <w:t>%</w:t>
      </w:r>
      <w:r w:rsidR="56B5A89D" w:rsidRPr="00777046">
        <w:rPr>
          <w:rFonts w:ascii="Segoe UI" w:hAnsi="Segoe UI" w:cs="Segoe UI"/>
          <w:color w:val="000000" w:themeColor="text1"/>
          <w:szCs w:val="24"/>
        </w:rPr>
        <w:t xml:space="preserve"> discount) </w:t>
      </w:r>
      <w:r w:rsidR="597BCBBB" w:rsidRPr="00777046">
        <w:rPr>
          <w:rFonts w:ascii="Segoe UI" w:hAnsi="Segoe UI" w:cs="Segoe UI"/>
          <w:color w:val="000000" w:themeColor="text1"/>
          <w:szCs w:val="24"/>
        </w:rPr>
        <w:t xml:space="preserve">versus </w:t>
      </w:r>
      <w:r w:rsidR="10234CBD" w:rsidRPr="00777046">
        <w:rPr>
          <w:rFonts w:ascii="Segoe UI" w:hAnsi="Segoe UI" w:cs="Segoe UI"/>
          <w:color w:val="000000" w:themeColor="text1"/>
          <w:szCs w:val="24"/>
        </w:rPr>
        <w:t>$3,</w:t>
      </w:r>
      <w:r w:rsidR="3E22693F" w:rsidRPr="00777046">
        <w:rPr>
          <w:rFonts w:ascii="Segoe UI" w:hAnsi="Segoe UI" w:cs="Segoe UI"/>
          <w:color w:val="000000" w:themeColor="text1"/>
          <w:szCs w:val="24"/>
        </w:rPr>
        <w:t>180</w:t>
      </w:r>
      <w:r w:rsidR="10234CBD" w:rsidRPr="00777046">
        <w:rPr>
          <w:rFonts w:ascii="Segoe UI" w:hAnsi="Segoe UI" w:cs="Segoe UI"/>
          <w:color w:val="000000" w:themeColor="text1"/>
          <w:szCs w:val="24"/>
        </w:rPr>
        <w:t xml:space="preserve"> ($</w:t>
      </w:r>
      <w:r w:rsidR="3E22693F" w:rsidRPr="00777046">
        <w:rPr>
          <w:rFonts w:ascii="Segoe UI" w:hAnsi="Segoe UI" w:cs="Segoe UI"/>
          <w:color w:val="000000" w:themeColor="text1"/>
          <w:szCs w:val="24"/>
        </w:rPr>
        <w:t>3</w:t>
      </w:r>
      <w:r w:rsidR="10234CBD" w:rsidRPr="00777046">
        <w:rPr>
          <w:rFonts w:ascii="Segoe UI" w:hAnsi="Segoe UI" w:cs="Segoe UI"/>
          <w:color w:val="000000" w:themeColor="text1"/>
          <w:szCs w:val="24"/>
        </w:rPr>
        <w:t>,</w:t>
      </w:r>
      <w:r w:rsidR="3E22693F" w:rsidRPr="00777046">
        <w:rPr>
          <w:rFonts w:ascii="Segoe UI" w:hAnsi="Segoe UI" w:cs="Segoe UI"/>
          <w:color w:val="000000" w:themeColor="text1"/>
          <w:szCs w:val="24"/>
        </w:rPr>
        <w:t>013</w:t>
      </w:r>
      <w:r w:rsidR="56B5A89D" w:rsidRPr="00777046">
        <w:rPr>
          <w:rFonts w:ascii="Segoe UI" w:hAnsi="Segoe UI" w:cs="Segoe UI"/>
          <w:color w:val="000000" w:themeColor="text1"/>
          <w:szCs w:val="24"/>
        </w:rPr>
        <w:t xml:space="preserve"> net present value assuming </w:t>
      </w:r>
      <w:r w:rsidR="2D0F117A" w:rsidRPr="00777046">
        <w:rPr>
          <w:rFonts w:ascii="Segoe UI" w:hAnsi="Segoe UI" w:cs="Segoe UI"/>
          <w:color w:val="000000" w:themeColor="text1"/>
          <w:szCs w:val="24"/>
        </w:rPr>
        <w:t xml:space="preserve">a </w:t>
      </w:r>
      <w:r w:rsidR="09C6AC54" w:rsidRPr="00777046">
        <w:rPr>
          <w:rFonts w:ascii="Segoe UI" w:hAnsi="Segoe UI" w:cs="Segoe UI"/>
          <w:color w:val="000000" w:themeColor="text1"/>
          <w:szCs w:val="24"/>
        </w:rPr>
        <w:t>3</w:t>
      </w:r>
      <w:r w:rsidR="52F78106" w:rsidRPr="00777046">
        <w:rPr>
          <w:rFonts w:ascii="Segoe UI" w:hAnsi="Segoe UI" w:cs="Segoe UI"/>
          <w:color w:val="000000" w:themeColor="text1"/>
          <w:szCs w:val="24"/>
        </w:rPr>
        <w:t>%</w:t>
      </w:r>
      <w:r w:rsidR="56B5A89D" w:rsidRPr="00777046">
        <w:rPr>
          <w:rFonts w:ascii="Segoe UI" w:hAnsi="Segoe UI" w:cs="Segoe UI"/>
          <w:color w:val="000000" w:themeColor="text1"/>
          <w:szCs w:val="24"/>
        </w:rPr>
        <w:t xml:space="preserve"> discount) under the </w:t>
      </w:r>
      <w:r w:rsidR="2D0F117A" w:rsidRPr="00777046">
        <w:rPr>
          <w:rFonts w:ascii="Segoe UI" w:hAnsi="Segoe UI" w:cs="Segoe UI"/>
          <w:color w:val="000000" w:themeColor="text1"/>
          <w:szCs w:val="24"/>
        </w:rPr>
        <w:t>Baseline.</w:t>
      </w:r>
    </w:p>
    <w:p w14:paraId="70E378BA" w14:textId="653A233D" w:rsidR="00CC447F" w:rsidRPr="00777046" w:rsidRDefault="0351A825" w:rsidP="17CECF10">
      <w:pPr>
        <w:spacing w:after="200" w:line="360" w:lineRule="auto"/>
        <w:jc w:val="center"/>
        <w:rPr>
          <w:rFonts w:ascii="Segoe UI" w:hAnsi="Segoe UI" w:cs="Segoe UI"/>
          <w:b/>
          <w:bCs/>
          <w:szCs w:val="24"/>
        </w:rPr>
      </w:pPr>
      <w:r w:rsidRPr="00777046">
        <w:rPr>
          <w:rFonts w:ascii="Segoe UI" w:hAnsi="Segoe UI" w:cs="Segoe UI"/>
          <w:b/>
          <w:bCs/>
          <w:szCs w:val="24"/>
        </w:rPr>
        <w:lastRenderedPageBreak/>
        <w:t>Table 4-6</w:t>
      </w:r>
    </w:p>
    <w:tbl>
      <w:tblPr>
        <w:tblW w:w="4125" w:type="pct"/>
        <w:jc w:val="center"/>
        <w:tblLook w:val="04A0" w:firstRow="1" w:lastRow="0" w:firstColumn="1" w:lastColumn="0" w:noHBand="0" w:noVBand="1"/>
      </w:tblPr>
      <w:tblGrid>
        <w:gridCol w:w="2606"/>
        <w:gridCol w:w="2120"/>
        <w:gridCol w:w="2620"/>
      </w:tblGrid>
      <w:tr w:rsidR="00DE6A6A" w:rsidRPr="007F7D60" w14:paraId="60A64459" w14:textId="77777777" w:rsidTr="0061637C">
        <w:trPr>
          <w:trHeight w:val="312"/>
          <w:tblHeader/>
          <w:jc w:val="center"/>
        </w:trPr>
        <w:tc>
          <w:tcPr>
            <w:tcW w:w="7345"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19B5F6B" w14:textId="7A5D7AE0" w:rsidR="00DE6A6A" w:rsidRPr="007F7D60" w:rsidRDefault="00DE6A6A" w:rsidP="17CECF10">
            <w:pPr>
              <w:spacing w:line="240" w:lineRule="auto"/>
              <w:jc w:val="center"/>
              <w:rPr>
                <w:rFonts w:ascii="Segoe UI" w:eastAsia="Times New Roman" w:hAnsi="Segoe UI" w:cs="Segoe UI"/>
                <w:b/>
                <w:bCs/>
                <w:color w:val="000000"/>
                <w:szCs w:val="24"/>
              </w:rPr>
            </w:pPr>
          </w:p>
          <w:p w14:paraId="24DAAFB9" w14:textId="77777777" w:rsidR="681D2B99" w:rsidRDefault="681D2B99" w:rsidP="17CECF10">
            <w:pPr>
              <w:spacing w:line="240" w:lineRule="auto"/>
              <w:jc w:val="center"/>
              <w:rPr>
                <w:rFonts w:ascii="Segoe UI" w:eastAsia="Times New Roman" w:hAnsi="Segoe UI" w:cs="Segoe UI"/>
                <w:b/>
                <w:bCs/>
                <w:color w:val="000000" w:themeColor="text1"/>
                <w:szCs w:val="24"/>
              </w:rPr>
            </w:pPr>
            <w:r w:rsidRPr="17CECF10">
              <w:rPr>
                <w:rFonts w:ascii="Segoe UI" w:eastAsia="Times New Roman" w:hAnsi="Segoe UI" w:cs="Segoe UI"/>
                <w:b/>
                <w:bCs/>
                <w:color w:val="000000" w:themeColor="text1"/>
                <w:szCs w:val="24"/>
              </w:rPr>
              <w:t>Patent Fee Rates</w:t>
            </w:r>
          </w:p>
        </w:tc>
      </w:tr>
      <w:tr w:rsidR="00DE6A6A" w:rsidRPr="007F7D60" w14:paraId="1D366327" w14:textId="77777777" w:rsidTr="0061637C">
        <w:trPr>
          <w:trHeight w:val="312"/>
          <w:tblHeader/>
          <w:jc w:val="center"/>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14:paraId="6598F6E7" w14:textId="7DEE3A68" w:rsidR="00DE6A6A" w:rsidRPr="00777046" w:rsidRDefault="00DE6A6A" w:rsidP="17CECF10">
            <w:pPr>
              <w:spacing w:line="240" w:lineRule="auto"/>
              <w:jc w:val="center"/>
              <w:rPr>
                <w:rFonts w:ascii="Segoe UI" w:eastAsia="Times New Roman" w:hAnsi="Segoe UI" w:cs="Segoe UI"/>
                <w:color w:val="000000"/>
                <w:szCs w:val="24"/>
              </w:rPr>
            </w:pPr>
          </w:p>
        </w:tc>
        <w:tc>
          <w:tcPr>
            <w:tcW w:w="2120" w:type="dxa"/>
            <w:tcBorders>
              <w:top w:val="nil"/>
              <w:left w:val="nil"/>
              <w:bottom w:val="single" w:sz="4" w:space="0" w:color="auto"/>
              <w:right w:val="single" w:sz="4" w:space="0" w:color="auto"/>
            </w:tcBorders>
            <w:shd w:val="clear" w:color="auto" w:fill="auto"/>
            <w:vAlign w:val="center"/>
            <w:hideMark/>
          </w:tcPr>
          <w:p w14:paraId="3844DD53" w14:textId="2A621C74" w:rsidR="00DE6A6A" w:rsidRPr="007F7D60" w:rsidRDefault="6B7597CD" w:rsidP="17CECF10">
            <w:pPr>
              <w:spacing w:line="240" w:lineRule="auto"/>
              <w:jc w:val="center"/>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 xml:space="preserve">Baseline </w:t>
            </w:r>
            <w:r w:rsidR="4A51FB93" w:rsidRPr="17CECF10">
              <w:rPr>
                <w:rFonts w:ascii="Segoe UI" w:eastAsia="Times New Roman" w:hAnsi="Segoe UI" w:cs="Segoe UI"/>
                <w:b/>
                <w:bCs/>
                <w:color w:val="000000" w:themeColor="text1"/>
                <w:sz w:val="22"/>
              </w:rPr>
              <w:t>f</w:t>
            </w:r>
            <w:r w:rsidRPr="17CECF10">
              <w:rPr>
                <w:rFonts w:ascii="Segoe UI" w:eastAsia="Times New Roman" w:hAnsi="Segoe UI" w:cs="Segoe UI"/>
                <w:b/>
                <w:bCs/>
                <w:color w:val="000000" w:themeColor="text1"/>
                <w:sz w:val="22"/>
              </w:rPr>
              <w:t xml:space="preserve">ee </w:t>
            </w:r>
            <w:r w:rsidR="3827BB8F" w:rsidRPr="17CECF10">
              <w:rPr>
                <w:rFonts w:ascii="Segoe UI" w:eastAsia="Times New Roman" w:hAnsi="Segoe UI" w:cs="Segoe UI"/>
                <w:b/>
                <w:bCs/>
                <w:color w:val="000000" w:themeColor="text1"/>
                <w:sz w:val="22"/>
              </w:rPr>
              <w:t>r</w:t>
            </w:r>
            <w:r w:rsidRPr="17CECF10">
              <w:rPr>
                <w:rFonts w:ascii="Segoe UI" w:eastAsia="Times New Roman" w:hAnsi="Segoe UI" w:cs="Segoe UI"/>
                <w:b/>
                <w:bCs/>
                <w:color w:val="000000" w:themeColor="text1"/>
                <w:sz w:val="22"/>
              </w:rPr>
              <w:t>ate</w:t>
            </w:r>
          </w:p>
        </w:tc>
        <w:tc>
          <w:tcPr>
            <w:tcW w:w="2620" w:type="dxa"/>
            <w:tcBorders>
              <w:top w:val="nil"/>
              <w:left w:val="nil"/>
              <w:bottom w:val="single" w:sz="4" w:space="0" w:color="auto"/>
              <w:right w:val="single" w:sz="4" w:space="0" w:color="auto"/>
            </w:tcBorders>
            <w:shd w:val="clear" w:color="auto" w:fill="auto"/>
            <w:vAlign w:val="center"/>
            <w:hideMark/>
          </w:tcPr>
          <w:p w14:paraId="44EB9816" w14:textId="1667A081" w:rsidR="00DE6A6A" w:rsidRPr="007F7D60" w:rsidRDefault="1064CED6" w:rsidP="17CECF10">
            <w:pPr>
              <w:spacing w:line="240" w:lineRule="auto"/>
              <w:jc w:val="center"/>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Unit Cost Recovery</w:t>
            </w:r>
            <w:r w:rsidR="6B7597CD" w:rsidRPr="17CECF10">
              <w:rPr>
                <w:rFonts w:ascii="Segoe UI" w:eastAsia="Times New Roman" w:hAnsi="Segoe UI" w:cs="Segoe UI"/>
                <w:b/>
                <w:bCs/>
                <w:color w:val="000000" w:themeColor="text1"/>
                <w:sz w:val="22"/>
              </w:rPr>
              <w:t xml:space="preserve"> </w:t>
            </w:r>
            <w:r w:rsidR="769E4A3F" w:rsidRPr="17CECF10">
              <w:rPr>
                <w:rFonts w:ascii="Segoe UI" w:eastAsia="Times New Roman" w:hAnsi="Segoe UI" w:cs="Segoe UI"/>
                <w:b/>
                <w:bCs/>
                <w:color w:val="000000" w:themeColor="text1"/>
                <w:sz w:val="22"/>
              </w:rPr>
              <w:t xml:space="preserve">(Alternative 2) </w:t>
            </w:r>
            <w:r w:rsidR="13AE4254" w:rsidRPr="17CECF10">
              <w:rPr>
                <w:rFonts w:ascii="Segoe UI" w:eastAsia="Times New Roman" w:hAnsi="Segoe UI" w:cs="Segoe UI"/>
                <w:b/>
                <w:bCs/>
                <w:color w:val="000000" w:themeColor="text1"/>
                <w:sz w:val="22"/>
              </w:rPr>
              <w:t>f</w:t>
            </w:r>
            <w:r w:rsidR="6B7597CD" w:rsidRPr="17CECF10">
              <w:rPr>
                <w:rFonts w:ascii="Segoe UI" w:eastAsia="Times New Roman" w:hAnsi="Segoe UI" w:cs="Segoe UI"/>
                <w:b/>
                <w:bCs/>
                <w:color w:val="000000" w:themeColor="text1"/>
                <w:sz w:val="22"/>
              </w:rPr>
              <w:t xml:space="preserve">ee </w:t>
            </w:r>
            <w:r w:rsidR="33A82095" w:rsidRPr="17CECF10">
              <w:rPr>
                <w:rFonts w:ascii="Segoe UI" w:eastAsia="Times New Roman" w:hAnsi="Segoe UI" w:cs="Segoe UI"/>
                <w:b/>
                <w:bCs/>
                <w:color w:val="000000" w:themeColor="text1"/>
                <w:sz w:val="22"/>
              </w:rPr>
              <w:t>r</w:t>
            </w:r>
            <w:r w:rsidR="6B7597CD" w:rsidRPr="17CECF10">
              <w:rPr>
                <w:rFonts w:ascii="Segoe UI" w:eastAsia="Times New Roman" w:hAnsi="Segoe UI" w:cs="Segoe UI"/>
                <w:b/>
                <w:bCs/>
                <w:color w:val="000000" w:themeColor="text1"/>
                <w:sz w:val="22"/>
              </w:rPr>
              <w:t>ate</w:t>
            </w:r>
          </w:p>
        </w:tc>
      </w:tr>
      <w:tr w:rsidR="00AD50AC" w:rsidRPr="007F7D60" w14:paraId="4D3357CA" w14:textId="77777777" w:rsidTr="0061637C">
        <w:trPr>
          <w:trHeight w:val="324"/>
          <w:jc w:val="center"/>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14:paraId="4A869CDE" w14:textId="77777777" w:rsidR="00AD50AC" w:rsidRPr="007F7D60" w:rsidRDefault="4F173E86" w:rsidP="17CECF10">
            <w:pPr>
              <w:spacing w:line="240" w:lineRule="auto"/>
              <w:rPr>
                <w:rFonts w:ascii="Segoe UI" w:eastAsia="Times New Roman" w:hAnsi="Segoe UI" w:cs="Segoe UI"/>
                <w:color w:val="000000"/>
                <w:szCs w:val="24"/>
              </w:rPr>
            </w:pPr>
            <w:r w:rsidRPr="17CECF10">
              <w:rPr>
                <w:rFonts w:ascii="Segoe UI" w:eastAsia="Times New Roman" w:hAnsi="Segoe UI" w:cs="Segoe UI"/>
                <w:color w:val="000000" w:themeColor="text1"/>
                <w:sz w:val="22"/>
              </w:rPr>
              <w:t>Filing</w:t>
            </w:r>
          </w:p>
        </w:tc>
        <w:tc>
          <w:tcPr>
            <w:tcW w:w="2120" w:type="dxa"/>
            <w:tcBorders>
              <w:top w:val="nil"/>
              <w:left w:val="nil"/>
              <w:bottom w:val="single" w:sz="8" w:space="0" w:color="auto"/>
              <w:right w:val="single" w:sz="8" w:space="0" w:color="auto"/>
            </w:tcBorders>
            <w:shd w:val="clear" w:color="auto" w:fill="auto"/>
            <w:noWrap/>
            <w:vAlign w:val="center"/>
            <w:hideMark/>
          </w:tcPr>
          <w:p w14:paraId="293CD85A" w14:textId="077DC09B" w:rsidR="00AD50AC" w:rsidRPr="007F7D60" w:rsidRDefault="6B82460B" w:rsidP="17CECF10">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$320</w:t>
            </w:r>
          </w:p>
        </w:tc>
        <w:tc>
          <w:tcPr>
            <w:tcW w:w="2620" w:type="dxa"/>
            <w:tcBorders>
              <w:top w:val="nil"/>
              <w:left w:val="nil"/>
              <w:bottom w:val="single" w:sz="8" w:space="0" w:color="auto"/>
              <w:right w:val="single" w:sz="8" w:space="0" w:color="auto"/>
            </w:tcBorders>
            <w:shd w:val="clear" w:color="auto" w:fill="auto"/>
            <w:noWrap/>
            <w:vAlign w:val="center"/>
            <w:hideMark/>
          </w:tcPr>
          <w:p w14:paraId="1E44B729" w14:textId="7E529E6C" w:rsidR="00AD50AC" w:rsidRPr="000F20DC" w:rsidRDefault="6B82460B" w:rsidP="17CECF10">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$250</w:t>
            </w:r>
          </w:p>
        </w:tc>
      </w:tr>
      <w:tr w:rsidR="00AD50AC" w:rsidRPr="007F7D60" w14:paraId="58383B07" w14:textId="77777777" w:rsidTr="0061637C">
        <w:trPr>
          <w:trHeight w:val="324"/>
          <w:jc w:val="center"/>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14:paraId="45BBCD8E" w14:textId="77777777" w:rsidR="00AD50AC" w:rsidRPr="007F7D60" w:rsidRDefault="4F173E86" w:rsidP="17CECF10">
            <w:pPr>
              <w:spacing w:line="240" w:lineRule="auto"/>
              <w:rPr>
                <w:rFonts w:ascii="Segoe UI" w:eastAsia="Times New Roman" w:hAnsi="Segoe UI" w:cs="Segoe UI"/>
                <w:color w:val="000000"/>
                <w:szCs w:val="24"/>
              </w:rPr>
            </w:pPr>
            <w:r w:rsidRPr="17CECF10">
              <w:rPr>
                <w:rFonts w:ascii="Segoe UI" w:eastAsia="Times New Roman" w:hAnsi="Segoe UI" w:cs="Segoe UI"/>
                <w:color w:val="000000" w:themeColor="text1"/>
                <w:sz w:val="22"/>
              </w:rPr>
              <w:t>Search</w:t>
            </w:r>
          </w:p>
        </w:tc>
        <w:tc>
          <w:tcPr>
            <w:tcW w:w="2120" w:type="dxa"/>
            <w:tcBorders>
              <w:top w:val="nil"/>
              <w:left w:val="nil"/>
              <w:bottom w:val="single" w:sz="8" w:space="0" w:color="auto"/>
              <w:right w:val="single" w:sz="8" w:space="0" w:color="auto"/>
            </w:tcBorders>
            <w:shd w:val="clear" w:color="auto" w:fill="auto"/>
            <w:noWrap/>
            <w:vAlign w:val="center"/>
            <w:hideMark/>
          </w:tcPr>
          <w:p w14:paraId="50C98D03" w14:textId="42948434" w:rsidR="00AD50AC" w:rsidRPr="007F7D60" w:rsidRDefault="6B82460B" w:rsidP="17CECF10">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$700</w:t>
            </w:r>
          </w:p>
        </w:tc>
        <w:tc>
          <w:tcPr>
            <w:tcW w:w="2620" w:type="dxa"/>
            <w:tcBorders>
              <w:top w:val="nil"/>
              <w:left w:val="nil"/>
              <w:bottom w:val="single" w:sz="8" w:space="0" w:color="auto"/>
              <w:right w:val="single" w:sz="8" w:space="0" w:color="auto"/>
            </w:tcBorders>
            <w:shd w:val="clear" w:color="auto" w:fill="auto"/>
            <w:noWrap/>
            <w:vAlign w:val="center"/>
            <w:hideMark/>
          </w:tcPr>
          <w:p w14:paraId="5F33906B" w14:textId="56A0992E" w:rsidR="00AD50AC" w:rsidRPr="000F20DC" w:rsidRDefault="6B82460B" w:rsidP="17CECF10">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$2,430</w:t>
            </w:r>
          </w:p>
        </w:tc>
      </w:tr>
      <w:tr w:rsidR="00AD50AC" w:rsidRPr="007F7D60" w14:paraId="641A5FA0" w14:textId="77777777" w:rsidTr="0061637C">
        <w:trPr>
          <w:trHeight w:val="324"/>
          <w:jc w:val="center"/>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14:paraId="003D5370" w14:textId="77777777" w:rsidR="00AD50AC" w:rsidRPr="007F7D60" w:rsidRDefault="4F173E86" w:rsidP="17CECF10">
            <w:pPr>
              <w:spacing w:line="240" w:lineRule="auto"/>
              <w:rPr>
                <w:rFonts w:ascii="Segoe UI" w:eastAsia="Times New Roman" w:hAnsi="Segoe UI" w:cs="Segoe UI"/>
                <w:color w:val="000000"/>
                <w:szCs w:val="24"/>
              </w:rPr>
            </w:pPr>
            <w:r w:rsidRPr="17CECF10">
              <w:rPr>
                <w:rFonts w:ascii="Segoe UI" w:eastAsia="Times New Roman" w:hAnsi="Segoe UI" w:cs="Segoe UI"/>
                <w:color w:val="000000" w:themeColor="text1"/>
                <w:sz w:val="22"/>
              </w:rPr>
              <w:t>Examination</w:t>
            </w:r>
          </w:p>
        </w:tc>
        <w:tc>
          <w:tcPr>
            <w:tcW w:w="2120" w:type="dxa"/>
            <w:tcBorders>
              <w:top w:val="nil"/>
              <w:left w:val="nil"/>
              <w:bottom w:val="single" w:sz="8" w:space="0" w:color="auto"/>
              <w:right w:val="single" w:sz="8" w:space="0" w:color="auto"/>
            </w:tcBorders>
            <w:shd w:val="clear" w:color="auto" w:fill="auto"/>
            <w:noWrap/>
            <w:vAlign w:val="center"/>
            <w:hideMark/>
          </w:tcPr>
          <w:p w14:paraId="4BB6A5A3" w14:textId="6A214ED4" w:rsidR="00AD50AC" w:rsidRPr="007F7D60" w:rsidRDefault="6B82460B" w:rsidP="17CECF10">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$800</w:t>
            </w:r>
          </w:p>
        </w:tc>
        <w:tc>
          <w:tcPr>
            <w:tcW w:w="2620" w:type="dxa"/>
            <w:tcBorders>
              <w:top w:val="nil"/>
              <w:left w:val="nil"/>
              <w:bottom w:val="single" w:sz="8" w:space="0" w:color="auto"/>
              <w:right w:val="single" w:sz="8" w:space="0" w:color="auto"/>
            </w:tcBorders>
            <w:shd w:val="clear" w:color="auto" w:fill="auto"/>
            <w:noWrap/>
            <w:vAlign w:val="center"/>
            <w:hideMark/>
          </w:tcPr>
          <w:p w14:paraId="38FD2FAA" w14:textId="1ADA020B" w:rsidR="00AD50AC" w:rsidRPr="000F20DC" w:rsidRDefault="6B82460B" w:rsidP="17CECF10">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$3,100</w:t>
            </w:r>
          </w:p>
        </w:tc>
      </w:tr>
      <w:tr w:rsidR="00AD50AC" w:rsidRPr="007F7D60" w14:paraId="085B634C" w14:textId="77777777" w:rsidTr="0061637C">
        <w:trPr>
          <w:trHeight w:val="324"/>
          <w:jc w:val="center"/>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14:paraId="62D37948" w14:textId="77777777" w:rsidR="00AD50AC" w:rsidRPr="007F7D60" w:rsidRDefault="4F173E86" w:rsidP="17CECF10">
            <w:pPr>
              <w:spacing w:line="240" w:lineRule="auto"/>
              <w:rPr>
                <w:rFonts w:ascii="Segoe UI" w:eastAsia="Times New Roman" w:hAnsi="Segoe UI" w:cs="Segoe UI"/>
                <w:color w:val="000000"/>
                <w:szCs w:val="24"/>
              </w:rPr>
            </w:pPr>
            <w:r w:rsidRPr="17CECF10">
              <w:rPr>
                <w:rFonts w:ascii="Segoe UI" w:eastAsia="Times New Roman" w:hAnsi="Segoe UI" w:cs="Segoe UI"/>
                <w:color w:val="000000" w:themeColor="text1"/>
                <w:sz w:val="22"/>
              </w:rPr>
              <w:t>First RCE</w:t>
            </w:r>
          </w:p>
        </w:tc>
        <w:tc>
          <w:tcPr>
            <w:tcW w:w="2120" w:type="dxa"/>
            <w:tcBorders>
              <w:top w:val="nil"/>
              <w:left w:val="nil"/>
              <w:bottom w:val="single" w:sz="8" w:space="0" w:color="auto"/>
              <w:right w:val="single" w:sz="8" w:space="0" w:color="auto"/>
            </w:tcBorders>
            <w:shd w:val="clear" w:color="auto" w:fill="auto"/>
            <w:noWrap/>
            <w:vAlign w:val="center"/>
            <w:hideMark/>
          </w:tcPr>
          <w:p w14:paraId="65E0982B" w14:textId="388D3078" w:rsidR="00AD50AC" w:rsidRPr="007F7D60" w:rsidRDefault="6B82460B" w:rsidP="17CECF10">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$1,360</w:t>
            </w:r>
          </w:p>
        </w:tc>
        <w:tc>
          <w:tcPr>
            <w:tcW w:w="2620" w:type="dxa"/>
            <w:tcBorders>
              <w:top w:val="nil"/>
              <w:left w:val="nil"/>
              <w:bottom w:val="single" w:sz="8" w:space="0" w:color="auto"/>
              <w:right w:val="single" w:sz="8" w:space="0" w:color="auto"/>
            </w:tcBorders>
            <w:shd w:val="clear" w:color="auto" w:fill="auto"/>
            <w:noWrap/>
            <w:vAlign w:val="center"/>
            <w:hideMark/>
          </w:tcPr>
          <w:p w14:paraId="743AA1BA" w14:textId="1B894895" w:rsidR="00AD50AC" w:rsidRPr="000F20DC" w:rsidRDefault="6B82460B" w:rsidP="17CECF10">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$3,060</w:t>
            </w:r>
          </w:p>
        </w:tc>
      </w:tr>
      <w:tr w:rsidR="00AD50AC" w:rsidRPr="007F7D60" w14:paraId="084087DC" w14:textId="77777777" w:rsidTr="0061637C">
        <w:trPr>
          <w:trHeight w:val="324"/>
          <w:jc w:val="center"/>
        </w:trPr>
        <w:tc>
          <w:tcPr>
            <w:tcW w:w="2605" w:type="dxa"/>
            <w:tcBorders>
              <w:top w:val="nil"/>
              <w:left w:val="single" w:sz="4" w:space="0" w:color="auto"/>
              <w:bottom w:val="single" w:sz="4" w:space="0" w:color="auto"/>
              <w:right w:val="single" w:sz="4" w:space="0" w:color="auto"/>
            </w:tcBorders>
            <w:shd w:val="clear" w:color="auto" w:fill="D9D9D6"/>
            <w:noWrap/>
            <w:vAlign w:val="center"/>
            <w:hideMark/>
          </w:tcPr>
          <w:p w14:paraId="34FCFE80" w14:textId="20AC1D1D" w:rsidR="00AD50AC" w:rsidRPr="007F7D60" w:rsidRDefault="7BF13F42" w:rsidP="17CECF10">
            <w:pPr>
              <w:spacing w:line="240" w:lineRule="auto"/>
              <w:jc w:val="right"/>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Front-</w:t>
            </w:r>
            <w:r w:rsidR="79692697" w:rsidRPr="17CECF10">
              <w:rPr>
                <w:rFonts w:ascii="Segoe UI" w:eastAsia="Times New Roman" w:hAnsi="Segoe UI" w:cs="Segoe UI"/>
                <w:b/>
                <w:bCs/>
                <w:color w:val="000000" w:themeColor="text1"/>
                <w:sz w:val="22"/>
              </w:rPr>
              <w:t>e</w:t>
            </w:r>
            <w:r w:rsidRPr="17CECF10">
              <w:rPr>
                <w:rFonts w:ascii="Segoe UI" w:eastAsia="Times New Roman" w:hAnsi="Segoe UI" w:cs="Segoe UI"/>
                <w:b/>
                <w:bCs/>
                <w:color w:val="000000" w:themeColor="text1"/>
                <w:sz w:val="22"/>
              </w:rPr>
              <w:t xml:space="preserve">nd </w:t>
            </w:r>
            <w:r w:rsidR="06149216" w:rsidRPr="17CECF10">
              <w:rPr>
                <w:rFonts w:ascii="Segoe UI" w:eastAsia="Times New Roman" w:hAnsi="Segoe UI" w:cs="Segoe UI"/>
                <w:b/>
                <w:bCs/>
                <w:color w:val="000000" w:themeColor="text1"/>
                <w:sz w:val="22"/>
              </w:rPr>
              <w:t>f</w:t>
            </w:r>
            <w:r w:rsidRPr="17CECF10">
              <w:rPr>
                <w:rFonts w:ascii="Segoe UI" w:eastAsia="Times New Roman" w:hAnsi="Segoe UI" w:cs="Segoe UI"/>
                <w:b/>
                <w:bCs/>
                <w:color w:val="000000" w:themeColor="text1"/>
                <w:sz w:val="22"/>
              </w:rPr>
              <w:t>ees</w:t>
            </w:r>
          </w:p>
        </w:tc>
        <w:tc>
          <w:tcPr>
            <w:tcW w:w="2120" w:type="dxa"/>
            <w:tcBorders>
              <w:top w:val="nil"/>
              <w:left w:val="nil"/>
              <w:bottom w:val="single" w:sz="8" w:space="0" w:color="auto"/>
              <w:right w:val="single" w:sz="8" w:space="0" w:color="auto"/>
            </w:tcBorders>
            <w:shd w:val="clear" w:color="auto" w:fill="D9D9D6"/>
            <w:noWrap/>
            <w:vAlign w:val="center"/>
            <w:hideMark/>
          </w:tcPr>
          <w:p w14:paraId="68BC4E90" w14:textId="7CB23F90" w:rsidR="00AD50AC" w:rsidRPr="007F7D60" w:rsidRDefault="6B82460B" w:rsidP="17CECF10">
            <w:pPr>
              <w:spacing w:line="240" w:lineRule="auto"/>
              <w:jc w:val="right"/>
              <w:rPr>
                <w:rFonts w:ascii="Segoe UI" w:eastAsia="Times New Roman" w:hAnsi="Segoe UI" w:cs="Segoe UI"/>
                <w:b/>
                <w:bCs/>
                <w:color w:val="000000"/>
                <w:szCs w:val="24"/>
              </w:rPr>
            </w:pPr>
            <w:r w:rsidRPr="17CECF10">
              <w:rPr>
                <w:rFonts w:ascii="Segoe UI" w:hAnsi="Segoe UI" w:cs="Segoe UI"/>
                <w:b/>
                <w:bCs/>
                <w:color w:val="000000" w:themeColor="text1"/>
                <w:sz w:val="22"/>
              </w:rPr>
              <w:t>$3,180</w:t>
            </w:r>
          </w:p>
        </w:tc>
        <w:tc>
          <w:tcPr>
            <w:tcW w:w="2620" w:type="dxa"/>
            <w:tcBorders>
              <w:top w:val="nil"/>
              <w:left w:val="nil"/>
              <w:bottom w:val="single" w:sz="8" w:space="0" w:color="auto"/>
              <w:right w:val="single" w:sz="8" w:space="0" w:color="auto"/>
            </w:tcBorders>
            <w:shd w:val="clear" w:color="auto" w:fill="D9D9D6"/>
            <w:noWrap/>
            <w:vAlign w:val="center"/>
            <w:hideMark/>
          </w:tcPr>
          <w:p w14:paraId="1B1ED0E4" w14:textId="5D3D636F" w:rsidR="00AD50AC" w:rsidRPr="000F20DC" w:rsidRDefault="6B82460B" w:rsidP="17CECF10">
            <w:pPr>
              <w:spacing w:line="240" w:lineRule="auto"/>
              <w:jc w:val="right"/>
              <w:rPr>
                <w:rFonts w:ascii="Segoe UI" w:eastAsia="Times New Roman" w:hAnsi="Segoe UI" w:cs="Segoe UI"/>
                <w:b/>
                <w:bCs/>
                <w:color w:val="000000"/>
                <w:szCs w:val="24"/>
              </w:rPr>
            </w:pPr>
            <w:r w:rsidRPr="17CECF10">
              <w:rPr>
                <w:rFonts w:ascii="Segoe UI" w:hAnsi="Segoe UI" w:cs="Segoe UI"/>
                <w:b/>
                <w:bCs/>
                <w:color w:val="000000" w:themeColor="text1"/>
                <w:sz w:val="22"/>
              </w:rPr>
              <w:t>$8,840</w:t>
            </w:r>
          </w:p>
        </w:tc>
      </w:tr>
      <w:tr w:rsidR="0061637C" w:rsidRPr="007F7D60" w14:paraId="5E4E9F34" w14:textId="77777777" w:rsidTr="00B64020">
        <w:trPr>
          <w:trHeight w:val="324"/>
          <w:jc w:val="center"/>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14:paraId="2EA8ABE9" w14:textId="77777777" w:rsidR="0061637C" w:rsidRPr="007F7D60" w:rsidRDefault="0061637C" w:rsidP="0061637C">
            <w:pPr>
              <w:spacing w:line="240" w:lineRule="auto"/>
              <w:rPr>
                <w:rFonts w:ascii="Segoe UI" w:eastAsia="Times New Roman" w:hAnsi="Segoe UI" w:cs="Segoe UI"/>
                <w:color w:val="000000"/>
                <w:szCs w:val="24"/>
              </w:rPr>
            </w:pPr>
            <w:r w:rsidRPr="17CECF10">
              <w:rPr>
                <w:rFonts w:ascii="Segoe UI" w:eastAsia="Times New Roman" w:hAnsi="Segoe UI" w:cs="Segoe UI"/>
                <w:color w:val="000000" w:themeColor="text1"/>
                <w:sz w:val="22"/>
              </w:rPr>
              <w:t>Issue</w:t>
            </w:r>
          </w:p>
        </w:tc>
        <w:tc>
          <w:tcPr>
            <w:tcW w:w="2120" w:type="dxa"/>
            <w:tcBorders>
              <w:top w:val="nil"/>
              <w:left w:val="nil"/>
              <w:bottom w:val="single" w:sz="8" w:space="0" w:color="auto"/>
              <w:right w:val="single" w:sz="8" w:space="0" w:color="auto"/>
            </w:tcBorders>
            <w:shd w:val="clear" w:color="auto" w:fill="auto"/>
            <w:noWrap/>
            <w:vAlign w:val="center"/>
            <w:hideMark/>
          </w:tcPr>
          <w:p w14:paraId="17D7CAD6" w14:textId="171C775D" w:rsidR="0061637C" w:rsidRPr="007F7D60" w:rsidRDefault="0061637C" w:rsidP="0061637C">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$1,200</w:t>
            </w:r>
          </w:p>
        </w:tc>
        <w:tc>
          <w:tcPr>
            <w:tcW w:w="2620" w:type="dxa"/>
            <w:tcBorders>
              <w:top w:val="nil"/>
              <w:left w:val="nil"/>
              <w:bottom w:val="single" w:sz="8" w:space="0" w:color="auto"/>
              <w:right w:val="single" w:sz="8" w:space="0" w:color="auto"/>
            </w:tcBorders>
            <w:shd w:val="clear" w:color="auto" w:fill="auto"/>
            <w:noWrap/>
            <w:vAlign w:val="center"/>
            <w:hideMark/>
          </w:tcPr>
          <w:p w14:paraId="4C8D2844" w14:textId="5349EC03" w:rsidR="0061637C" w:rsidRPr="00B64020" w:rsidRDefault="0061637C" w:rsidP="0061637C">
            <w:pPr>
              <w:spacing w:line="240" w:lineRule="auto"/>
              <w:jc w:val="right"/>
              <w:rPr>
                <w:rFonts w:ascii="Segoe UI" w:eastAsia="Times New Roman" w:hAnsi="Segoe UI" w:cs="Segoe UI"/>
                <w:color w:val="000000"/>
                <w:sz w:val="22"/>
              </w:rPr>
            </w:pPr>
            <w:r w:rsidRPr="00B64020">
              <w:rPr>
                <w:rFonts w:ascii="Segoe UI" w:hAnsi="Segoe UI" w:cs="Segoe UI"/>
                <w:sz w:val="22"/>
              </w:rPr>
              <w:t>$575</w:t>
            </w:r>
          </w:p>
        </w:tc>
      </w:tr>
      <w:tr w:rsidR="0061637C" w:rsidRPr="007F7D60" w14:paraId="3A7E0C8A" w14:textId="77777777" w:rsidTr="00B64020">
        <w:trPr>
          <w:trHeight w:val="324"/>
          <w:jc w:val="center"/>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14:paraId="093E7A51" w14:textId="4C761137" w:rsidR="0061637C" w:rsidRPr="007F7D60" w:rsidRDefault="0061637C" w:rsidP="0061637C">
            <w:pPr>
              <w:spacing w:line="240" w:lineRule="auto"/>
              <w:rPr>
                <w:rFonts w:ascii="Segoe UI" w:eastAsia="Times New Roman" w:hAnsi="Segoe UI" w:cs="Segoe UI"/>
                <w:color w:val="000000"/>
                <w:szCs w:val="24"/>
              </w:rPr>
            </w:pPr>
            <w:r w:rsidRPr="17CECF10">
              <w:rPr>
                <w:rFonts w:ascii="Segoe UI" w:eastAsia="Times New Roman" w:hAnsi="Segoe UI" w:cs="Segoe UI"/>
                <w:color w:val="000000" w:themeColor="text1"/>
                <w:sz w:val="22"/>
              </w:rPr>
              <w:t>1st stage maintenance</w:t>
            </w:r>
          </w:p>
        </w:tc>
        <w:tc>
          <w:tcPr>
            <w:tcW w:w="2120" w:type="dxa"/>
            <w:tcBorders>
              <w:top w:val="nil"/>
              <w:left w:val="nil"/>
              <w:bottom w:val="single" w:sz="8" w:space="0" w:color="auto"/>
              <w:right w:val="single" w:sz="8" w:space="0" w:color="auto"/>
            </w:tcBorders>
            <w:shd w:val="clear" w:color="auto" w:fill="auto"/>
            <w:noWrap/>
            <w:vAlign w:val="center"/>
            <w:hideMark/>
          </w:tcPr>
          <w:p w14:paraId="3CE72288" w14:textId="59EE24BA" w:rsidR="0061637C" w:rsidRPr="007F7D60" w:rsidRDefault="0061637C" w:rsidP="0061637C">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$2,000</w:t>
            </w:r>
          </w:p>
        </w:tc>
        <w:tc>
          <w:tcPr>
            <w:tcW w:w="2620" w:type="dxa"/>
            <w:tcBorders>
              <w:top w:val="nil"/>
              <w:left w:val="nil"/>
              <w:bottom w:val="single" w:sz="8" w:space="0" w:color="auto"/>
              <w:right w:val="single" w:sz="8" w:space="0" w:color="auto"/>
            </w:tcBorders>
            <w:shd w:val="clear" w:color="auto" w:fill="auto"/>
            <w:noWrap/>
            <w:vAlign w:val="center"/>
            <w:hideMark/>
          </w:tcPr>
          <w:p w14:paraId="0A24A296" w14:textId="55F00448" w:rsidR="0061637C" w:rsidRPr="00B64020" w:rsidRDefault="0061637C" w:rsidP="0061637C">
            <w:pPr>
              <w:spacing w:line="240" w:lineRule="auto"/>
              <w:jc w:val="right"/>
              <w:rPr>
                <w:rFonts w:ascii="Segoe UI" w:eastAsia="Times New Roman" w:hAnsi="Segoe UI" w:cs="Segoe UI"/>
                <w:color w:val="000000"/>
                <w:sz w:val="22"/>
              </w:rPr>
            </w:pPr>
            <w:r w:rsidRPr="00B64020">
              <w:rPr>
                <w:rFonts w:ascii="Segoe UI" w:hAnsi="Segoe UI" w:cs="Segoe UI"/>
                <w:sz w:val="22"/>
              </w:rPr>
              <w:t>$1,770</w:t>
            </w:r>
          </w:p>
        </w:tc>
      </w:tr>
      <w:tr w:rsidR="0061637C" w:rsidRPr="007F7D60" w14:paraId="65C0E9AC" w14:textId="77777777" w:rsidTr="00B64020">
        <w:trPr>
          <w:trHeight w:val="324"/>
          <w:jc w:val="center"/>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14:paraId="10B3DEE1" w14:textId="1774F12C" w:rsidR="0061637C" w:rsidRPr="007F7D60" w:rsidRDefault="0061637C" w:rsidP="0061637C">
            <w:pPr>
              <w:spacing w:line="240" w:lineRule="auto"/>
              <w:rPr>
                <w:rFonts w:ascii="Segoe UI" w:eastAsia="Times New Roman" w:hAnsi="Segoe UI" w:cs="Segoe UI"/>
                <w:color w:val="000000"/>
                <w:szCs w:val="24"/>
              </w:rPr>
            </w:pPr>
            <w:r w:rsidRPr="17CECF10">
              <w:rPr>
                <w:rFonts w:ascii="Segoe UI" w:eastAsia="Times New Roman" w:hAnsi="Segoe UI" w:cs="Segoe UI"/>
                <w:color w:val="000000" w:themeColor="text1"/>
                <w:sz w:val="22"/>
              </w:rPr>
              <w:t>2nd stage maintenance</w:t>
            </w:r>
          </w:p>
        </w:tc>
        <w:tc>
          <w:tcPr>
            <w:tcW w:w="2120" w:type="dxa"/>
            <w:tcBorders>
              <w:top w:val="nil"/>
              <w:left w:val="nil"/>
              <w:bottom w:val="single" w:sz="8" w:space="0" w:color="auto"/>
              <w:right w:val="single" w:sz="8" w:space="0" w:color="auto"/>
            </w:tcBorders>
            <w:shd w:val="clear" w:color="auto" w:fill="auto"/>
            <w:noWrap/>
            <w:vAlign w:val="center"/>
            <w:hideMark/>
          </w:tcPr>
          <w:p w14:paraId="5F7A21EC" w14:textId="4E5356A6" w:rsidR="0061637C" w:rsidRPr="007F7D60" w:rsidRDefault="0061637C" w:rsidP="0061637C">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$3,760</w:t>
            </w:r>
          </w:p>
        </w:tc>
        <w:tc>
          <w:tcPr>
            <w:tcW w:w="2620" w:type="dxa"/>
            <w:tcBorders>
              <w:top w:val="nil"/>
              <w:left w:val="nil"/>
              <w:bottom w:val="single" w:sz="8" w:space="0" w:color="auto"/>
              <w:right w:val="single" w:sz="8" w:space="0" w:color="auto"/>
            </w:tcBorders>
            <w:shd w:val="clear" w:color="auto" w:fill="auto"/>
            <w:noWrap/>
            <w:vAlign w:val="center"/>
            <w:hideMark/>
          </w:tcPr>
          <w:p w14:paraId="6B743FCF" w14:textId="73E12C26" w:rsidR="0061637C" w:rsidRPr="00B64020" w:rsidRDefault="0061637C" w:rsidP="0061637C">
            <w:pPr>
              <w:spacing w:line="240" w:lineRule="auto"/>
              <w:jc w:val="right"/>
              <w:rPr>
                <w:rFonts w:ascii="Segoe UI" w:eastAsia="Times New Roman" w:hAnsi="Segoe UI" w:cs="Segoe UI"/>
                <w:color w:val="000000"/>
                <w:sz w:val="22"/>
              </w:rPr>
            </w:pPr>
            <w:r w:rsidRPr="00B64020">
              <w:rPr>
                <w:rFonts w:ascii="Segoe UI" w:hAnsi="Segoe UI" w:cs="Segoe UI"/>
                <w:sz w:val="22"/>
              </w:rPr>
              <w:t>$3,330</w:t>
            </w:r>
          </w:p>
        </w:tc>
      </w:tr>
      <w:tr w:rsidR="0061637C" w:rsidRPr="007F7D60" w14:paraId="2961C910" w14:textId="77777777" w:rsidTr="00B64020">
        <w:trPr>
          <w:trHeight w:val="324"/>
          <w:jc w:val="center"/>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14:paraId="34D166E4" w14:textId="0BE49169" w:rsidR="0061637C" w:rsidRPr="007F7D60" w:rsidRDefault="0061637C" w:rsidP="0061637C">
            <w:pPr>
              <w:spacing w:line="240" w:lineRule="auto"/>
              <w:rPr>
                <w:rFonts w:ascii="Segoe UI" w:eastAsia="Times New Roman" w:hAnsi="Segoe UI" w:cs="Segoe UI"/>
                <w:color w:val="000000"/>
                <w:szCs w:val="24"/>
              </w:rPr>
            </w:pPr>
            <w:r w:rsidRPr="17CECF10">
              <w:rPr>
                <w:rFonts w:ascii="Segoe UI" w:eastAsia="Times New Roman" w:hAnsi="Segoe UI" w:cs="Segoe UI"/>
                <w:color w:val="000000" w:themeColor="text1"/>
                <w:sz w:val="22"/>
              </w:rPr>
              <w:t>3rd stage maintenance</w:t>
            </w:r>
          </w:p>
        </w:tc>
        <w:tc>
          <w:tcPr>
            <w:tcW w:w="2120" w:type="dxa"/>
            <w:tcBorders>
              <w:top w:val="nil"/>
              <w:left w:val="nil"/>
              <w:bottom w:val="single" w:sz="8" w:space="0" w:color="auto"/>
              <w:right w:val="single" w:sz="8" w:space="0" w:color="auto"/>
            </w:tcBorders>
            <w:shd w:val="clear" w:color="auto" w:fill="auto"/>
            <w:noWrap/>
            <w:vAlign w:val="center"/>
            <w:hideMark/>
          </w:tcPr>
          <w:p w14:paraId="606518E2" w14:textId="44886FFF" w:rsidR="0061637C" w:rsidRPr="007F7D60" w:rsidRDefault="0061637C" w:rsidP="0061637C">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$7,700</w:t>
            </w:r>
          </w:p>
        </w:tc>
        <w:tc>
          <w:tcPr>
            <w:tcW w:w="2620" w:type="dxa"/>
            <w:tcBorders>
              <w:top w:val="nil"/>
              <w:left w:val="nil"/>
              <w:bottom w:val="single" w:sz="8" w:space="0" w:color="auto"/>
              <w:right w:val="single" w:sz="8" w:space="0" w:color="auto"/>
            </w:tcBorders>
            <w:shd w:val="clear" w:color="auto" w:fill="auto"/>
            <w:noWrap/>
            <w:vAlign w:val="center"/>
            <w:hideMark/>
          </w:tcPr>
          <w:p w14:paraId="21789110" w14:textId="2067A086" w:rsidR="0061637C" w:rsidRPr="00B64020" w:rsidRDefault="0061637C" w:rsidP="0061637C">
            <w:pPr>
              <w:spacing w:line="240" w:lineRule="auto"/>
              <w:jc w:val="right"/>
              <w:rPr>
                <w:rFonts w:ascii="Segoe UI" w:eastAsia="Times New Roman" w:hAnsi="Segoe UI" w:cs="Segoe UI"/>
                <w:color w:val="000000"/>
                <w:sz w:val="22"/>
              </w:rPr>
            </w:pPr>
            <w:r w:rsidRPr="00B64020">
              <w:rPr>
                <w:rFonts w:ascii="Segoe UI" w:hAnsi="Segoe UI" w:cs="Segoe UI"/>
                <w:sz w:val="22"/>
              </w:rPr>
              <w:t>$6,815</w:t>
            </w:r>
          </w:p>
        </w:tc>
      </w:tr>
      <w:tr w:rsidR="0061637C" w:rsidRPr="007F7D60" w14:paraId="136E17C5" w14:textId="77777777" w:rsidTr="00B64020">
        <w:trPr>
          <w:trHeight w:val="324"/>
          <w:jc w:val="center"/>
        </w:trPr>
        <w:tc>
          <w:tcPr>
            <w:tcW w:w="2605" w:type="dxa"/>
            <w:tcBorders>
              <w:top w:val="nil"/>
              <w:left w:val="single" w:sz="4" w:space="0" w:color="auto"/>
              <w:bottom w:val="single" w:sz="4" w:space="0" w:color="auto"/>
              <w:right w:val="single" w:sz="4" w:space="0" w:color="auto"/>
            </w:tcBorders>
            <w:shd w:val="clear" w:color="auto" w:fill="D9D9D6"/>
            <w:noWrap/>
            <w:vAlign w:val="center"/>
            <w:hideMark/>
          </w:tcPr>
          <w:p w14:paraId="276B31C5" w14:textId="755067BA" w:rsidR="0061637C" w:rsidRPr="007F7D60" w:rsidRDefault="0061637C" w:rsidP="0061637C">
            <w:pPr>
              <w:spacing w:line="240" w:lineRule="auto"/>
              <w:jc w:val="right"/>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Back-end fees</w:t>
            </w:r>
          </w:p>
        </w:tc>
        <w:tc>
          <w:tcPr>
            <w:tcW w:w="2120" w:type="dxa"/>
            <w:tcBorders>
              <w:top w:val="nil"/>
              <w:left w:val="nil"/>
              <w:bottom w:val="single" w:sz="8" w:space="0" w:color="auto"/>
              <w:right w:val="single" w:sz="8" w:space="0" w:color="auto"/>
            </w:tcBorders>
            <w:shd w:val="clear" w:color="auto" w:fill="D9D9D6"/>
            <w:noWrap/>
            <w:vAlign w:val="center"/>
            <w:hideMark/>
          </w:tcPr>
          <w:p w14:paraId="56612CEE" w14:textId="6C09C663" w:rsidR="0061637C" w:rsidRPr="007F7D60" w:rsidRDefault="0061637C" w:rsidP="0061637C">
            <w:pPr>
              <w:spacing w:line="240" w:lineRule="auto"/>
              <w:jc w:val="right"/>
              <w:rPr>
                <w:rFonts w:ascii="Segoe UI" w:eastAsia="Times New Roman" w:hAnsi="Segoe UI" w:cs="Segoe UI"/>
                <w:b/>
                <w:bCs/>
                <w:color w:val="000000"/>
                <w:szCs w:val="24"/>
              </w:rPr>
            </w:pPr>
            <w:r w:rsidRPr="17CECF10">
              <w:rPr>
                <w:rFonts w:ascii="Segoe UI" w:hAnsi="Segoe UI" w:cs="Segoe UI"/>
                <w:b/>
                <w:bCs/>
                <w:color w:val="000000" w:themeColor="text1"/>
                <w:sz w:val="22"/>
              </w:rPr>
              <w:t>$14,660</w:t>
            </w:r>
          </w:p>
        </w:tc>
        <w:tc>
          <w:tcPr>
            <w:tcW w:w="2620" w:type="dxa"/>
            <w:tcBorders>
              <w:top w:val="nil"/>
              <w:left w:val="nil"/>
              <w:bottom w:val="single" w:sz="8" w:space="0" w:color="auto"/>
              <w:right w:val="single" w:sz="8" w:space="0" w:color="auto"/>
            </w:tcBorders>
            <w:shd w:val="clear" w:color="auto" w:fill="D9D9D6"/>
            <w:noWrap/>
            <w:vAlign w:val="center"/>
            <w:hideMark/>
          </w:tcPr>
          <w:p w14:paraId="6905828C" w14:textId="4285EBC1" w:rsidR="0061637C" w:rsidRPr="00B64020" w:rsidRDefault="0061637C" w:rsidP="0061637C">
            <w:pPr>
              <w:spacing w:line="240" w:lineRule="auto"/>
              <w:jc w:val="right"/>
              <w:rPr>
                <w:rFonts w:ascii="Segoe UI" w:eastAsia="Times New Roman" w:hAnsi="Segoe UI" w:cs="Segoe UI"/>
                <w:b/>
                <w:bCs/>
                <w:color w:val="000000"/>
                <w:sz w:val="22"/>
              </w:rPr>
            </w:pPr>
            <w:r w:rsidRPr="00B64020">
              <w:rPr>
                <w:rFonts w:ascii="Segoe UI" w:hAnsi="Segoe UI" w:cs="Segoe UI"/>
                <w:b/>
                <w:bCs/>
                <w:sz w:val="22"/>
              </w:rPr>
              <w:t>$12,490</w:t>
            </w:r>
          </w:p>
        </w:tc>
      </w:tr>
      <w:tr w:rsidR="0061637C" w:rsidRPr="007F7D60" w14:paraId="5EFE2B18" w14:textId="77777777" w:rsidTr="00B64020">
        <w:trPr>
          <w:trHeight w:val="324"/>
          <w:jc w:val="center"/>
        </w:trPr>
        <w:tc>
          <w:tcPr>
            <w:tcW w:w="2605" w:type="dxa"/>
            <w:tcBorders>
              <w:top w:val="nil"/>
              <w:left w:val="single" w:sz="4" w:space="0" w:color="auto"/>
              <w:bottom w:val="single" w:sz="4" w:space="0" w:color="auto"/>
              <w:right w:val="single" w:sz="4" w:space="0" w:color="auto"/>
            </w:tcBorders>
            <w:shd w:val="clear" w:color="auto" w:fill="A7A8AA"/>
            <w:noWrap/>
            <w:vAlign w:val="center"/>
            <w:hideMark/>
          </w:tcPr>
          <w:p w14:paraId="01928B0E" w14:textId="58AA512F" w:rsidR="0061637C" w:rsidRPr="007F7D60" w:rsidRDefault="0061637C" w:rsidP="0061637C">
            <w:pPr>
              <w:spacing w:line="240" w:lineRule="auto"/>
              <w:jc w:val="right"/>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Total fees</w:t>
            </w:r>
          </w:p>
        </w:tc>
        <w:tc>
          <w:tcPr>
            <w:tcW w:w="2120" w:type="dxa"/>
            <w:tcBorders>
              <w:top w:val="nil"/>
              <w:left w:val="nil"/>
              <w:bottom w:val="single" w:sz="8" w:space="0" w:color="auto"/>
              <w:right w:val="single" w:sz="8" w:space="0" w:color="auto"/>
            </w:tcBorders>
            <w:shd w:val="clear" w:color="auto" w:fill="A7A8AA"/>
            <w:noWrap/>
            <w:vAlign w:val="center"/>
            <w:hideMark/>
          </w:tcPr>
          <w:p w14:paraId="6DED4B2F" w14:textId="56172DAF" w:rsidR="0061637C" w:rsidRPr="007F7D60" w:rsidRDefault="0061637C" w:rsidP="0061637C">
            <w:pPr>
              <w:spacing w:line="240" w:lineRule="auto"/>
              <w:jc w:val="right"/>
              <w:rPr>
                <w:rFonts w:ascii="Segoe UI" w:eastAsia="Times New Roman" w:hAnsi="Segoe UI" w:cs="Segoe UI"/>
                <w:b/>
                <w:bCs/>
                <w:color w:val="000000"/>
                <w:szCs w:val="24"/>
              </w:rPr>
            </w:pPr>
            <w:r w:rsidRPr="17CECF10">
              <w:rPr>
                <w:rFonts w:ascii="Segoe UI" w:hAnsi="Segoe UI" w:cs="Segoe UI"/>
                <w:b/>
                <w:bCs/>
                <w:color w:val="000000" w:themeColor="text1"/>
                <w:sz w:val="22"/>
              </w:rPr>
              <w:t>$17,840</w:t>
            </w:r>
          </w:p>
        </w:tc>
        <w:tc>
          <w:tcPr>
            <w:tcW w:w="2620" w:type="dxa"/>
            <w:tcBorders>
              <w:top w:val="nil"/>
              <w:left w:val="nil"/>
              <w:bottom w:val="single" w:sz="8" w:space="0" w:color="auto"/>
              <w:right w:val="single" w:sz="8" w:space="0" w:color="auto"/>
            </w:tcBorders>
            <w:shd w:val="clear" w:color="auto" w:fill="A7A8AA"/>
            <w:noWrap/>
            <w:vAlign w:val="center"/>
            <w:hideMark/>
          </w:tcPr>
          <w:p w14:paraId="436A45A2" w14:textId="26B211FF" w:rsidR="0061637C" w:rsidRPr="00B64020" w:rsidRDefault="0061637C" w:rsidP="0061637C">
            <w:pPr>
              <w:spacing w:line="240" w:lineRule="auto"/>
              <w:jc w:val="right"/>
              <w:rPr>
                <w:rFonts w:ascii="Segoe UI" w:eastAsia="Times New Roman" w:hAnsi="Segoe UI" w:cs="Segoe UI"/>
                <w:b/>
                <w:bCs/>
                <w:color w:val="000000"/>
                <w:sz w:val="22"/>
              </w:rPr>
            </w:pPr>
            <w:r w:rsidRPr="00B64020">
              <w:rPr>
                <w:rFonts w:ascii="Segoe UI" w:hAnsi="Segoe UI" w:cs="Segoe UI"/>
                <w:b/>
                <w:bCs/>
                <w:sz w:val="22"/>
              </w:rPr>
              <w:t>$21,330</w:t>
            </w:r>
          </w:p>
        </w:tc>
      </w:tr>
    </w:tbl>
    <w:p w14:paraId="57C8305A" w14:textId="77777777" w:rsidR="008B7B4F" w:rsidRPr="009008DD" w:rsidRDefault="008B7B4F" w:rsidP="17CECF10">
      <w:pPr>
        <w:pStyle w:val="ParagraphSpace"/>
        <w:spacing w:line="360" w:lineRule="auto"/>
        <w:rPr>
          <w:rFonts w:ascii="Segoe UI" w:hAnsi="Segoe UI" w:cs="Segoe UI"/>
          <w:szCs w:val="24"/>
        </w:rPr>
      </w:pPr>
    </w:p>
    <w:p w14:paraId="669DEA36" w14:textId="0BD00577" w:rsidR="00DE6A6A" w:rsidRPr="00CF6436" w:rsidRDefault="74D9C5DB" w:rsidP="17CECF10">
      <w:pPr>
        <w:pStyle w:val="ParagraphSpace"/>
        <w:spacing w:line="360" w:lineRule="auto"/>
        <w:ind w:firstLine="450"/>
        <w:rPr>
          <w:rFonts w:ascii="Segoe UI" w:hAnsi="Segoe UI" w:cs="Segoe UI"/>
          <w:szCs w:val="24"/>
        </w:rPr>
      </w:pPr>
      <w:r w:rsidRPr="17CECF10">
        <w:rPr>
          <w:rFonts w:ascii="Segoe UI" w:hAnsi="Segoe UI" w:cs="Segoe UI"/>
          <w:szCs w:val="24"/>
        </w:rPr>
        <w:t xml:space="preserve">The Unit Cost Recovery </w:t>
      </w:r>
      <w:r w:rsidR="57440B9A" w:rsidRPr="17CECF10">
        <w:rPr>
          <w:rFonts w:ascii="Segoe UI" w:hAnsi="Segoe UI" w:cs="Segoe UI"/>
          <w:szCs w:val="24"/>
        </w:rPr>
        <w:t xml:space="preserve">alternative </w:t>
      </w:r>
      <w:r w:rsidR="6E536D0C" w:rsidRPr="17CECF10">
        <w:rPr>
          <w:rFonts w:ascii="Segoe UI" w:hAnsi="Segoe UI" w:cs="Segoe UI"/>
          <w:szCs w:val="24"/>
        </w:rPr>
        <w:t>would</w:t>
      </w:r>
      <w:r w:rsidR="4F606EEB" w:rsidRPr="17CECF10">
        <w:rPr>
          <w:rFonts w:ascii="Segoe UI" w:hAnsi="Segoe UI" w:cs="Segoe UI"/>
          <w:szCs w:val="24"/>
        </w:rPr>
        <w:t xml:space="preserve"> present</w:t>
      </w:r>
      <w:r w:rsidR="57440B9A" w:rsidRPr="17CECF10">
        <w:rPr>
          <w:rFonts w:ascii="Segoe UI" w:hAnsi="Segoe UI" w:cs="Segoe UI"/>
          <w:szCs w:val="24"/>
        </w:rPr>
        <w:t xml:space="preserve"> significant barriers to</w:t>
      </w:r>
      <w:r w:rsidR="02D1D7D1" w:rsidRPr="17CECF10">
        <w:rPr>
          <w:rFonts w:ascii="Segoe UI" w:hAnsi="Segoe UI" w:cs="Segoe UI"/>
          <w:szCs w:val="24"/>
        </w:rPr>
        <w:t xml:space="preserve"> stakeholders </w:t>
      </w:r>
      <w:r w:rsidR="57440B9A" w:rsidRPr="17CECF10">
        <w:rPr>
          <w:rFonts w:ascii="Segoe UI" w:hAnsi="Segoe UI" w:cs="Segoe UI"/>
          <w:szCs w:val="24"/>
        </w:rPr>
        <w:t xml:space="preserve">seeking patent protection because </w:t>
      </w:r>
      <w:r w:rsidR="0B945779" w:rsidRPr="17CECF10">
        <w:rPr>
          <w:rFonts w:ascii="Segoe UI" w:hAnsi="Segoe UI" w:cs="Segoe UI"/>
          <w:szCs w:val="24"/>
        </w:rPr>
        <w:t>it w</w:t>
      </w:r>
      <w:r w:rsidR="38CBF150" w:rsidRPr="17CECF10">
        <w:rPr>
          <w:rFonts w:ascii="Segoe UI" w:hAnsi="Segoe UI" w:cs="Segoe UI"/>
          <w:szCs w:val="24"/>
        </w:rPr>
        <w:t>ould</w:t>
      </w:r>
      <w:r w:rsidR="5B3E942F" w:rsidRPr="17CECF10">
        <w:rPr>
          <w:rFonts w:ascii="Segoe UI" w:hAnsi="Segoe UI" w:cs="Segoe UI"/>
          <w:szCs w:val="24"/>
        </w:rPr>
        <w:t xml:space="preserve"> significantly increase</w:t>
      </w:r>
      <w:r w:rsidR="4479A7A8" w:rsidRPr="17CECF10">
        <w:rPr>
          <w:rFonts w:ascii="Segoe UI" w:hAnsi="Segoe UI" w:cs="Segoe UI"/>
          <w:szCs w:val="24"/>
        </w:rPr>
        <w:t xml:space="preserve"> </w:t>
      </w:r>
      <w:r w:rsidR="57440B9A" w:rsidRPr="17CECF10">
        <w:rPr>
          <w:rFonts w:ascii="Segoe UI" w:hAnsi="Segoe UI" w:cs="Segoe UI"/>
          <w:szCs w:val="24"/>
        </w:rPr>
        <w:t>front-end fees for all applicants, even with small and micro entity fee reductions.</w:t>
      </w:r>
      <w:r w:rsidR="2171104A" w:rsidRPr="17CECF10">
        <w:rPr>
          <w:rFonts w:ascii="Segoe UI" w:hAnsi="Segoe UI" w:cs="Segoe UI"/>
          <w:szCs w:val="24"/>
        </w:rPr>
        <w:t xml:space="preserve"> </w:t>
      </w:r>
      <w:r w:rsidR="57440B9A" w:rsidRPr="17CECF10">
        <w:rPr>
          <w:rFonts w:ascii="Segoe UI" w:hAnsi="Segoe UI" w:cs="Segoe UI"/>
          <w:szCs w:val="24"/>
        </w:rPr>
        <w:t xml:space="preserve">Further, this alternative is counter to </w:t>
      </w:r>
      <w:r w:rsidR="5EE3A7E0" w:rsidRPr="17CECF10">
        <w:rPr>
          <w:rFonts w:ascii="Segoe UI" w:hAnsi="Segoe UI" w:cs="Segoe UI"/>
          <w:szCs w:val="24"/>
        </w:rPr>
        <w:t xml:space="preserve">the </w:t>
      </w:r>
      <w:r w:rsidR="65B1BE83" w:rsidRPr="17CECF10">
        <w:rPr>
          <w:rFonts w:ascii="Segoe UI" w:hAnsi="Segoe UI" w:cs="Segoe UI"/>
          <w:szCs w:val="24"/>
        </w:rPr>
        <w:t xml:space="preserve">USPTO’s </w:t>
      </w:r>
      <w:r w:rsidR="5EE3A7E0" w:rsidRPr="17CECF10">
        <w:rPr>
          <w:rFonts w:ascii="Segoe UI" w:hAnsi="Segoe UI" w:cs="Segoe UI"/>
          <w:szCs w:val="24"/>
        </w:rPr>
        <w:t>longstanding</w:t>
      </w:r>
      <w:r w:rsidR="57440B9A" w:rsidRPr="17CECF10">
        <w:rPr>
          <w:rFonts w:ascii="Segoe UI" w:hAnsi="Segoe UI" w:cs="Segoe UI"/>
          <w:szCs w:val="24"/>
        </w:rPr>
        <w:t xml:space="preserve"> philosophy </w:t>
      </w:r>
      <w:r w:rsidR="680B60F2" w:rsidRPr="17CECF10">
        <w:rPr>
          <w:rFonts w:ascii="Segoe UI" w:hAnsi="Segoe UI" w:cs="Segoe UI"/>
          <w:szCs w:val="24"/>
        </w:rPr>
        <w:t xml:space="preserve">of </w:t>
      </w:r>
      <w:r w:rsidR="57440B9A" w:rsidRPr="17CECF10">
        <w:rPr>
          <w:rFonts w:ascii="Segoe UI" w:hAnsi="Segoe UI" w:cs="Segoe UI"/>
          <w:szCs w:val="24"/>
        </w:rPr>
        <w:t>charg</w:t>
      </w:r>
      <w:r w:rsidR="680B60F2" w:rsidRPr="17CECF10">
        <w:rPr>
          <w:rFonts w:ascii="Segoe UI" w:hAnsi="Segoe UI" w:cs="Segoe UI"/>
          <w:szCs w:val="24"/>
        </w:rPr>
        <w:t>ing</w:t>
      </w:r>
      <w:r w:rsidR="57440B9A" w:rsidRPr="17CECF10">
        <w:rPr>
          <w:rFonts w:ascii="Segoe UI" w:hAnsi="Segoe UI" w:cs="Segoe UI"/>
          <w:szCs w:val="24"/>
        </w:rPr>
        <w:t xml:space="preserve"> applicants </w:t>
      </w:r>
      <w:r w:rsidR="0E1C0702" w:rsidRPr="17CECF10">
        <w:rPr>
          <w:rFonts w:ascii="Segoe UI" w:hAnsi="Segoe UI" w:cs="Segoe UI"/>
          <w:szCs w:val="24"/>
        </w:rPr>
        <w:t xml:space="preserve">and </w:t>
      </w:r>
      <w:r w:rsidR="65B1BE83" w:rsidRPr="17CECF10">
        <w:rPr>
          <w:rFonts w:ascii="Segoe UI" w:hAnsi="Segoe UI" w:cs="Segoe UI"/>
          <w:szCs w:val="24"/>
        </w:rPr>
        <w:t xml:space="preserve">patent </w:t>
      </w:r>
      <w:r w:rsidR="0E1C0702" w:rsidRPr="17CECF10">
        <w:rPr>
          <w:rFonts w:ascii="Segoe UI" w:hAnsi="Segoe UI" w:cs="Segoe UI"/>
          <w:szCs w:val="24"/>
        </w:rPr>
        <w:t xml:space="preserve">holders </w:t>
      </w:r>
      <w:r w:rsidR="4F606EEB" w:rsidRPr="17CECF10">
        <w:rPr>
          <w:rFonts w:ascii="Segoe UI" w:hAnsi="Segoe UI" w:cs="Segoe UI"/>
          <w:szCs w:val="24"/>
        </w:rPr>
        <w:t>lower</w:t>
      </w:r>
      <w:r w:rsidR="57440B9A" w:rsidRPr="17CECF10">
        <w:rPr>
          <w:rFonts w:ascii="Segoe UI" w:hAnsi="Segoe UI" w:cs="Segoe UI"/>
          <w:szCs w:val="24"/>
        </w:rPr>
        <w:t xml:space="preserve"> fees </w:t>
      </w:r>
      <w:r w:rsidR="4F1C08FB" w:rsidRPr="17CECF10">
        <w:rPr>
          <w:rFonts w:ascii="Segoe UI" w:hAnsi="Segoe UI" w:cs="Segoe UI"/>
          <w:szCs w:val="24"/>
        </w:rPr>
        <w:t xml:space="preserve">during </w:t>
      </w:r>
      <w:r w:rsidR="3A51B6F0" w:rsidRPr="17CECF10">
        <w:rPr>
          <w:rFonts w:ascii="Segoe UI" w:hAnsi="Segoe UI" w:cs="Segoe UI"/>
          <w:szCs w:val="24"/>
        </w:rPr>
        <w:t xml:space="preserve">the initial application stages, </w:t>
      </w:r>
      <w:r w:rsidR="57440B9A" w:rsidRPr="17CECF10">
        <w:rPr>
          <w:rFonts w:ascii="Segoe UI" w:hAnsi="Segoe UI" w:cs="Segoe UI"/>
          <w:szCs w:val="24"/>
        </w:rPr>
        <w:t xml:space="preserve">when they have </w:t>
      </w:r>
      <w:r w:rsidR="4F606EEB" w:rsidRPr="17CECF10">
        <w:rPr>
          <w:rFonts w:ascii="Segoe UI" w:hAnsi="Segoe UI" w:cs="Segoe UI"/>
          <w:szCs w:val="24"/>
        </w:rPr>
        <w:t>less</w:t>
      </w:r>
      <w:r w:rsidR="57440B9A" w:rsidRPr="17CECF10">
        <w:rPr>
          <w:rFonts w:ascii="Segoe UI" w:hAnsi="Segoe UI" w:cs="Segoe UI"/>
          <w:szCs w:val="24"/>
        </w:rPr>
        <w:t xml:space="preserve"> information about the relative value of their innovation</w:t>
      </w:r>
      <w:r w:rsidR="65B1BE83" w:rsidRPr="17CECF10">
        <w:rPr>
          <w:rFonts w:ascii="Segoe UI" w:hAnsi="Segoe UI" w:cs="Segoe UI"/>
          <w:szCs w:val="24"/>
        </w:rPr>
        <w:t>s</w:t>
      </w:r>
      <w:r w:rsidR="57440B9A" w:rsidRPr="17CECF10">
        <w:rPr>
          <w:rFonts w:ascii="Segoe UI" w:hAnsi="Segoe UI" w:cs="Segoe UI"/>
          <w:szCs w:val="24"/>
        </w:rPr>
        <w:t>.</w:t>
      </w:r>
      <w:r w:rsidR="2171104A" w:rsidRPr="17CECF10">
        <w:rPr>
          <w:rFonts w:ascii="Segoe UI" w:hAnsi="Segoe UI" w:cs="Segoe UI"/>
          <w:szCs w:val="24"/>
        </w:rPr>
        <w:t xml:space="preserve"> </w:t>
      </w:r>
      <w:r w:rsidR="3A51B6F0" w:rsidRPr="17CECF10">
        <w:rPr>
          <w:rFonts w:ascii="Segoe UI" w:hAnsi="Segoe UI" w:cs="Segoe UI"/>
          <w:szCs w:val="24"/>
        </w:rPr>
        <w:t>L</w:t>
      </w:r>
      <w:r w:rsidR="57440B9A" w:rsidRPr="17CECF10">
        <w:rPr>
          <w:rFonts w:ascii="Segoe UI" w:hAnsi="Segoe UI" w:cs="Segoe UI"/>
          <w:szCs w:val="24"/>
        </w:rPr>
        <w:t xml:space="preserve">ower front-end fees serve to encourage innovation, even </w:t>
      </w:r>
      <w:r w:rsidR="3A51B6F0" w:rsidRPr="17CECF10">
        <w:rPr>
          <w:rFonts w:ascii="Segoe UI" w:hAnsi="Segoe UI" w:cs="Segoe UI"/>
          <w:szCs w:val="24"/>
        </w:rPr>
        <w:t xml:space="preserve">as </w:t>
      </w:r>
      <w:r w:rsidR="57440B9A" w:rsidRPr="17CECF10">
        <w:rPr>
          <w:rFonts w:ascii="Segoe UI" w:hAnsi="Segoe UI" w:cs="Segoe UI"/>
          <w:szCs w:val="24"/>
        </w:rPr>
        <w:t xml:space="preserve">front-end services are more costly to the </w:t>
      </w:r>
      <w:r w:rsidR="5EE3A7E0" w:rsidRPr="17CECF10">
        <w:rPr>
          <w:rFonts w:ascii="Segoe UI" w:hAnsi="Segoe UI" w:cs="Segoe UI"/>
          <w:szCs w:val="24"/>
        </w:rPr>
        <w:t>USPTO</w:t>
      </w:r>
      <w:r w:rsidR="57440B9A" w:rsidRPr="17CECF10">
        <w:rPr>
          <w:rFonts w:ascii="Segoe UI" w:hAnsi="Segoe UI" w:cs="Segoe UI"/>
          <w:szCs w:val="24"/>
        </w:rPr>
        <w:t>.</w:t>
      </w:r>
      <w:r w:rsidR="2171104A" w:rsidRPr="17CECF10">
        <w:rPr>
          <w:rFonts w:ascii="Segoe UI" w:hAnsi="Segoe UI" w:cs="Segoe UI"/>
          <w:szCs w:val="24"/>
        </w:rPr>
        <w:t xml:space="preserve"> </w:t>
      </w:r>
      <w:r w:rsidR="57440B9A" w:rsidRPr="17CECF10">
        <w:rPr>
          <w:rFonts w:ascii="Segoe UI" w:hAnsi="Segoe UI" w:cs="Segoe UI"/>
          <w:szCs w:val="24"/>
        </w:rPr>
        <w:t>At the back</w:t>
      </w:r>
      <w:r w:rsidR="1086FF56" w:rsidRPr="17CECF10">
        <w:rPr>
          <w:rFonts w:ascii="Segoe UI" w:hAnsi="Segoe UI" w:cs="Segoe UI"/>
          <w:szCs w:val="24"/>
        </w:rPr>
        <w:t xml:space="preserve"> </w:t>
      </w:r>
      <w:r w:rsidR="57440B9A" w:rsidRPr="17CECF10">
        <w:rPr>
          <w:rFonts w:ascii="Segoe UI" w:hAnsi="Segoe UI" w:cs="Segoe UI"/>
          <w:szCs w:val="24"/>
        </w:rPr>
        <w:t xml:space="preserve">end, applicants know more </w:t>
      </w:r>
      <w:r w:rsidR="3A51B6F0" w:rsidRPr="17CECF10">
        <w:rPr>
          <w:rFonts w:ascii="Segoe UI" w:hAnsi="Segoe UI" w:cs="Segoe UI"/>
          <w:szCs w:val="24"/>
        </w:rPr>
        <w:t xml:space="preserve">about </w:t>
      </w:r>
      <w:r w:rsidR="57440B9A" w:rsidRPr="17CECF10">
        <w:rPr>
          <w:rFonts w:ascii="Segoe UI" w:hAnsi="Segoe UI" w:cs="Segoe UI"/>
          <w:szCs w:val="24"/>
        </w:rPr>
        <w:t>the commercial value of their innovation</w:t>
      </w:r>
      <w:r w:rsidR="3A51B6F0" w:rsidRPr="17CECF10">
        <w:rPr>
          <w:rFonts w:ascii="Segoe UI" w:hAnsi="Segoe UI" w:cs="Segoe UI"/>
          <w:szCs w:val="24"/>
        </w:rPr>
        <w:t>s</w:t>
      </w:r>
      <w:r w:rsidR="57440B9A" w:rsidRPr="17CECF10">
        <w:rPr>
          <w:rFonts w:ascii="Segoe UI" w:hAnsi="Segoe UI" w:cs="Segoe UI"/>
          <w:szCs w:val="24"/>
        </w:rPr>
        <w:t xml:space="preserve"> and can make </w:t>
      </w:r>
      <w:r w:rsidR="0CAD82A3" w:rsidRPr="17CECF10">
        <w:rPr>
          <w:rFonts w:ascii="Segoe UI" w:hAnsi="Segoe UI" w:cs="Segoe UI"/>
          <w:szCs w:val="24"/>
        </w:rPr>
        <w:t>better</w:t>
      </w:r>
      <w:r w:rsidR="57440B9A" w:rsidRPr="17CECF10">
        <w:rPr>
          <w:rFonts w:ascii="Segoe UI" w:hAnsi="Segoe UI" w:cs="Segoe UI"/>
          <w:szCs w:val="24"/>
        </w:rPr>
        <w:t xml:space="preserve"> informed decisions rega</w:t>
      </w:r>
      <w:r w:rsidR="55F068F7" w:rsidRPr="17CECF10">
        <w:rPr>
          <w:rFonts w:ascii="Segoe UI" w:hAnsi="Segoe UI" w:cs="Segoe UI"/>
          <w:szCs w:val="24"/>
        </w:rPr>
        <w:t>rding maintenance fee payments.</w:t>
      </w:r>
    </w:p>
    <w:p w14:paraId="3A626415" w14:textId="6F6898BA" w:rsidR="0039519C" w:rsidRPr="007E342E" w:rsidRDefault="57440B9A" w:rsidP="17CECF10">
      <w:pPr>
        <w:spacing w:line="360" w:lineRule="auto"/>
        <w:ind w:firstLine="450"/>
        <w:rPr>
          <w:rFonts w:ascii="Segoe UI" w:hAnsi="Segoe UI" w:cs="Segoe UI"/>
          <w:szCs w:val="24"/>
        </w:rPr>
      </w:pPr>
      <w:r w:rsidRPr="17CECF10">
        <w:rPr>
          <w:rFonts w:ascii="Segoe UI" w:hAnsi="Segoe UI" w:cs="Segoe UI"/>
          <w:szCs w:val="24"/>
        </w:rPr>
        <w:t xml:space="preserve">Setting fees at cost recovery is a common practice in the </w:t>
      </w:r>
      <w:r w:rsidR="408E9458" w:rsidRPr="17CECF10">
        <w:rPr>
          <w:rFonts w:ascii="Segoe UI" w:hAnsi="Segoe UI" w:cs="Segoe UI"/>
          <w:szCs w:val="24"/>
        </w:rPr>
        <w:t>f</w:t>
      </w:r>
      <w:r w:rsidRPr="17CECF10">
        <w:rPr>
          <w:rFonts w:ascii="Segoe UI" w:hAnsi="Segoe UI" w:cs="Segoe UI"/>
          <w:szCs w:val="24"/>
        </w:rPr>
        <w:t xml:space="preserve">ederal </w:t>
      </w:r>
      <w:r w:rsidR="408E9458" w:rsidRPr="17CECF10">
        <w:rPr>
          <w:rFonts w:ascii="Segoe UI" w:hAnsi="Segoe UI" w:cs="Segoe UI"/>
          <w:szCs w:val="24"/>
        </w:rPr>
        <w:t>g</w:t>
      </w:r>
      <w:r w:rsidRPr="17CECF10">
        <w:rPr>
          <w:rFonts w:ascii="Segoe UI" w:hAnsi="Segoe UI" w:cs="Segoe UI"/>
          <w:szCs w:val="24"/>
        </w:rPr>
        <w:t>overnment</w:t>
      </w:r>
      <w:r w:rsidR="4A901D3F" w:rsidRPr="17CECF10">
        <w:rPr>
          <w:rFonts w:ascii="Segoe UI" w:hAnsi="Segoe UI" w:cs="Segoe UI"/>
          <w:szCs w:val="24"/>
        </w:rPr>
        <w:t>;</w:t>
      </w:r>
      <w:r w:rsidR="2171104A" w:rsidRPr="17CECF10">
        <w:rPr>
          <w:rFonts w:ascii="Segoe UI" w:hAnsi="Segoe UI" w:cs="Segoe UI"/>
          <w:szCs w:val="24"/>
        </w:rPr>
        <w:t xml:space="preserve"> </w:t>
      </w:r>
      <w:r w:rsidRPr="17CECF10">
        <w:rPr>
          <w:rFonts w:ascii="Segoe UI" w:hAnsi="Segoe UI" w:cs="Segoe UI"/>
          <w:szCs w:val="24"/>
        </w:rPr>
        <w:t xml:space="preserve">OMB </w:t>
      </w:r>
      <w:hyperlink r:id="rId37">
        <w:r w:rsidR="077D44A9" w:rsidRPr="17CECF10">
          <w:rPr>
            <w:rStyle w:val="Hyperlink"/>
            <w:rFonts w:ascii="Segoe UI" w:hAnsi="Segoe UI" w:cs="Segoe UI"/>
            <w:szCs w:val="24"/>
          </w:rPr>
          <w:t>Circular A-25, User Charges</w:t>
        </w:r>
      </w:hyperlink>
      <w:r w:rsidR="0C921976" w:rsidRPr="17CECF10">
        <w:rPr>
          <w:rFonts w:ascii="Segoe UI" w:hAnsi="Segoe UI" w:cs="Segoe UI"/>
          <w:szCs w:val="24"/>
        </w:rPr>
        <w:t xml:space="preserve"> </w:t>
      </w:r>
      <w:r w:rsidRPr="17CECF10">
        <w:rPr>
          <w:rFonts w:ascii="Segoe UI" w:hAnsi="Segoe UI" w:cs="Segoe UI"/>
          <w:szCs w:val="24"/>
        </w:rPr>
        <w:t>provides guidance stating that user charges (fees) should be sufficient to recover the full cost</w:t>
      </w:r>
      <w:r w:rsidR="4A901D3F" w:rsidRPr="17CECF10">
        <w:rPr>
          <w:rFonts w:ascii="Segoe UI" w:hAnsi="Segoe UI" w:cs="Segoe UI"/>
          <w:szCs w:val="24"/>
        </w:rPr>
        <w:t>s</w:t>
      </w:r>
      <w:r w:rsidR="3B3695D5" w:rsidRPr="17CECF10">
        <w:rPr>
          <w:rFonts w:ascii="Segoe UI" w:hAnsi="Segoe UI" w:cs="Segoe UI"/>
          <w:szCs w:val="24"/>
        </w:rPr>
        <w:t xml:space="preserve"> </w:t>
      </w:r>
      <w:r w:rsidRPr="17CECF10">
        <w:rPr>
          <w:rFonts w:ascii="Segoe UI" w:hAnsi="Segoe UI" w:cs="Segoe UI"/>
          <w:szCs w:val="24"/>
        </w:rPr>
        <w:t xml:space="preserve">of providing </w:t>
      </w:r>
      <w:r w:rsidR="4A901D3F" w:rsidRPr="17CECF10">
        <w:rPr>
          <w:rFonts w:ascii="Segoe UI" w:hAnsi="Segoe UI" w:cs="Segoe UI"/>
          <w:szCs w:val="24"/>
        </w:rPr>
        <w:t>a</w:t>
      </w:r>
      <w:r w:rsidRPr="17CECF10">
        <w:rPr>
          <w:rFonts w:ascii="Segoe UI" w:hAnsi="Segoe UI" w:cs="Segoe UI"/>
          <w:szCs w:val="24"/>
        </w:rPr>
        <w:t xml:space="preserve"> service, resource, or good when the </w:t>
      </w:r>
      <w:r w:rsidR="1C4A76D8" w:rsidRPr="17CECF10">
        <w:rPr>
          <w:rFonts w:ascii="Segoe UI" w:hAnsi="Segoe UI" w:cs="Segoe UI"/>
          <w:szCs w:val="24"/>
        </w:rPr>
        <w:t>g</w:t>
      </w:r>
      <w:r w:rsidRPr="17CECF10">
        <w:rPr>
          <w:rFonts w:ascii="Segoe UI" w:hAnsi="Segoe UI" w:cs="Segoe UI"/>
          <w:szCs w:val="24"/>
        </w:rPr>
        <w:t>overnment is acting in its capacity as sovereign.</w:t>
      </w:r>
      <w:r w:rsidR="2171104A" w:rsidRPr="17CECF10">
        <w:rPr>
          <w:rFonts w:ascii="Segoe UI" w:hAnsi="Segoe UI" w:cs="Segoe UI"/>
          <w:szCs w:val="24"/>
        </w:rPr>
        <w:t xml:space="preserve"> </w:t>
      </w:r>
      <w:r w:rsidR="4A901D3F" w:rsidRPr="17CECF10">
        <w:rPr>
          <w:rFonts w:ascii="Segoe UI" w:hAnsi="Segoe UI" w:cs="Segoe UI"/>
          <w:szCs w:val="24"/>
        </w:rPr>
        <w:t>T</w:t>
      </w:r>
      <w:r w:rsidRPr="17CECF10">
        <w:rPr>
          <w:rFonts w:ascii="Segoe UI" w:hAnsi="Segoe UI" w:cs="Segoe UI"/>
          <w:szCs w:val="24"/>
        </w:rPr>
        <w:t xml:space="preserve">here are several </w:t>
      </w:r>
      <w:r w:rsidRPr="17CECF10">
        <w:rPr>
          <w:rFonts w:ascii="Segoe UI" w:hAnsi="Segoe UI" w:cs="Segoe UI"/>
          <w:szCs w:val="24"/>
        </w:rPr>
        <w:lastRenderedPageBreak/>
        <w:t>complexities in achieving individual fee cost recovery for the patent fee schedule</w:t>
      </w:r>
      <w:r w:rsidR="4A901D3F" w:rsidRPr="17CECF10">
        <w:rPr>
          <w:rFonts w:ascii="Segoe UI" w:hAnsi="Segoe UI" w:cs="Segoe UI"/>
          <w:szCs w:val="24"/>
        </w:rPr>
        <w:t xml:space="preserve">, the </w:t>
      </w:r>
      <w:r w:rsidRPr="17CECF10">
        <w:rPr>
          <w:rFonts w:ascii="Segoe UI" w:hAnsi="Segoe UI" w:cs="Segoe UI"/>
          <w:szCs w:val="24"/>
        </w:rPr>
        <w:t xml:space="preserve">most significant </w:t>
      </w:r>
      <w:r w:rsidR="4A901D3F" w:rsidRPr="17CECF10">
        <w:rPr>
          <w:rFonts w:ascii="Segoe UI" w:hAnsi="Segoe UI" w:cs="Segoe UI"/>
          <w:szCs w:val="24"/>
        </w:rPr>
        <w:t xml:space="preserve">of which </w:t>
      </w:r>
      <w:r w:rsidRPr="17CECF10">
        <w:rPr>
          <w:rFonts w:ascii="Segoe UI" w:hAnsi="Segoe UI" w:cs="Segoe UI"/>
          <w:szCs w:val="24"/>
        </w:rPr>
        <w:t xml:space="preserve">is the </w:t>
      </w:r>
      <w:r w:rsidR="667C8CB2" w:rsidRPr="17CECF10">
        <w:rPr>
          <w:rFonts w:ascii="Segoe UI" w:hAnsi="Segoe UI" w:cs="Segoe UI"/>
          <w:szCs w:val="24"/>
        </w:rPr>
        <w:t xml:space="preserve">statutory </w:t>
      </w:r>
      <w:r w:rsidRPr="17CECF10">
        <w:rPr>
          <w:rFonts w:ascii="Segoe UI" w:hAnsi="Segoe UI" w:cs="Segoe UI"/>
          <w:szCs w:val="24"/>
        </w:rPr>
        <w:t xml:space="preserve">requirement to provide a </w:t>
      </w:r>
      <w:r w:rsidR="6A40B9D1" w:rsidRPr="17CECF10">
        <w:rPr>
          <w:rFonts w:ascii="Segoe UI" w:hAnsi="Segoe UI" w:cs="Segoe UI"/>
          <w:szCs w:val="24"/>
        </w:rPr>
        <w:t>6</w:t>
      </w:r>
      <w:r w:rsidRPr="17CECF10">
        <w:rPr>
          <w:rFonts w:ascii="Segoe UI" w:hAnsi="Segoe UI" w:cs="Segoe UI"/>
          <w:szCs w:val="24"/>
        </w:rPr>
        <w:t>0</w:t>
      </w:r>
      <w:r w:rsidR="32A4C52F" w:rsidRPr="17CECF10">
        <w:rPr>
          <w:rFonts w:ascii="Segoe UI" w:hAnsi="Segoe UI" w:cs="Segoe UI"/>
          <w:szCs w:val="24"/>
        </w:rPr>
        <w:t>%</w:t>
      </w:r>
      <w:r w:rsidRPr="17CECF10">
        <w:rPr>
          <w:rFonts w:ascii="Segoe UI" w:hAnsi="Segoe UI" w:cs="Segoe UI"/>
          <w:szCs w:val="24"/>
        </w:rPr>
        <w:t xml:space="preserve"> discount on fees to small entities and a</w:t>
      </w:r>
      <w:r w:rsidR="0ACB7279" w:rsidRPr="17CECF10">
        <w:rPr>
          <w:rFonts w:ascii="Segoe UI" w:hAnsi="Segoe UI" w:cs="Segoe UI"/>
          <w:szCs w:val="24"/>
        </w:rPr>
        <w:t>n</w:t>
      </w:r>
      <w:r w:rsidRPr="17CECF10">
        <w:rPr>
          <w:rFonts w:ascii="Segoe UI" w:hAnsi="Segoe UI" w:cs="Segoe UI"/>
          <w:szCs w:val="24"/>
        </w:rPr>
        <w:t xml:space="preserve"> </w:t>
      </w:r>
      <w:r w:rsidR="6A40B9D1" w:rsidRPr="17CECF10">
        <w:rPr>
          <w:rFonts w:ascii="Segoe UI" w:hAnsi="Segoe UI" w:cs="Segoe UI"/>
          <w:szCs w:val="24"/>
        </w:rPr>
        <w:t>80</w:t>
      </w:r>
      <w:r w:rsidR="32A4C52F" w:rsidRPr="17CECF10">
        <w:rPr>
          <w:rFonts w:ascii="Segoe UI" w:hAnsi="Segoe UI" w:cs="Segoe UI"/>
          <w:szCs w:val="24"/>
        </w:rPr>
        <w:t>%</w:t>
      </w:r>
      <w:r w:rsidRPr="17CECF10">
        <w:rPr>
          <w:rFonts w:ascii="Segoe UI" w:hAnsi="Segoe UI" w:cs="Segoe UI"/>
          <w:szCs w:val="24"/>
        </w:rPr>
        <w:t xml:space="preserve"> discount on fees to micro entities.</w:t>
      </w:r>
      <w:r w:rsidR="2171104A" w:rsidRPr="17CECF10">
        <w:rPr>
          <w:rFonts w:ascii="Segoe UI" w:hAnsi="Segoe UI" w:cs="Segoe UI"/>
          <w:szCs w:val="24"/>
        </w:rPr>
        <w:t xml:space="preserve"> </w:t>
      </w:r>
      <w:r w:rsidR="4A901D3F" w:rsidRPr="17CECF10">
        <w:rPr>
          <w:rFonts w:ascii="Segoe UI" w:hAnsi="Segoe UI" w:cs="Segoe UI"/>
          <w:szCs w:val="24"/>
        </w:rPr>
        <w:t>The USPTO considered s</w:t>
      </w:r>
      <w:r w:rsidRPr="17CECF10">
        <w:rPr>
          <w:rFonts w:ascii="Segoe UI" w:hAnsi="Segoe UI" w:cs="Segoe UI"/>
          <w:szCs w:val="24"/>
        </w:rPr>
        <w:t>everal options</w:t>
      </w:r>
      <w:r w:rsidR="4A901D3F" w:rsidRPr="17CECF10">
        <w:rPr>
          <w:rFonts w:ascii="Segoe UI" w:hAnsi="Segoe UI" w:cs="Segoe UI"/>
          <w:szCs w:val="24"/>
        </w:rPr>
        <w:t xml:space="preserve"> </w:t>
      </w:r>
      <w:r w:rsidR="5EE3A7E0" w:rsidRPr="17CECF10">
        <w:rPr>
          <w:rFonts w:ascii="Segoe UI" w:hAnsi="Segoe UI" w:cs="Segoe UI"/>
          <w:szCs w:val="24"/>
        </w:rPr>
        <w:t>wh</w:t>
      </w:r>
      <w:r w:rsidR="4A901D3F" w:rsidRPr="17CECF10">
        <w:rPr>
          <w:rFonts w:ascii="Segoe UI" w:hAnsi="Segoe UI" w:cs="Segoe UI"/>
          <w:szCs w:val="24"/>
        </w:rPr>
        <w:t>ile</w:t>
      </w:r>
      <w:r w:rsidRPr="17CECF10">
        <w:rPr>
          <w:rFonts w:ascii="Segoe UI" w:hAnsi="Segoe UI" w:cs="Segoe UI"/>
          <w:szCs w:val="24"/>
        </w:rPr>
        <w:t xml:space="preserve"> designing th</w:t>
      </w:r>
      <w:r w:rsidR="4A901D3F" w:rsidRPr="17CECF10">
        <w:rPr>
          <w:rFonts w:ascii="Segoe UI" w:hAnsi="Segoe UI" w:cs="Segoe UI"/>
          <w:szCs w:val="24"/>
        </w:rPr>
        <w:t>e Unit Cost Recovery</w:t>
      </w:r>
      <w:r w:rsidRPr="17CECF10">
        <w:rPr>
          <w:rFonts w:ascii="Segoe UI" w:hAnsi="Segoe UI" w:cs="Segoe UI"/>
          <w:szCs w:val="24"/>
        </w:rPr>
        <w:t xml:space="preserve"> alternative.</w:t>
      </w:r>
      <w:r w:rsidR="2171104A" w:rsidRPr="17CECF10">
        <w:rPr>
          <w:rFonts w:ascii="Segoe UI" w:hAnsi="Segoe UI" w:cs="Segoe UI"/>
          <w:szCs w:val="24"/>
        </w:rPr>
        <w:t xml:space="preserve"> </w:t>
      </w:r>
      <w:r w:rsidRPr="17CECF10">
        <w:rPr>
          <w:rFonts w:ascii="Segoe UI" w:hAnsi="Segoe UI" w:cs="Segoe UI"/>
          <w:szCs w:val="24"/>
        </w:rPr>
        <w:t xml:space="preserve">For example, </w:t>
      </w:r>
      <w:r w:rsidR="63A4EF1C" w:rsidRPr="17CECF10">
        <w:rPr>
          <w:rFonts w:ascii="Segoe UI" w:hAnsi="Segoe UI" w:cs="Segoe UI"/>
          <w:szCs w:val="24"/>
        </w:rPr>
        <w:t xml:space="preserve">one option </w:t>
      </w:r>
      <w:r w:rsidR="3D54DE20" w:rsidRPr="17CECF10">
        <w:rPr>
          <w:rFonts w:ascii="Segoe UI" w:hAnsi="Segoe UI" w:cs="Segoe UI"/>
          <w:szCs w:val="24"/>
        </w:rPr>
        <w:t xml:space="preserve">considered </w:t>
      </w:r>
      <w:r w:rsidRPr="17CECF10">
        <w:rPr>
          <w:rFonts w:ascii="Segoe UI" w:hAnsi="Segoe UI" w:cs="Segoe UI"/>
          <w:szCs w:val="24"/>
        </w:rPr>
        <w:t>increas</w:t>
      </w:r>
      <w:r w:rsidR="3D54DE20" w:rsidRPr="17CECF10">
        <w:rPr>
          <w:rFonts w:ascii="Segoe UI" w:hAnsi="Segoe UI" w:cs="Segoe UI"/>
          <w:szCs w:val="24"/>
        </w:rPr>
        <w:t xml:space="preserve">ing </w:t>
      </w:r>
      <w:r w:rsidR="63A4EF1C" w:rsidRPr="17CECF10">
        <w:rPr>
          <w:rFonts w:ascii="Segoe UI" w:hAnsi="Segoe UI" w:cs="Segoe UI"/>
          <w:szCs w:val="24"/>
        </w:rPr>
        <w:t>each individual fee</w:t>
      </w:r>
      <w:r w:rsidRPr="17CECF10">
        <w:rPr>
          <w:rFonts w:ascii="Segoe UI" w:hAnsi="Segoe UI" w:cs="Segoe UI"/>
          <w:szCs w:val="24"/>
        </w:rPr>
        <w:t xml:space="preserve"> </w:t>
      </w:r>
      <w:r w:rsidR="4A937434" w:rsidRPr="17CECF10">
        <w:rPr>
          <w:rFonts w:ascii="Segoe UI" w:hAnsi="Segoe UI" w:cs="Segoe UI"/>
          <w:szCs w:val="24"/>
        </w:rPr>
        <w:t xml:space="preserve">paid </w:t>
      </w:r>
      <w:r w:rsidRPr="17CECF10">
        <w:rPr>
          <w:rFonts w:ascii="Segoe UI" w:hAnsi="Segoe UI" w:cs="Segoe UI"/>
          <w:szCs w:val="24"/>
        </w:rPr>
        <w:t xml:space="preserve">by </w:t>
      </w:r>
      <w:r w:rsidR="4A5808F3" w:rsidRPr="17CECF10">
        <w:rPr>
          <w:rFonts w:ascii="Segoe UI" w:hAnsi="Segoe UI" w:cs="Segoe UI"/>
          <w:szCs w:val="24"/>
        </w:rPr>
        <w:t>undiscounted</w:t>
      </w:r>
      <w:r w:rsidRPr="17CECF10">
        <w:rPr>
          <w:rFonts w:ascii="Segoe UI" w:hAnsi="Segoe UI" w:cs="Segoe UI"/>
          <w:szCs w:val="24"/>
        </w:rPr>
        <w:t xml:space="preserve"> entities to recover the lost revenue associated with the </w:t>
      </w:r>
      <w:r w:rsidR="6A40B9D1" w:rsidRPr="17CECF10">
        <w:rPr>
          <w:rFonts w:ascii="Segoe UI" w:hAnsi="Segoe UI" w:cs="Segoe UI"/>
          <w:szCs w:val="24"/>
        </w:rPr>
        <w:t>6</w:t>
      </w:r>
      <w:r w:rsidRPr="17CECF10">
        <w:rPr>
          <w:rFonts w:ascii="Segoe UI" w:hAnsi="Segoe UI" w:cs="Segoe UI"/>
          <w:szCs w:val="24"/>
        </w:rPr>
        <w:t>0</w:t>
      </w:r>
      <w:r w:rsidR="32A4C52F" w:rsidRPr="17CECF10">
        <w:rPr>
          <w:rFonts w:ascii="Segoe UI" w:hAnsi="Segoe UI" w:cs="Segoe UI"/>
          <w:szCs w:val="24"/>
        </w:rPr>
        <w:t>%</w:t>
      </w:r>
      <w:r w:rsidRPr="17CECF10">
        <w:rPr>
          <w:rFonts w:ascii="Segoe UI" w:hAnsi="Segoe UI" w:cs="Segoe UI"/>
          <w:szCs w:val="24"/>
        </w:rPr>
        <w:t xml:space="preserve"> and </w:t>
      </w:r>
      <w:r w:rsidR="6A40B9D1" w:rsidRPr="17CECF10">
        <w:rPr>
          <w:rFonts w:ascii="Segoe UI" w:hAnsi="Segoe UI" w:cs="Segoe UI"/>
          <w:szCs w:val="24"/>
        </w:rPr>
        <w:t>80</w:t>
      </w:r>
      <w:r w:rsidR="32A4C52F" w:rsidRPr="17CECF10">
        <w:rPr>
          <w:rFonts w:ascii="Segoe UI" w:hAnsi="Segoe UI" w:cs="Segoe UI"/>
          <w:szCs w:val="24"/>
        </w:rPr>
        <w:t>%</w:t>
      </w:r>
      <w:r w:rsidRPr="17CECF10">
        <w:rPr>
          <w:rFonts w:ascii="Segoe UI" w:hAnsi="Segoe UI" w:cs="Segoe UI"/>
          <w:szCs w:val="24"/>
        </w:rPr>
        <w:t xml:space="preserve"> </w:t>
      </w:r>
      <w:r w:rsidR="4A937434" w:rsidRPr="17CECF10">
        <w:rPr>
          <w:rFonts w:ascii="Segoe UI" w:hAnsi="Segoe UI" w:cs="Segoe UI"/>
          <w:szCs w:val="24"/>
        </w:rPr>
        <w:t xml:space="preserve">entity </w:t>
      </w:r>
      <w:r w:rsidRPr="17CECF10">
        <w:rPr>
          <w:rFonts w:ascii="Segoe UI" w:hAnsi="Segoe UI" w:cs="Segoe UI"/>
          <w:szCs w:val="24"/>
        </w:rPr>
        <w:t>discounts.</w:t>
      </w:r>
      <w:r w:rsidR="2171104A" w:rsidRPr="17CECF10">
        <w:rPr>
          <w:rFonts w:ascii="Segoe UI" w:hAnsi="Segoe UI" w:cs="Segoe UI"/>
          <w:szCs w:val="24"/>
        </w:rPr>
        <w:t xml:space="preserve"> </w:t>
      </w:r>
      <w:r w:rsidR="132422FE" w:rsidRPr="17CECF10">
        <w:rPr>
          <w:rFonts w:ascii="Segoe UI" w:hAnsi="Segoe UI" w:cs="Segoe UI"/>
          <w:szCs w:val="24"/>
        </w:rPr>
        <w:t xml:space="preserve">The agency deemed this option to </w:t>
      </w:r>
      <w:r w:rsidRPr="17CECF10">
        <w:rPr>
          <w:rFonts w:ascii="Segoe UI" w:hAnsi="Segoe UI" w:cs="Segoe UI"/>
          <w:szCs w:val="24"/>
        </w:rPr>
        <w:t xml:space="preserve">be unduly punitive to </w:t>
      </w:r>
      <w:r w:rsidR="4A5808F3" w:rsidRPr="17CECF10">
        <w:rPr>
          <w:rFonts w:ascii="Segoe UI" w:hAnsi="Segoe UI" w:cs="Segoe UI"/>
          <w:szCs w:val="24"/>
        </w:rPr>
        <w:t>undiscounted</w:t>
      </w:r>
      <w:r w:rsidRPr="17CECF10">
        <w:rPr>
          <w:rFonts w:ascii="Segoe UI" w:hAnsi="Segoe UI" w:cs="Segoe UI"/>
          <w:szCs w:val="24"/>
        </w:rPr>
        <w:t xml:space="preserve"> entities</w:t>
      </w:r>
      <w:r w:rsidR="0ECFD72F" w:rsidRPr="17CECF10">
        <w:rPr>
          <w:rFonts w:ascii="Segoe UI" w:hAnsi="Segoe UI" w:cs="Segoe UI"/>
          <w:szCs w:val="24"/>
        </w:rPr>
        <w:t xml:space="preserve">, </w:t>
      </w:r>
      <w:r w:rsidR="3744AC0A" w:rsidRPr="17CECF10">
        <w:rPr>
          <w:rFonts w:ascii="Segoe UI" w:hAnsi="Segoe UI" w:cs="Segoe UI"/>
          <w:szCs w:val="24"/>
        </w:rPr>
        <w:t xml:space="preserve">and </w:t>
      </w:r>
      <w:r w:rsidR="0ECFD72F" w:rsidRPr="17CECF10">
        <w:rPr>
          <w:rFonts w:ascii="Segoe UI" w:hAnsi="Segoe UI" w:cs="Segoe UI"/>
          <w:szCs w:val="24"/>
        </w:rPr>
        <w:t>instead adjust</w:t>
      </w:r>
      <w:r w:rsidR="1A62746E" w:rsidRPr="17CECF10">
        <w:rPr>
          <w:rFonts w:ascii="Segoe UI" w:hAnsi="Segoe UI" w:cs="Segoe UI"/>
          <w:szCs w:val="24"/>
        </w:rPr>
        <w:t>ed</w:t>
      </w:r>
      <w:r w:rsidR="0ECFD72F" w:rsidRPr="17CECF10">
        <w:rPr>
          <w:rFonts w:ascii="Segoe UI" w:hAnsi="Segoe UI" w:cs="Segoe UI"/>
          <w:szCs w:val="24"/>
        </w:rPr>
        <w:t xml:space="preserve"> the </w:t>
      </w:r>
      <w:r w:rsidR="4A5808F3" w:rsidRPr="17CECF10">
        <w:rPr>
          <w:rFonts w:ascii="Segoe UI" w:hAnsi="Segoe UI" w:cs="Segoe UI"/>
          <w:szCs w:val="24"/>
        </w:rPr>
        <w:t>undiscounted</w:t>
      </w:r>
      <w:r w:rsidR="0ECFD72F" w:rsidRPr="17CECF10">
        <w:rPr>
          <w:rFonts w:ascii="Segoe UI" w:hAnsi="Segoe UI" w:cs="Segoe UI"/>
          <w:szCs w:val="24"/>
        </w:rPr>
        <w:t xml:space="preserve"> fee to </w:t>
      </w:r>
      <w:r w:rsidR="7623150E" w:rsidRPr="17CECF10">
        <w:rPr>
          <w:rFonts w:ascii="Segoe UI" w:hAnsi="Segoe UI" w:cs="Segoe UI"/>
          <w:szCs w:val="24"/>
        </w:rPr>
        <w:t xml:space="preserve">reflect the full cost of </w:t>
      </w:r>
      <w:r w:rsidR="6C7DD7BC" w:rsidRPr="17CECF10">
        <w:rPr>
          <w:rFonts w:ascii="Segoe UI" w:hAnsi="Segoe UI" w:cs="Segoe UI"/>
          <w:szCs w:val="24"/>
        </w:rPr>
        <w:t>the provided service</w:t>
      </w:r>
      <w:r w:rsidR="188B96AF" w:rsidRPr="17CECF10">
        <w:rPr>
          <w:rFonts w:ascii="Segoe UI" w:hAnsi="Segoe UI" w:cs="Segoe UI"/>
          <w:szCs w:val="24"/>
        </w:rPr>
        <w:t xml:space="preserve"> (continuing to recover lost revenue from entity discounts through other fees).</w:t>
      </w:r>
      <w:r w:rsidR="6C7DD7BC" w:rsidRPr="17CECF10">
        <w:rPr>
          <w:rFonts w:ascii="Segoe UI" w:hAnsi="Segoe UI" w:cs="Segoe UI"/>
          <w:szCs w:val="24"/>
        </w:rPr>
        <w:t xml:space="preserve"> </w:t>
      </w:r>
      <w:r w:rsidR="6674C2BF" w:rsidRPr="17CECF10">
        <w:rPr>
          <w:rFonts w:ascii="Segoe UI" w:hAnsi="Segoe UI" w:cs="Segoe UI"/>
          <w:szCs w:val="24"/>
        </w:rPr>
        <w:t>B</w:t>
      </w:r>
      <w:r w:rsidRPr="17CECF10">
        <w:rPr>
          <w:rFonts w:ascii="Segoe UI" w:hAnsi="Segoe UI" w:cs="Segoe UI"/>
          <w:szCs w:val="24"/>
        </w:rPr>
        <w:t xml:space="preserve">ecause </w:t>
      </w:r>
      <w:r w:rsidR="672DEDE4" w:rsidRPr="17CECF10">
        <w:rPr>
          <w:rFonts w:ascii="Segoe UI" w:hAnsi="Segoe UI" w:cs="Segoe UI"/>
          <w:szCs w:val="24"/>
        </w:rPr>
        <w:t xml:space="preserve">the Unit Cost Recovery alternative sets </w:t>
      </w:r>
      <w:r w:rsidRPr="17CECF10">
        <w:rPr>
          <w:rFonts w:ascii="Segoe UI" w:hAnsi="Segoe UI" w:cs="Segoe UI"/>
          <w:szCs w:val="24"/>
        </w:rPr>
        <w:t xml:space="preserve">most fees at individual </w:t>
      </w:r>
      <w:r w:rsidR="4A5808F3" w:rsidRPr="17CECF10">
        <w:rPr>
          <w:rFonts w:ascii="Segoe UI" w:hAnsi="Segoe UI" w:cs="Segoe UI"/>
          <w:szCs w:val="24"/>
        </w:rPr>
        <w:t>undiscounted</w:t>
      </w:r>
      <w:r w:rsidR="1BEB6D44" w:rsidRPr="17CECF10">
        <w:rPr>
          <w:rFonts w:ascii="Segoe UI" w:hAnsi="Segoe UI" w:cs="Segoe UI"/>
          <w:szCs w:val="24"/>
        </w:rPr>
        <w:t xml:space="preserve"> </w:t>
      </w:r>
      <w:r w:rsidRPr="17CECF10">
        <w:rPr>
          <w:rFonts w:ascii="Segoe UI" w:hAnsi="Segoe UI" w:cs="Segoe UI"/>
          <w:szCs w:val="24"/>
        </w:rPr>
        <w:t xml:space="preserve">fee cost recovery, </w:t>
      </w:r>
      <w:r w:rsidR="38AE391F" w:rsidRPr="17CECF10">
        <w:rPr>
          <w:rFonts w:ascii="Segoe UI" w:hAnsi="Segoe UI" w:cs="Segoe UI"/>
          <w:szCs w:val="24"/>
        </w:rPr>
        <w:t>few additional fees are available to subsidize</w:t>
      </w:r>
      <w:r w:rsidRPr="17CECF10">
        <w:rPr>
          <w:rFonts w:ascii="Segoe UI" w:hAnsi="Segoe UI" w:cs="Segoe UI"/>
          <w:szCs w:val="24"/>
        </w:rPr>
        <w:t xml:space="preserve"> the revenue shortfall.</w:t>
      </w:r>
      <w:r w:rsidR="2171104A" w:rsidRPr="17CECF10">
        <w:rPr>
          <w:rFonts w:ascii="Segoe UI" w:hAnsi="Segoe UI" w:cs="Segoe UI"/>
          <w:szCs w:val="24"/>
        </w:rPr>
        <w:t xml:space="preserve"> </w:t>
      </w:r>
      <w:r w:rsidR="7FFB9600" w:rsidRPr="17CECF10">
        <w:rPr>
          <w:rFonts w:ascii="Segoe UI" w:hAnsi="Segoe UI" w:cs="Segoe UI"/>
          <w:szCs w:val="24"/>
        </w:rPr>
        <w:t>For fees without available cost data</w:t>
      </w:r>
      <w:r w:rsidR="7312C29C" w:rsidRPr="17CECF10">
        <w:rPr>
          <w:rFonts w:ascii="Segoe UI" w:hAnsi="Segoe UI" w:cs="Segoe UI"/>
          <w:szCs w:val="24"/>
        </w:rPr>
        <w:t xml:space="preserve">, </w:t>
      </w:r>
      <w:r w:rsidR="0344F534" w:rsidRPr="17CECF10">
        <w:rPr>
          <w:rFonts w:ascii="Segoe UI" w:hAnsi="Segoe UI" w:cs="Segoe UI"/>
          <w:szCs w:val="24"/>
        </w:rPr>
        <w:t xml:space="preserve">current fee rates are retained </w:t>
      </w:r>
      <w:r w:rsidR="7312C29C" w:rsidRPr="17CECF10">
        <w:rPr>
          <w:rFonts w:ascii="Segoe UI" w:hAnsi="Segoe UI" w:cs="Segoe UI"/>
          <w:szCs w:val="24"/>
        </w:rPr>
        <w:t xml:space="preserve">in this alternative, </w:t>
      </w:r>
      <w:r w:rsidR="2C8A4F3F" w:rsidRPr="17CECF10">
        <w:rPr>
          <w:rFonts w:ascii="Segoe UI" w:hAnsi="Segoe UI" w:cs="Segoe UI"/>
          <w:szCs w:val="24"/>
        </w:rPr>
        <w:t>with one exception (maintenance fees, discussed below)</w:t>
      </w:r>
      <w:r w:rsidR="63A4EF1C" w:rsidRPr="17CECF10">
        <w:rPr>
          <w:rFonts w:ascii="Segoe UI" w:hAnsi="Segoe UI" w:cs="Segoe UI"/>
          <w:szCs w:val="24"/>
        </w:rPr>
        <w:t>.</w:t>
      </w:r>
    </w:p>
    <w:p w14:paraId="53DCD38B" w14:textId="0A4EE6BF" w:rsidR="0039519C" w:rsidRPr="00CF6436" w:rsidRDefault="57440B9A" w:rsidP="17CECF10">
      <w:pPr>
        <w:spacing w:line="360" w:lineRule="auto"/>
        <w:ind w:firstLine="450"/>
        <w:rPr>
          <w:rFonts w:ascii="Segoe UI" w:hAnsi="Segoe UI" w:cs="Segoe UI"/>
          <w:szCs w:val="24"/>
        </w:rPr>
      </w:pPr>
      <w:r w:rsidRPr="17CECF10">
        <w:rPr>
          <w:rFonts w:ascii="Segoe UI" w:hAnsi="Segoe UI" w:cs="Segoe UI"/>
          <w:szCs w:val="24"/>
        </w:rPr>
        <w:t xml:space="preserve">Given </w:t>
      </w:r>
      <w:r w:rsidR="3A7855B5" w:rsidRPr="17CECF10">
        <w:rPr>
          <w:rFonts w:ascii="Segoe UI" w:hAnsi="Segoe UI" w:cs="Segoe UI"/>
          <w:szCs w:val="24"/>
        </w:rPr>
        <w:t>the</w:t>
      </w:r>
      <w:r w:rsidR="7312C29C" w:rsidRPr="17CECF10">
        <w:rPr>
          <w:rFonts w:ascii="Segoe UI" w:hAnsi="Segoe UI" w:cs="Segoe UI"/>
          <w:szCs w:val="24"/>
        </w:rPr>
        <w:t>se</w:t>
      </w:r>
      <w:r w:rsidRPr="17CECF10">
        <w:rPr>
          <w:rFonts w:ascii="Segoe UI" w:hAnsi="Segoe UI" w:cs="Segoe UI"/>
          <w:szCs w:val="24"/>
        </w:rPr>
        <w:t xml:space="preserve"> complexities, </w:t>
      </w:r>
      <w:r w:rsidR="7312C29C" w:rsidRPr="17CECF10">
        <w:rPr>
          <w:rFonts w:ascii="Segoe UI" w:hAnsi="Segoe UI" w:cs="Segoe UI"/>
          <w:szCs w:val="24"/>
        </w:rPr>
        <w:t xml:space="preserve">the USPTO will require </w:t>
      </w:r>
      <w:r w:rsidRPr="17CECF10">
        <w:rPr>
          <w:rFonts w:ascii="Segoe UI" w:hAnsi="Segoe UI" w:cs="Segoe UI"/>
          <w:szCs w:val="24"/>
        </w:rPr>
        <w:t>more revenue to sustain operations than a simple cost recovery alternative would generate.</w:t>
      </w:r>
      <w:r w:rsidR="2171104A" w:rsidRPr="17CECF10">
        <w:rPr>
          <w:rFonts w:ascii="Segoe UI" w:hAnsi="Segoe UI" w:cs="Segoe UI"/>
          <w:szCs w:val="24"/>
        </w:rPr>
        <w:t xml:space="preserve"> </w:t>
      </w:r>
      <w:r w:rsidR="208B1DDA" w:rsidRPr="17CECF10">
        <w:rPr>
          <w:rFonts w:ascii="Segoe UI" w:hAnsi="Segoe UI" w:cs="Segoe UI"/>
          <w:szCs w:val="24"/>
        </w:rPr>
        <w:t xml:space="preserve">Therefore, it would be necessary for the agency to adjust </w:t>
      </w:r>
      <w:r w:rsidRPr="17CECF10">
        <w:rPr>
          <w:rFonts w:ascii="Segoe UI" w:hAnsi="Segoe UI" w:cs="Segoe UI"/>
          <w:szCs w:val="24"/>
        </w:rPr>
        <w:t>maintenance fee</w:t>
      </w:r>
      <w:r w:rsidR="2D61A5BD" w:rsidRPr="17CECF10">
        <w:rPr>
          <w:rFonts w:ascii="Segoe UI" w:hAnsi="Segoe UI" w:cs="Segoe UI"/>
          <w:szCs w:val="24"/>
        </w:rPr>
        <w:t xml:space="preserve"> rate</w:t>
      </w:r>
      <w:r w:rsidR="208B1DDA" w:rsidRPr="17CECF10">
        <w:rPr>
          <w:rFonts w:ascii="Segoe UI" w:hAnsi="Segoe UI" w:cs="Segoe UI"/>
          <w:szCs w:val="24"/>
        </w:rPr>
        <w:t>s</w:t>
      </w:r>
      <w:r w:rsidR="18CC0038" w:rsidRPr="17CECF10">
        <w:rPr>
          <w:rFonts w:ascii="Segoe UI" w:hAnsi="Segoe UI" w:cs="Segoe UI"/>
          <w:szCs w:val="24"/>
        </w:rPr>
        <w:t xml:space="preserve"> </w:t>
      </w:r>
      <w:r w:rsidR="3A7855B5" w:rsidRPr="17CECF10">
        <w:rPr>
          <w:rFonts w:ascii="Segoe UI" w:hAnsi="Segoe UI" w:cs="Segoe UI"/>
          <w:szCs w:val="24"/>
        </w:rPr>
        <w:t>above their cost</w:t>
      </w:r>
      <w:r w:rsidR="208B1DDA" w:rsidRPr="17CECF10">
        <w:rPr>
          <w:rFonts w:ascii="Segoe UI" w:hAnsi="Segoe UI" w:cs="Segoe UI"/>
          <w:szCs w:val="24"/>
        </w:rPr>
        <w:t>s</w:t>
      </w:r>
      <w:r w:rsidRPr="17CECF10">
        <w:rPr>
          <w:rFonts w:ascii="Segoe UI" w:hAnsi="Segoe UI" w:cs="Segoe UI"/>
          <w:szCs w:val="24"/>
        </w:rPr>
        <w:t xml:space="preserve"> to </w:t>
      </w:r>
      <w:r w:rsidR="3FD5971B" w:rsidRPr="17CECF10">
        <w:rPr>
          <w:rFonts w:ascii="Segoe UI" w:hAnsi="Segoe UI" w:cs="Segoe UI"/>
          <w:szCs w:val="24"/>
        </w:rPr>
        <w:t xml:space="preserve">meet </w:t>
      </w:r>
      <w:r w:rsidRPr="17CECF10">
        <w:rPr>
          <w:rFonts w:ascii="Segoe UI" w:hAnsi="Segoe UI" w:cs="Segoe UI"/>
          <w:szCs w:val="24"/>
        </w:rPr>
        <w:t>the aggrega</w:t>
      </w:r>
      <w:r w:rsidR="02CD189C" w:rsidRPr="17CECF10">
        <w:rPr>
          <w:rFonts w:ascii="Segoe UI" w:hAnsi="Segoe UI" w:cs="Segoe UI"/>
          <w:szCs w:val="24"/>
        </w:rPr>
        <w:t xml:space="preserve">te costs </w:t>
      </w:r>
      <w:r w:rsidR="3FD5971B" w:rsidRPr="17CECF10">
        <w:rPr>
          <w:rFonts w:ascii="Segoe UI" w:hAnsi="Segoe UI" w:cs="Segoe UI"/>
          <w:szCs w:val="24"/>
        </w:rPr>
        <w:t xml:space="preserve">outlined in the </w:t>
      </w:r>
      <w:r w:rsidR="02CD189C" w:rsidRPr="17CECF10">
        <w:rPr>
          <w:rFonts w:ascii="Segoe UI" w:hAnsi="Segoe UI" w:cs="Segoe UI"/>
          <w:szCs w:val="24"/>
        </w:rPr>
        <w:t>FY 202</w:t>
      </w:r>
      <w:r w:rsidR="6A40B9D1" w:rsidRPr="17CECF10">
        <w:rPr>
          <w:rFonts w:ascii="Segoe UI" w:hAnsi="Segoe UI" w:cs="Segoe UI"/>
          <w:szCs w:val="24"/>
        </w:rPr>
        <w:t>5</w:t>
      </w:r>
      <w:r w:rsidRPr="17CECF10">
        <w:rPr>
          <w:rFonts w:ascii="Segoe UI" w:hAnsi="Segoe UI" w:cs="Segoe UI"/>
          <w:szCs w:val="24"/>
        </w:rPr>
        <w:t xml:space="preserve"> </w:t>
      </w:r>
      <w:r w:rsidR="6A5593BD" w:rsidRPr="17CECF10">
        <w:rPr>
          <w:rFonts w:ascii="Segoe UI" w:hAnsi="Segoe UI" w:cs="Segoe UI"/>
          <w:szCs w:val="24"/>
        </w:rPr>
        <w:t>B</w:t>
      </w:r>
      <w:r w:rsidRPr="17CECF10">
        <w:rPr>
          <w:rFonts w:ascii="Segoe UI" w:hAnsi="Segoe UI" w:cs="Segoe UI"/>
          <w:szCs w:val="24"/>
        </w:rPr>
        <w:t xml:space="preserve">udget. </w:t>
      </w:r>
      <w:r w:rsidR="3A439300" w:rsidRPr="17CECF10">
        <w:rPr>
          <w:rFonts w:ascii="Segoe UI" w:hAnsi="Segoe UI" w:cs="Segoe UI"/>
          <w:szCs w:val="24"/>
        </w:rPr>
        <w:t>Under the Unit Cost Recovery</w:t>
      </w:r>
      <w:r w:rsidRPr="17CECF10">
        <w:rPr>
          <w:rFonts w:ascii="Segoe UI" w:hAnsi="Segoe UI" w:cs="Segoe UI"/>
          <w:szCs w:val="24"/>
        </w:rPr>
        <w:t xml:space="preserve"> alternative</w:t>
      </w:r>
      <w:r w:rsidR="3A7855B5" w:rsidRPr="17CECF10">
        <w:rPr>
          <w:rFonts w:ascii="Segoe UI" w:hAnsi="Segoe UI" w:cs="Segoe UI"/>
          <w:szCs w:val="24"/>
        </w:rPr>
        <w:t>,</w:t>
      </w:r>
      <w:r w:rsidRPr="17CECF10">
        <w:rPr>
          <w:rFonts w:ascii="Segoe UI" w:hAnsi="Segoe UI" w:cs="Segoe UI"/>
          <w:szCs w:val="24"/>
        </w:rPr>
        <w:t xml:space="preserve"> </w:t>
      </w:r>
      <w:r w:rsidR="02CD189C" w:rsidRPr="17CECF10">
        <w:rPr>
          <w:rFonts w:ascii="Segoe UI" w:hAnsi="Segoe UI" w:cs="Segoe UI"/>
          <w:szCs w:val="24"/>
        </w:rPr>
        <w:t xml:space="preserve">maintenance fees </w:t>
      </w:r>
      <w:r w:rsidR="605BD2DF" w:rsidRPr="17CECF10">
        <w:rPr>
          <w:rFonts w:ascii="Segoe UI" w:hAnsi="Segoe UI" w:cs="Segoe UI"/>
          <w:szCs w:val="24"/>
        </w:rPr>
        <w:t>are</w:t>
      </w:r>
      <w:r w:rsidR="3A7855B5" w:rsidRPr="17CECF10">
        <w:rPr>
          <w:rFonts w:ascii="Segoe UI" w:hAnsi="Segoe UI" w:cs="Segoe UI"/>
          <w:szCs w:val="24"/>
        </w:rPr>
        <w:t xml:space="preserve"> almost the same amount as the Baseline </w:t>
      </w:r>
      <w:r w:rsidR="3A439300" w:rsidRPr="17CECF10">
        <w:rPr>
          <w:rFonts w:ascii="Segoe UI" w:hAnsi="Segoe UI" w:cs="Segoe UI"/>
          <w:szCs w:val="24"/>
        </w:rPr>
        <w:t>a</w:t>
      </w:r>
      <w:r w:rsidR="3A7855B5" w:rsidRPr="17CECF10">
        <w:rPr>
          <w:rFonts w:ascii="Segoe UI" w:hAnsi="Segoe UI" w:cs="Segoe UI"/>
          <w:szCs w:val="24"/>
        </w:rPr>
        <w:t>lternative</w:t>
      </w:r>
      <w:r w:rsidR="3A439300" w:rsidRPr="17CECF10">
        <w:rPr>
          <w:rFonts w:ascii="Segoe UI" w:hAnsi="Segoe UI" w:cs="Segoe UI"/>
          <w:szCs w:val="24"/>
        </w:rPr>
        <w:t>—</w:t>
      </w:r>
      <w:r w:rsidR="3A7855B5" w:rsidRPr="17CECF10">
        <w:rPr>
          <w:rFonts w:ascii="Segoe UI" w:hAnsi="Segoe UI" w:cs="Segoe UI"/>
          <w:szCs w:val="24"/>
        </w:rPr>
        <w:t>only $725 (</w:t>
      </w:r>
      <w:r w:rsidRPr="17CECF10">
        <w:rPr>
          <w:rFonts w:ascii="Segoe UI" w:hAnsi="Segoe UI" w:cs="Segoe UI"/>
          <w:szCs w:val="24"/>
        </w:rPr>
        <w:t xml:space="preserve">approximately </w:t>
      </w:r>
      <w:r w:rsidR="3A7855B5" w:rsidRPr="17CECF10">
        <w:rPr>
          <w:rFonts w:ascii="Segoe UI" w:hAnsi="Segoe UI" w:cs="Segoe UI"/>
          <w:szCs w:val="24"/>
        </w:rPr>
        <w:t>5</w:t>
      </w:r>
      <w:r w:rsidR="3B2FCCDD" w:rsidRPr="17CECF10">
        <w:rPr>
          <w:rFonts w:ascii="Segoe UI" w:hAnsi="Segoe UI" w:cs="Segoe UI"/>
          <w:szCs w:val="24"/>
        </w:rPr>
        <w:t>.</w:t>
      </w:r>
      <w:r w:rsidR="3A7855B5" w:rsidRPr="17CECF10">
        <w:rPr>
          <w:rFonts w:ascii="Segoe UI" w:hAnsi="Segoe UI" w:cs="Segoe UI"/>
          <w:szCs w:val="24"/>
        </w:rPr>
        <w:t>4</w:t>
      </w:r>
      <w:r w:rsidR="32A4C52F" w:rsidRPr="17CECF10">
        <w:rPr>
          <w:rFonts w:ascii="Segoe UI" w:hAnsi="Segoe UI" w:cs="Segoe UI"/>
          <w:szCs w:val="24"/>
        </w:rPr>
        <w:t>%</w:t>
      </w:r>
      <w:r w:rsidR="3A7855B5" w:rsidRPr="17CECF10">
        <w:rPr>
          <w:rFonts w:ascii="Segoe UI" w:hAnsi="Segoe UI" w:cs="Segoe UI"/>
          <w:szCs w:val="24"/>
        </w:rPr>
        <w:t>)</w:t>
      </w:r>
      <w:r w:rsidR="02CD189C" w:rsidRPr="17CECF10">
        <w:rPr>
          <w:rFonts w:ascii="Segoe UI" w:hAnsi="Segoe UI" w:cs="Segoe UI"/>
          <w:szCs w:val="24"/>
        </w:rPr>
        <w:t xml:space="preserve"> lower than</w:t>
      </w:r>
      <w:r w:rsidRPr="17CECF10">
        <w:rPr>
          <w:rFonts w:ascii="Segoe UI" w:hAnsi="Segoe UI" w:cs="Segoe UI"/>
          <w:szCs w:val="24"/>
        </w:rPr>
        <w:t xml:space="preserve"> </w:t>
      </w:r>
      <w:r w:rsidR="5E6781C4" w:rsidRPr="17CECF10">
        <w:rPr>
          <w:rFonts w:ascii="Segoe UI" w:hAnsi="Segoe UI" w:cs="Segoe UI"/>
          <w:szCs w:val="24"/>
        </w:rPr>
        <w:t>current maintenance fee rates</w:t>
      </w:r>
      <w:r w:rsidRPr="17CECF10">
        <w:rPr>
          <w:rFonts w:ascii="Segoe UI" w:hAnsi="Segoe UI" w:cs="Segoe UI"/>
          <w:szCs w:val="24"/>
        </w:rPr>
        <w:t>.</w:t>
      </w:r>
    </w:p>
    <w:p w14:paraId="7A8A6656" w14:textId="233C84DA" w:rsidR="00DE6A6A" w:rsidRPr="00CF6436" w:rsidRDefault="35DDA21D" w:rsidP="17CECF10">
      <w:pPr>
        <w:spacing w:line="360" w:lineRule="auto"/>
        <w:ind w:firstLine="450"/>
        <w:rPr>
          <w:rFonts w:ascii="Segoe UI" w:hAnsi="Segoe UI" w:cs="Segoe UI"/>
          <w:szCs w:val="24"/>
        </w:rPr>
      </w:pPr>
      <w:r w:rsidRPr="17CECF10">
        <w:rPr>
          <w:rFonts w:ascii="Segoe UI" w:hAnsi="Segoe UI" w:cs="Segoe UI"/>
          <w:szCs w:val="24"/>
        </w:rPr>
        <w:t>T</w:t>
      </w:r>
      <w:r w:rsidR="1C426522" w:rsidRPr="17CECF10">
        <w:rPr>
          <w:rFonts w:ascii="Segoe UI" w:hAnsi="Segoe UI" w:cs="Segoe UI"/>
          <w:szCs w:val="24"/>
        </w:rPr>
        <w:t xml:space="preserve">he </w:t>
      </w:r>
      <w:r w:rsidR="1E2CF02C" w:rsidRPr="17CECF10">
        <w:rPr>
          <w:rFonts w:ascii="Segoe UI" w:hAnsi="Segoe UI" w:cs="Segoe UI"/>
          <w:szCs w:val="24"/>
        </w:rPr>
        <w:t>USPTO</w:t>
      </w:r>
      <w:r w:rsidR="02988B84" w:rsidRPr="17CECF10">
        <w:rPr>
          <w:rFonts w:ascii="Segoe UI" w:hAnsi="Segoe UI" w:cs="Segoe UI"/>
          <w:szCs w:val="24"/>
        </w:rPr>
        <w:t xml:space="preserve"> has not received revenue equal to the full cost of examining applications </w:t>
      </w:r>
      <w:r w:rsidR="1C426522" w:rsidRPr="17CECF10">
        <w:rPr>
          <w:rFonts w:ascii="Segoe UI" w:hAnsi="Segoe UI" w:cs="Segoe UI"/>
          <w:szCs w:val="24"/>
        </w:rPr>
        <w:t xml:space="preserve">remaining in </w:t>
      </w:r>
      <w:r w:rsidR="67899F26" w:rsidRPr="17CECF10">
        <w:rPr>
          <w:rFonts w:ascii="Segoe UI" w:hAnsi="Segoe UI" w:cs="Segoe UI"/>
          <w:szCs w:val="24"/>
        </w:rPr>
        <w:t>the pending inventory, as th</w:t>
      </w:r>
      <w:r w:rsidR="1F4EA516" w:rsidRPr="17CECF10">
        <w:rPr>
          <w:rFonts w:ascii="Segoe UI" w:hAnsi="Segoe UI" w:cs="Segoe UI"/>
          <w:szCs w:val="24"/>
        </w:rPr>
        <w:t xml:space="preserve">ey </w:t>
      </w:r>
      <w:r w:rsidR="03D909E9" w:rsidRPr="17CECF10">
        <w:rPr>
          <w:rFonts w:ascii="Segoe UI" w:hAnsi="Segoe UI" w:cs="Segoe UI"/>
          <w:szCs w:val="24"/>
        </w:rPr>
        <w:t>were filed when fees were set below cost.</w:t>
      </w:r>
      <w:r w:rsidR="02988B84" w:rsidRPr="17CECF10">
        <w:rPr>
          <w:rFonts w:ascii="Segoe UI" w:hAnsi="Segoe UI" w:cs="Segoe UI"/>
          <w:szCs w:val="24"/>
        </w:rPr>
        <w:t xml:space="preserve"> </w:t>
      </w:r>
      <w:r w:rsidR="1F4EA516" w:rsidRPr="17CECF10">
        <w:rPr>
          <w:rFonts w:ascii="Segoe UI" w:hAnsi="Segoe UI" w:cs="Segoe UI"/>
          <w:szCs w:val="24"/>
        </w:rPr>
        <w:t xml:space="preserve">If the agency were to implement the Unit Cost Recovery alternative, it must, in turn, address the </w:t>
      </w:r>
      <w:r w:rsidR="02988B84" w:rsidRPr="17CECF10">
        <w:rPr>
          <w:rFonts w:ascii="Segoe UI" w:hAnsi="Segoe UI" w:cs="Segoe UI"/>
          <w:szCs w:val="24"/>
        </w:rPr>
        <w:t>funding gap (</w:t>
      </w:r>
      <w:r w:rsidR="1F4EA516" w:rsidRPr="17CECF10">
        <w:rPr>
          <w:rFonts w:ascii="Segoe UI" w:hAnsi="Segoe UI" w:cs="Segoe UI"/>
          <w:szCs w:val="24"/>
        </w:rPr>
        <w:t>s</w:t>
      </w:r>
      <w:r w:rsidR="02988B84" w:rsidRPr="17CECF10">
        <w:rPr>
          <w:rFonts w:ascii="Segoe UI" w:hAnsi="Segoe UI" w:cs="Segoe UI"/>
          <w:szCs w:val="24"/>
        </w:rPr>
        <w:t>ee section 1.3</w:t>
      </w:r>
      <w:r w:rsidR="1F4EA516" w:rsidRPr="17CECF10">
        <w:rPr>
          <w:rFonts w:ascii="Segoe UI" w:hAnsi="Segoe UI" w:cs="Segoe UI"/>
          <w:szCs w:val="24"/>
        </w:rPr>
        <w:t xml:space="preserve">, which describes </w:t>
      </w:r>
      <w:r w:rsidR="02988B84" w:rsidRPr="17CECF10">
        <w:rPr>
          <w:rFonts w:ascii="Segoe UI" w:hAnsi="Segoe UI" w:cs="Segoe UI"/>
          <w:szCs w:val="24"/>
        </w:rPr>
        <w:t xml:space="preserve">how the </w:t>
      </w:r>
      <w:r w:rsidR="1E2CF02C" w:rsidRPr="17CECF10">
        <w:rPr>
          <w:rFonts w:ascii="Segoe UI" w:hAnsi="Segoe UI" w:cs="Segoe UI"/>
          <w:szCs w:val="24"/>
        </w:rPr>
        <w:t>USPTO</w:t>
      </w:r>
      <w:r w:rsidR="02988B84" w:rsidRPr="17CECF10">
        <w:rPr>
          <w:rFonts w:ascii="Segoe UI" w:hAnsi="Segoe UI" w:cs="Segoe UI"/>
          <w:szCs w:val="24"/>
        </w:rPr>
        <w:t xml:space="preserve"> operated prior to fee setting authority under the AIA).</w:t>
      </w:r>
    </w:p>
    <w:p w14:paraId="3C19FB51" w14:textId="69581BB6" w:rsidR="00DE6A6A" w:rsidRPr="00CF6436" w:rsidRDefault="0E1C0702" w:rsidP="17CECF10">
      <w:pPr>
        <w:pStyle w:val="ParagraphSpace"/>
        <w:spacing w:line="360" w:lineRule="auto"/>
        <w:ind w:firstLine="450"/>
        <w:rPr>
          <w:rFonts w:ascii="Segoe UI" w:hAnsi="Segoe UI" w:cs="Segoe UI"/>
          <w:szCs w:val="24"/>
        </w:rPr>
      </w:pPr>
      <w:r w:rsidRPr="17CECF10">
        <w:rPr>
          <w:rFonts w:ascii="Segoe UI" w:hAnsi="Segoe UI" w:cs="Segoe UI"/>
          <w:szCs w:val="24"/>
        </w:rPr>
        <w:lastRenderedPageBreak/>
        <w:t xml:space="preserve">The </w:t>
      </w:r>
      <w:r w:rsidR="746FF268" w:rsidRPr="17CECF10">
        <w:rPr>
          <w:rFonts w:ascii="Segoe UI" w:hAnsi="Segoe UI" w:cs="Segoe UI"/>
          <w:szCs w:val="24"/>
        </w:rPr>
        <w:t>USPTO</w:t>
      </w:r>
      <w:r w:rsidRPr="17CECF10">
        <w:rPr>
          <w:rFonts w:ascii="Segoe UI" w:hAnsi="Segoe UI" w:cs="Segoe UI"/>
          <w:szCs w:val="24"/>
        </w:rPr>
        <w:t xml:space="preserve"> </w:t>
      </w:r>
      <w:r w:rsidR="41FABBA2" w:rsidRPr="17CECF10">
        <w:rPr>
          <w:rFonts w:ascii="Segoe UI" w:hAnsi="Segoe UI" w:cs="Segoe UI"/>
          <w:szCs w:val="24"/>
        </w:rPr>
        <w:t xml:space="preserve">believes </w:t>
      </w:r>
      <w:r w:rsidRPr="17CECF10">
        <w:rPr>
          <w:rFonts w:ascii="Segoe UI" w:hAnsi="Segoe UI" w:cs="Segoe UI"/>
          <w:szCs w:val="24"/>
        </w:rPr>
        <w:t>that</w:t>
      </w:r>
      <w:r w:rsidR="41FABBA2" w:rsidRPr="17CECF10">
        <w:rPr>
          <w:rFonts w:ascii="Segoe UI" w:hAnsi="Segoe UI" w:cs="Segoe UI"/>
          <w:szCs w:val="24"/>
        </w:rPr>
        <w:t>, under the Unit Cost Recovery alternative,</w:t>
      </w:r>
      <w:r w:rsidRPr="17CECF10">
        <w:rPr>
          <w:rFonts w:ascii="Segoe UI" w:hAnsi="Segoe UI" w:cs="Segoe UI"/>
          <w:szCs w:val="24"/>
        </w:rPr>
        <w:t xml:space="preserve"> the high costs of entry into the patent system could decrease</w:t>
      </w:r>
      <w:r w:rsidR="41FABBA2" w:rsidRPr="17CECF10">
        <w:rPr>
          <w:rFonts w:ascii="Segoe UI" w:hAnsi="Segoe UI" w:cs="Segoe UI"/>
          <w:szCs w:val="24"/>
        </w:rPr>
        <w:t xml:space="preserve"> </w:t>
      </w:r>
      <w:r w:rsidRPr="17CECF10">
        <w:rPr>
          <w:rFonts w:ascii="Segoe UI" w:hAnsi="Segoe UI" w:cs="Segoe UI"/>
          <w:szCs w:val="24"/>
        </w:rPr>
        <w:t xml:space="preserve">incentives to invest in innovative activities </w:t>
      </w:r>
      <w:r w:rsidR="1DB8EFBC" w:rsidRPr="17CECF10">
        <w:rPr>
          <w:rFonts w:ascii="Segoe UI" w:hAnsi="Segoe UI" w:cs="Segoe UI"/>
          <w:szCs w:val="24"/>
        </w:rPr>
        <w:t xml:space="preserve">across the board, </w:t>
      </w:r>
      <w:r w:rsidRPr="17CECF10">
        <w:rPr>
          <w:rFonts w:ascii="Segoe UI" w:hAnsi="Segoe UI" w:cs="Segoe UI"/>
          <w:szCs w:val="24"/>
        </w:rPr>
        <w:t xml:space="preserve">especially </w:t>
      </w:r>
      <w:r w:rsidR="1DB8EFBC" w:rsidRPr="17CECF10">
        <w:rPr>
          <w:rFonts w:ascii="Segoe UI" w:hAnsi="Segoe UI" w:cs="Segoe UI"/>
          <w:szCs w:val="24"/>
        </w:rPr>
        <w:t xml:space="preserve">among </w:t>
      </w:r>
      <w:r w:rsidRPr="17CECF10">
        <w:rPr>
          <w:rFonts w:ascii="Segoe UI" w:hAnsi="Segoe UI" w:cs="Segoe UI"/>
          <w:szCs w:val="24"/>
        </w:rPr>
        <w:t>small</w:t>
      </w:r>
      <w:r w:rsidR="681D2B99" w:rsidRPr="17CECF10">
        <w:rPr>
          <w:rFonts w:ascii="Segoe UI" w:hAnsi="Segoe UI" w:cs="Segoe UI"/>
          <w:szCs w:val="24"/>
        </w:rPr>
        <w:t xml:space="preserve"> and </w:t>
      </w:r>
      <w:r w:rsidRPr="17CECF10">
        <w:rPr>
          <w:rFonts w:ascii="Segoe UI" w:hAnsi="Segoe UI" w:cs="Segoe UI"/>
          <w:szCs w:val="24"/>
        </w:rPr>
        <w:t>micro entities</w:t>
      </w:r>
      <w:r w:rsidR="681D2B99" w:rsidRPr="17CECF10">
        <w:rPr>
          <w:rFonts w:ascii="Segoe UI" w:hAnsi="Segoe UI" w:cs="Segoe UI"/>
          <w:szCs w:val="24"/>
        </w:rPr>
        <w:t xml:space="preserve"> and those who are under-resourced</w:t>
      </w:r>
      <w:r w:rsidRPr="17CECF10">
        <w:rPr>
          <w:rFonts w:ascii="Segoe UI" w:hAnsi="Segoe UI" w:cs="Segoe UI"/>
          <w:szCs w:val="24"/>
        </w:rPr>
        <w:t>.</w:t>
      </w:r>
      <w:r w:rsidR="75DDF123" w:rsidRPr="17CECF10">
        <w:rPr>
          <w:rFonts w:ascii="Segoe UI" w:hAnsi="Segoe UI" w:cs="Segoe UI"/>
          <w:szCs w:val="24"/>
        </w:rPr>
        <w:t xml:space="preserve"> </w:t>
      </w:r>
      <w:r w:rsidR="4571CCBE" w:rsidRPr="17CECF10">
        <w:rPr>
          <w:rFonts w:ascii="Segoe UI" w:hAnsi="Segoe UI" w:cs="Segoe UI"/>
          <w:szCs w:val="24"/>
        </w:rPr>
        <w:t>F</w:t>
      </w:r>
      <w:r w:rsidRPr="17CECF10">
        <w:rPr>
          <w:rFonts w:ascii="Segoe UI" w:hAnsi="Segoe UI" w:cs="Segoe UI"/>
          <w:szCs w:val="24"/>
        </w:rPr>
        <w:t>unds previously used for issue and maintenance fee payments could offset higher front-end costs for some users, but the front-end costs could prove insurmountable for other innovators.</w:t>
      </w:r>
    </w:p>
    <w:p w14:paraId="50C14564" w14:textId="1AB8099D" w:rsidR="00227146" w:rsidRPr="00CF6436" w:rsidRDefault="5395016C" w:rsidP="17CECF10">
      <w:pPr>
        <w:spacing w:line="360" w:lineRule="auto"/>
        <w:ind w:firstLine="450"/>
        <w:rPr>
          <w:rFonts w:ascii="Segoe UI" w:hAnsi="Segoe UI" w:cs="Segoe UI"/>
          <w:color w:val="000000" w:themeColor="text1"/>
          <w:szCs w:val="24"/>
        </w:rPr>
      </w:pPr>
      <w:r w:rsidRPr="17CECF10">
        <w:rPr>
          <w:rFonts w:ascii="Segoe UI" w:hAnsi="Segoe UI" w:cs="Segoe UI"/>
          <w:color w:val="000000" w:themeColor="text1"/>
          <w:szCs w:val="24"/>
        </w:rPr>
        <w:t xml:space="preserve">Additional information about the </w:t>
      </w:r>
      <w:r w:rsidR="02663E63" w:rsidRPr="17CECF10">
        <w:rPr>
          <w:rFonts w:ascii="Segoe UI" w:hAnsi="Segoe UI" w:cs="Segoe UI"/>
          <w:color w:val="000000" w:themeColor="text1"/>
          <w:szCs w:val="24"/>
        </w:rPr>
        <w:t xml:space="preserve">agency’s </w:t>
      </w:r>
      <w:r w:rsidRPr="17CECF10">
        <w:rPr>
          <w:rFonts w:ascii="Segoe UI" w:hAnsi="Segoe UI" w:cs="Segoe UI"/>
          <w:color w:val="000000" w:themeColor="text1"/>
          <w:szCs w:val="24"/>
        </w:rPr>
        <w:t xml:space="preserve">fee cost calculation methodology, including cost components related to respective fees, is available </w:t>
      </w:r>
      <w:r w:rsidR="4E4C3CCB" w:rsidRPr="17CECF10">
        <w:rPr>
          <w:rFonts w:ascii="Segoe UI" w:hAnsi="Segoe UI" w:cs="Segoe UI"/>
          <w:color w:val="000000" w:themeColor="text1"/>
          <w:szCs w:val="24"/>
        </w:rPr>
        <w:t xml:space="preserve">on the </w:t>
      </w:r>
      <w:hyperlink r:id="rId38">
        <w:r w:rsidR="4E4C3CCB" w:rsidRPr="17CECF10">
          <w:rPr>
            <w:rStyle w:val="Hyperlink"/>
            <w:rFonts w:ascii="Segoe UI" w:hAnsi="Segoe UI" w:cs="Segoe UI"/>
            <w:szCs w:val="24"/>
          </w:rPr>
          <w:t>fee setting section of the USPTO website</w:t>
        </w:r>
      </w:hyperlink>
      <w:r w:rsidR="6574A5DD" w:rsidRPr="17CECF10">
        <w:rPr>
          <w:rFonts w:ascii="Segoe UI" w:hAnsi="Segoe UI" w:cs="Segoe UI"/>
          <w:color w:val="000000" w:themeColor="text1"/>
          <w:szCs w:val="24"/>
        </w:rPr>
        <w:t xml:space="preserve"> </w:t>
      </w:r>
      <w:r w:rsidRPr="17CECF10">
        <w:rPr>
          <w:rFonts w:ascii="Segoe UI" w:hAnsi="Segoe UI" w:cs="Segoe UI"/>
          <w:color w:val="000000" w:themeColor="text1"/>
          <w:szCs w:val="24"/>
        </w:rPr>
        <w:t>in the document titled “USPTO Setting</w:t>
      </w:r>
      <w:r w:rsidR="557BDFAC" w:rsidRPr="17CECF10">
        <w:rPr>
          <w:rFonts w:ascii="Segoe UI" w:hAnsi="Segoe UI" w:cs="Segoe UI"/>
          <w:color w:val="000000" w:themeColor="text1"/>
          <w:szCs w:val="24"/>
        </w:rPr>
        <w:t xml:space="preserve"> and Adjus</w:t>
      </w:r>
      <w:r w:rsidR="086A345F" w:rsidRPr="17CECF10">
        <w:rPr>
          <w:rFonts w:ascii="Segoe UI" w:hAnsi="Segoe UI" w:cs="Segoe UI"/>
          <w:color w:val="000000" w:themeColor="text1"/>
          <w:szCs w:val="24"/>
        </w:rPr>
        <w:t xml:space="preserve">ting Patent Fees </w:t>
      </w:r>
      <w:r w:rsidR="02663E63" w:rsidRPr="17CECF10">
        <w:rPr>
          <w:rFonts w:ascii="Segoe UI" w:hAnsi="Segoe UI" w:cs="Segoe UI"/>
          <w:color w:val="000000" w:themeColor="text1"/>
          <w:szCs w:val="24"/>
        </w:rPr>
        <w:t>D</w:t>
      </w:r>
      <w:r w:rsidR="086A345F" w:rsidRPr="17CECF10">
        <w:rPr>
          <w:rFonts w:ascii="Segoe UI" w:hAnsi="Segoe UI" w:cs="Segoe UI"/>
          <w:color w:val="000000" w:themeColor="text1"/>
          <w:szCs w:val="24"/>
        </w:rPr>
        <w:t>uring F</w:t>
      </w:r>
      <w:r w:rsidR="497E8AB6" w:rsidRPr="17CECF10">
        <w:rPr>
          <w:rFonts w:ascii="Segoe UI" w:hAnsi="Segoe UI" w:cs="Segoe UI"/>
          <w:color w:val="000000" w:themeColor="text1"/>
          <w:szCs w:val="24"/>
        </w:rPr>
        <w:t xml:space="preserve">iscal </w:t>
      </w:r>
      <w:r w:rsidR="086A345F" w:rsidRPr="17CECF10">
        <w:rPr>
          <w:rFonts w:ascii="Segoe UI" w:hAnsi="Segoe UI" w:cs="Segoe UI"/>
          <w:color w:val="000000" w:themeColor="text1"/>
          <w:szCs w:val="24"/>
        </w:rPr>
        <w:t>Y</w:t>
      </w:r>
      <w:r w:rsidR="497E8AB6" w:rsidRPr="17CECF10">
        <w:rPr>
          <w:rFonts w:ascii="Segoe UI" w:hAnsi="Segoe UI" w:cs="Segoe UI"/>
          <w:color w:val="000000" w:themeColor="text1"/>
          <w:szCs w:val="24"/>
        </w:rPr>
        <w:t>ear</w:t>
      </w:r>
      <w:r w:rsidR="086A345F" w:rsidRPr="17CECF10">
        <w:rPr>
          <w:rFonts w:ascii="Segoe UI" w:hAnsi="Segoe UI" w:cs="Segoe UI"/>
          <w:color w:val="000000" w:themeColor="text1"/>
          <w:szCs w:val="24"/>
        </w:rPr>
        <w:t xml:space="preserve"> 202</w:t>
      </w:r>
      <w:r w:rsidR="56C371AE" w:rsidRPr="17CECF10">
        <w:rPr>
          <w:rFonts w:ascii="Segoe UI" w:hAnsi="Segoe UI" w:cs="Segoe UI"/>
          <w:color w:val="000000" w:themeColor="text1"/>
          <w:szCs w:val="24"/>
        </w:rPr>
        <w:t>5</w:t>
      </w:r>
      <w:r w:rsidR="6C426383" w:rsidRPr="17CECF10">
        <w:rPr>
          <w:rFonts w:ascii="Segoe UI" w:hAnsi="Segoe UI" w:cs="Segoe UI"/>
          <w:color w:val="000000" w:themeColor="text1"/>
          <w:szCs w:val="24"/>
        </w:rPr>
        <w:t>—</w:t>
      </w:r>
      <w:r w:rsidR="557BDFAC" w:rsidRPr="17CECF10">
        <w:rPr>
          <w:rFonts w:ascii="Segoe UI" w:hAnsi="Segoe UI" w:cs="Segoe UI"/>
          <w:color w:val="000000" w:themeColor="text1"/>
          <w:szCs w:val="24"/>
        </w:rPr>
        <w:t>Activity</w:t>
      </w:r>
      <w:r w:rsidR="2708854C" w:rsidRPr="17CECF10">
        <w:rPr>
          <w:rFonts w:ascii="Segoe UI" w:hAnsi="Segoe UI" w:cs="Segoe UI"/>
          <w:color w:val="000000" w:themeColor="text1"/>
          <w:szCs w:val="24"/>
        </w:rPr>
        <w:t>-</w:t>
      </w:r>
      <w:r w:rsidR="557BDFAC" w:rsidRPr="17CECF10">
        <w:rPr>
          <w:rFonts w:ascii="Segoe UI" w:hAnsi="Segoe UI" w:cs="Segoe UI"/>
          <w:color w:val="000000" w:themeColor="text1"/>
          <w:szCs w:val="24"/>
        </w:rPr>
        <w:t>Based Information and Patent Fee Unit Expense</w:t>
      </w:r>
      <w:r w:rsidRPr="17CECF10">
        <w:rPr>
          <w:rFonts w:ascii="Segoe UI" w:hAnsi="Segoe UI" w:cs="Segoe UI"/>
          <w:color w:val="000000" w:themeColor="text1"/>
          <w:szCs w:val="24"/>
        </w:rPr>
        <w:t xml:space="preserve"> Methodology.”</w:t>
      </w:r>
      <w:r w:rsidR="377B9FEA" w:rsidRPr="17CECF10">
        <w:rPr>
          <w:rFonts w:ascii="Segoe UI" w:hAnsi="Segoe UI" w:cs="Segoe UI"/>
          <w:color w:val="000000" w:themeColor="text1"/>
          <w:szCs w:val="24"/>
        </w:rPr>
        <w:t xml:space="preserve"> </w:t>
      </w:r>
      <w:r w:rsidR="02663E63" w:rsidRPr="17CECF10">
        <w:rPr>
          <w:rFonts w:ascii="Segoe UI" w:hAnsi="Segoe UI" w:cs="Segoe UI"/>
          <w:color w:val="000000" w:themeColor="text1"/>
          <w:szCs w:val="24"/>
        </w:rPr>
        <w:t>Table 4-7 presents a</w:t>
      </w:r>
      <w:r w:rsidRPr="17CECF10">
        <w:rPr>
          <w:rFonts w:ascii="Segoe UI" w:hAnsi="Segoe UI" w:cs="Segoe UI"/>
          <w:color w:val="000000" w:themeColor="text1"/>
          <w:szCs w:val="24"/>
        </w:rPr>
        <w:t xml:space="preserve"> summary of </w:t>
      </w:r>
      <w:r w:rsidR="18FBE280" w:rsidRPr="17CECF10">
        <w:rPr>
          <w:rFonts w:ascii="Segoe UI" w:hAnsi="Segoe UI" w:cs="Segoe UI"/>
          <w:color w:val="000000" w:themeColor="text1"/>
          <w:szCs w:val="24"/>
        </w:rPr>
        <w:t xml:space="preserve">historical </w:t>
      </w:r>
      <w:r w:rsidRPr="17CECF10">
        <w:rPr>
          <w:rFonts w:ascii="Segoe UI" w:hAnsi="Segoe UI" w:cs="Segoe UI"/>
          <w:color w:val="000000" w:themeColor="text1"/>
          <w:szCs w:val="24"/>
        </w:rPr>
        <w:t>unit cost</w:t>
      </w:r>
      <w:r w:rsidR="557BDFAC" w:rsidRPr="17CECF10">
        <w:rPr>
          <w:rFonts w:ascii="Segoe UI" w:hAnsi="Segoe UI" w:cs="Segoe UI"/>
          <w:color w:val="000000" w:themeColor="text1"/>
          <w:szCs w:val="24"/>
        </w:rPr>
        <w:t>s</w:t>
      </w:r>
      <w:r w:rsidRPr="17CECF10">
        <w:rPr>
          <w:rFonts w:ascii="Segoe UI" w:hAnsi="Segoe UI" w:cs="Segoe UI"/>
          <w:color w:val="000000" w:themeColor="text1"/>
          <w:szCs w:val="24"/>
        </w:rPr>
        <w:t xml:space="preserve"> associated with major fees.</w:t>
      </w:r>
      <w:r w:rsidR="377B9FEA" w:rsidRPr="17CECF10">
        <w:rPr>
          <w:rFonts w:ascii="Segoe UI" w:hAnsi="Segoe UI" w:cs="Segoe UI"/>
          <w:color w:val="000000" w:themeColor="text1"/>
          <w:szCs w:val="24"/>
        </w:rPr>
        <w:t xml:space="preserve"> </w:t>
      </w:r>
      <w:r w:rsidR="606DD13E" w:rsidRPr="17CECF10">
        <w:rPr>
          <w:rFonts w:ascii="Segoe UI" w:hAnsi="Segoe UI" w:cs="Segoe UI"/>
          <w:color w:val="000000" w:themeColor="text1"/>
          <w:szCs w:val="24"/>
        </w:rPr>
        <w:t xml:space="preserve">As </w:t>
      </w:r>
      <w:r w:rsidR="0B837135" w:rsidRPr="17CECF10">
        <w:rPr>
          <w:rFonts w:ascii="Segoe UI" w:hAnsi="Segoe UI" w:cs="Segoe UI"/>
          <w:color w:val="000000" w:themeColor="text1"/>
          <w:szCs w:val="24"/>
        </w:rPr>
        <w:t>stated above</w:t>
      </w:r>
      <w:r w:rsidR="606DD13E" w:rsidRPr="17CECF10">
        <w:rPr>
          <w:rFonts w:ascii="Segoe UI" w:hAnsi="Segoe UI" w:cs="Segoe UI"/>
          <w:color w:val="000000" w:themeColor="text1"/>
          <w:szCs w:val="24"/>
        </w:rPr>
        <w:t xml:space="preserve">, </w:t>
      </w:r>
      <w:r w:rsidR="0B837135" w:rsidRPr="17CECF10">
        <w:rPr>
          <w:rFonts w:ascii="Segoe UI" w:hAnsi="Segoe UI" w:cs="Segoe UI"/>
          <w:color w:val="000000" w:themeColor="text1"/>
          <w:szCs w:val="24"/>
        </w:rPr>
        <w:t xml:space="preserve">the USPTO used </w:t>
      </w:r>
      <w:r w:rsidR="075C8EA5" w:rsidRPr="17CECF10">
        <w:rPr>
          <w:rFonts w:ascii="Segoe UI" w:hAnsi="Segoe UI" w:cs="Segoe UI"/>
          <w:color w:val="000000" w:themeColor="text1"/>
          <w:szCs w:val="24"/>
        </w:rPr>
        <w:t>FY 20</w:t>
      </w:r>
      <w:r w:rsidR="56C371AE" w:rsidRPr="17CECF10">
        <w:rPr>
          <w:rFonts w:ascii="Segoe UI" w:hAnsi="Segoe UI" w:cs="Segoe UI"/>
          <w:color w:val="000000" w:themeColor="text1"/>
          <w:szCs w:val="24"/>
        </w:rPr>
        <w:t>22</w:t>
      </w:r>
      <w:r w:rsidRPr="17CECF10">
        <w:rPr>
          <w:rFonts w:ascii="Segoe UI" w:hAnsi="Segoe UI" w:cs="Segoe UI"/>
          <w:color w:val="000000" w:themeColor="text1"/>
          <w:szCs w:val="24"/>
        </w:rPr>
        <w:t xml:space="preserve"> unit cost information to inform the </w:t>
      </w:r>
      <w:r w:rsidR="4A5808F3" w:rsidRPr="17CECF10">
        <w:rPr>
          <w:rFonts w:ascii="Segoe UI" w:hAnsi="Segoe UI" w:cs="Segoe UI"/>
          <w:color w:val="000000" w:themeColor="text1"/>
          <w:szCs w:val="24"/>
        </w:rPr>
        <w:t>undiscounted</w:t>
      </w:r>
      <w:r w:rsidRPr="17CECF10">
        <w:rPr>
          <w:rFonts w:ascii="Segoe UI" w:hAnsi="Segoe UI" w:cs="Segoe UI"/>
          <w:color w:val="000000" w:themeColor="text1"/>
          <w:szCs w:val="24"/>
        </w:rPr>
        <w:t xml:space="preserve"> fee </w:t>
      </w:r>
      <w:r w:rsidR="557BDFAC" w:rsidRPr="17CECF10">
        <w:rPr>
          <w:rFonts w:ascii="Segoe UI" w:hAnsi="Segoe UI" w:cs="Segoe UI"/>
          <w:color w:val="000000" w:themeColor="text1"/>
          <w:szCs w:val="24"/>
        </w:rPr>
        <w:t>rates</w:t>
      </w:r>
      <w:r w:rsidR="0B837135" w:rsidRPr="17CECF10">
        <w:rPr>
          <w:rFonts w:ascii="Segoe UI" w:hAnsi="Segoe UI" w:cs="Segoe UI"/>
          <w:color w:val="000000" w:themeColor="text1"/>
          <w:szCs w:val="24"/>
        </w:rPr>
        <w:t xml:space="preserve"> that comprise </w:t>
      </w:r>
      <w:r w:rsidRPr="17CECF10">
        <w:rPr>
          <w:rFonts w:ascii="Segoe UI" w:hAnsi="Segoe UI" w:cs="Segoe UI"/>
          <w:color w:val="000000" w:themeColor="text1"/>
          <w:szCs w:val="24"/>
        </w:rPr>
        <w:t>this alternative</w:t>
      </w:r>
      <w:r w:rsidR="56C371AE" w:rsidRPr="17CECF10">
        <w:rPr>
          <w:rFonts w:ascii="Segoe UI" w:hAnsi="Segoe UI" w:cs="Segoe UI"/>
          <w:szCs w:val="24"/>
        </w:rPr>
        <w:t>.</w:t>
      </w:r>
    </w:p>
    <w:p w14:paraId="348B9A57" w14:textId="77777777" w:rsidR="00F05980" w:rsidRPr="009008DD" w:rsidRDefault="00F05980" w:rsidP="17CECF10">
      <w:pPr>
        <w:spacing w:line="360" w:lineRule="auto"/>
        <w:rPr>
          <w:rFonts w:ascii="Segoe UI" w:hAnsi="Segoe UI" w:cs="Segoe UI"/>
          <w:szCs w:val="24"/>
        </w:rPr>
      </w:pPr>
    </w:p>
    <w:p w14:paraId="05718A69" w14:textId="19A63EAE" w:rsidR="00873D48" w:rsidRPr="00CF6436" w:rsidRDefault="4CF21051" w:rsidP="17CECF10">
      <w:pPr>
        <w:pStyle w:val="Caption"/>
        <w:keepNext/>
        <w:spacing w:line="360" w:lineRule="auto"/>
        <w:rPr>
          <w:rFonts w:ascii="Segoe UI" w:hAnsi="Segoe UI" w:cs="Segoe UI"/>
          <w:sz w:val="24"/>
          <w:szCs w:val="24"/>
        </w:rPr>
      </w:pPr>
      <w:r w:rsidRPr="17CECF10">
        <w:rPr>
          <w:rFonts w:ascii="Segoe UI" w:hAnsi="Segoe UI" w:cs="Segoe UI"/>
          <w:sz w:val="24"/>
          <w:szCs w:val="24"/>
        </w:rPr>
        <w:t>Table 4</w:t>
      </w:r>
      <w:r w:rsidR="769E4A3F" w:rsidRPr="17CECF10">
        <w:rPr>
          <w:rFonts w:ascii="Segoe UI" w:hAnsi="Segoe UI" w:cs="Segoe UI"/>
          <w:sz w:val="24"/>
          <w:szCs w:val="24"/>
        </w:rPr>
        <w:t>-</w:t>
      </w:r>
      <w:r w:rsidR="759584CE" w:rsidRPr="17CECF10">
        <w:rPr>
          <w:rFonts w:ascii="Segoe UI" w:hAnsi="Segoe UI" w:cs="Segoe UI"/>
          <w:sz w:val="24"/>
          <w:szCs w:val="24"/>
        </w:rPr>
        <w:t>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1"/>
        <w:gridCol w:w="1251"/>
        <w:gridCol w:w="1251"/>
        <w:gridCol w:w="1251"/>
      </w:tblGrid>
      <w:tr w:rsidR="004858EE" w:rsidRPr="0063157A" w14:paraId="34915AB0" w14:textId="77777777" w:rsidTr="17CECF10">
        <w:trPr>
          <w:trHeight w:val="600"/>
          <w:tblHeader/>
          <w:jc w:val="center"/>
        </w:trPr>
        <w:tc>
          <w:tcPr>
            <w:tcW w:w="5485" w:type="dxa"/>
            <w:vMerge w:val="restart"/>
            <w:vAlign w:val="center"/>
          </w:tcPr>
          <w:p w14:paraId="5BF755AD" w14:textId="70B5A53A" w:rsidR="004858EE" w:rsidRPr="007F7D60" w:rsidRDefault="0DF290CD" w:rsidP="17CECF10">
            <w:pPr>
              <w:spacing w:line="240" w:lineRule="auto"/>
              <w:jc w:val="center"/>
              <w:rPr>
                <w:rFonts w:ascii="Segoe UI" w:hAnsi="Segoe UI" w:cs="Segoe UI"/>
                <w:b/>
                <w:bCs/>
                <w:szCs w:val="24"/>
              </w:rPr>
            </w:pPr>
            <w:r w:rsidRPr="17CECF10">
              <w:rPr>
                <w:rFonts w:ascii="Segoe UI" w:hAnsi="Segoe UI" w:cs="Segoe UI"/>
                <w:b/>
                <w:bCs/>
                <w:sz w:val="22"/>
              </w:rPr>
              <w:t>D</w:t>
            </w:r>
            <w:r w:rsidR="3B1C1672" w:rsidRPr="17CECF10">
              <w:rPr>
                <w:rFonts w:ascii="Segoe UI" w:hAnsi="Segoe UI" w:cs="Segoe UI"/>
                <w:b/>
                <w:bCs/>
                <w:sz w:val="22"/>
              </w:rPr>
              <w:t>escription</w:t>
            </w:r>
          </w:p>
        </w:tc>
        <w:tc>
          <w:tcPr>
            <w:tcW w:w="3960" w:type="dxa"/>
            <w:gridSpan w:val="3"/>
            <w:shd w:val="clear" w:color="auto" w:fill="auto"/>
            <w:vAlign w:val="center"/>
            <w:hideMark/>
          </w:tcPr>
          <w:p w14:paraId="5CFF4C47" w14:textId="59B76A0D" w:rsidR="004858EE" w:rsidRPr="007F7D60" w:rsidRDefault="169D2273" w:rsidP="17CECF10">
            <w:pPr>
              <w:spacing w:line="240" w:lineRule="auto"/>
              <w:jc w:val="center"/>
              <w:rPr>
                <w:rFonts w:ascii="Segoe UI" w:eastAsia="Times New Roman" w:hAnsi="Segoe UI" w:cs="Segoe UI"/>
                <w:b/>
                <w:bCs/>
                <w:color w:val="000000" w:themeColor="text1"/>
                <w:szCs w:val="24"/>
              </w:rPr>
            </w:pPr>
            <w:r w:rsidRPr="17CECF10">
              <w:rPr>
                <w:rFonts w:ascii="Segoe UI" w:eastAsia="Times New Roman" w:hAnsi="Segoe UI" w:cs="Segoe UI"/>
                <w:b/>
                <w:bCs/>
                <w:color w:val="000000" w:themeColor="text1"/>
                <w:sz w:val="22"/>
              </w:rPr>
              <w:t xml:space="preserve">Unit </w:t>
            </w:r>
            <w:r w:rsidR="5BBEC13C" w:rsidRPr="17CECF10">
              <w:rPr>
                <w:rFonts w:ascii="Segoe UI" w:eastAsia="Times New Roman" w:hAnsi="Segoe UI" w:cs="Segoe UI"/>
                <w:b/>
                <w:bCs/>
                <w:color w:val="000000" w:themeColor="text1"/>
                <w:sz w:val="22"/>
              </w:rPr>
              <w:t>c</w:t>
            </w:r>
            <w:r w:rsidRPr="17CECF10">
              <w:rPr>
                <w:rFonts w:ascii="Segoe UI" w:eastAsia="Times New Roman" w:hAnsi="Segoe UI" w:cs="Segoe UI"/>
                <w:b/>
                <w:bCs/>
                <w:color w:val="000000" w:themeColor="text1"/>
                <w:sz w:val="22"/>
              </w:rPr>
              <w:t xml:space="preserve">ost </w:t>
            </w:r>
          </w:p>
        </w:tc>
      </w:tr>
      <w:tr w:rsidR="004858EE" w:rsidRPr="0063157A" w14:paraId="34CB7DE2" w14:textId="77777777" w:rsidTr="17CECF10">
        <w:trPr>
          <w:trHeight w:val="569"/>
          <w:tblHeader/>
          <w:jc w:val="center"/>
        </w:trPr>
        <w:tc>
          <w:tcPr>
            <w:tcW w:w="5485" w:type="dxa"/>
            <w:vMerge/>
            <w:vAlign w:val="center"/>
            <w:hideMark/>
          </w:tcPr>
          <w:p w14:paraId="4750DC0B" w14:textId="77777777" w:rsidR="004858EE" w:rsidRPr="007F7D60" w:rsidRDefault="004858EE" w:rsidP="007F7D60">
            <w:pPr>
              <w:spacing w:line="240" w:lineRule="auto"/>
              <w:jc w:val="center"/>
              <w:rPr>
                <w:rFonts w:ascii="Segoe UI" w:eastAsia="Times New Roman" w:hAnsi="Segoe UI" w:cs="Segoe UI"/>
                <w:b/>
                <w:bCs/>
                <w:sz w:val="22"/>
              </w:rPr>
            </w:pPr>
          </w:p>
        </w:tc>
        <w:tc>
          <w:tcPr>
            <w:tcW w:w="1320" w:type="dxa"/>
            <w:shd w:val="clear" w:color="auto" w:fill="auto"/>
            <w:noWrap/>
            <w:vAlign w:val="center"/>
            <w:hideMark/>
          </w:tcPr>
          <w:p w14:paraId="6925BA14" w14:textId="63DB0F80" w:rsidR="004858EE" w:rsidRPr="007F7D60" w:rsidRDefault="648CFEE2" w:rsidP="17CECF10">
            <w:pPr>
              <w:spacing w:line="240" w:lineRule="auto"/>
              <w:jc w:val="center"/>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FY 2020</w:t>
            </w:r>
          </w:p>
        </w:tc>
        <w:tc>
          <w:tcPr>
            <w:tcW w:w="1320" w:type="dxa"/>
            <w:shd w:val="clear" w:color="auto" w:fill="auto"/>
            <w:noWrap/>
            <w:vAlign w:val="center"/>
            <w:hideMark/>
          </w:tcPr>
          <w:p w14:paraId="676083E7" w14:textId="4706BB36" w:rsidR="004858EE" w:rsidRPr="007F7D60" w:rsidRDefault="648CFEE2" w:rsidP="17CECF10">
            <w:pPr>
              <w:spacing w:line="240" w:lineRule="auto"/>
              <w:jc w:val="center"/>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FY 2021</w:t>
            </w:r>
          </w:p>
        </w:tc>
        <w:tc>
          <w:tcPr>
            <w:tcW w:w="1320" w:type="dxa"/>
            <w:shd w:val="clear" w:color="auto" w:fill="auto"/>
            <w:noWrap/>
            <w:vAlign w:val="center"/>
            <w:hideMark/>
          </w:tcPr>
          <w:p w14:paraId="7CB131AC" w14:textId="04F5D1D9" w:rsidR="004858EE" w:rsidRPr="007F7D60" w:rsidRDefault="648CFEE2" w:rsidP="17CECF10">
            <w:pPr>
              <w:spacing w:line="240" w:lineRule="auto"/>
              <w:jc w:val="center"/>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FY 2022</w:t>
            </w:r>
          </w:p>
        </w:tc>
      </w:tr>
      <w:tr w:rsidR="00764B90" w:rsidRPr="0063157A" w14:paraId="4BE32E00" w14:textId="77777777" w:rsidTr="17CECF10">
        <w:trPr>
          <w:trHeight w:val="302"/>
          <w:jc w:val="center"/>
        </w:trPr>
        <w:tc>
          <w:tcPr>
            <w:tcW w:w="5485" w:type="dxa"/>
            <w:shd w:val="clear" w:color="auto" w:fill="auto"/>
            <w:vAlign w:val="center"/>
            <w:hideMark/>
          </w:tcPr>
          <w:p w14:paraId="5F058360" w14:textId="2034446F" w:rsidR="00764B90" w:rsidRPr="007F7D60" w:rsidRDefault="0F5DDC9B" w:rsidP="17CECF10">
            <w:pPr>
              <w:spacing w:line="240" w:lineRule="auto"/>
              <w:rPr>
                <w:rFonts w:ascii="Segoe UI" w:eastAsia="Times New Roman" w:hAnsi="Segoe UI" w:cs="Segoe UI"/>
                <w:color w:val="000000"/>
                <w:szCs w:val="24"/>
              </w:rPr>
            </w:pPr>
            <w:r w:rsidRPr="17CECF10">
              <w:rPr>
                <w:rFonts w:ascii="Segoe UI" w:hAnsi="Segoe UI" w:cs="Segoe UI"/>
                <w:sz w:val="22"/>
              </w:rPr>
              <w:t>Basic filing fee - Utility (paper filing also requires non-electronic filing fee under 1.16(t))</w:t>
            </w:r>
          </w:p>
        </w:tc>
        <w:tc>
          <w:tcPr>
            <w:tcW w:w="1320" w:type="dxa"/>
            <w:shd w:val="clear" w:color="auto" w:fill="auto"/>
            <w:noWrap/>
            <w:vAlign w:val="center"/>
            <w:hideMark/>
          </w:tcPr>
          <w:p w14:paraId="693682B1" w14:textId="4E1D4EF7"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$250</w:t>
            </w:r>
          </w:p>
        </w:tc>
        <w:tc>
          <w:tcPr>
            <w:tcW w:w="1320" w:type="dxa"/>
            <w:shd w:val="clear" w:color="auto" w:fill="auto"/>
            <w:noWrap/>
            <w:vAlign w:val="center"/>
            <w:hideMark/>
          </w:tcPr>
          <w:p w14:paraId="6B40BE8D" w14:textId="0ECE20E2"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$253</w:t>
            </w:r>
          </w:p>
        </w:tc>
        <w:tc>
          <w:tcPr>
            <w:tcW w:w="1320" w:type="dxa"/>
            <w:shd w:val="clear" w:color="auto" w:fill="auto"/>
            <w:noWrap/>
            <w:vAlign w:val="center"/>
            <w:hideMark/>
          </w:tcPr>
          <w:p w14:paraId="2DDB29E6" w14:textId="14217463"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$250</w:t>
            </w:r>
          </w:p>
        </w:tc>
      </w:tr>
      <w:tr w:rsidR="00764B90" w:rsidRPr="0063157A" w14:paraId="169D36AF" w14:textId="77777777" w:rsidTr="17CECF10">
        <w:trPr>
          <w:trHeight w:val="302"/>
          <w:jc w:val="center"/>
        </w:trPr>
        <w:tc>
          <w:tcPr>
            <w:tcW w:w="5485" w:type="dxa"/>
            <w:shd w:val="clear" w:color="auto" w:fill="auto"/>
            <w:vAlign w:val="center"/>
            <w:hideMark/>
          </w:tcPr>
          <w:p w14:paraId="6568A0D9" w14:textId="79E5A8C9" w:rsidR="00764B90" w:rsidRPr="007F7D60" w:rsidRDefault="0F5DDC9B" w:rsidP="17CECF10">
            <w:pPr>
              <w:spacing w:line="240" w:lineRule="auto"/>
              <w:rPr>
                <w:rFonts w:ascii="Segoe UI" w:eastAsia="Times New Roman" w:hAnsi="Segoe UI" w:cs="Segoe UI"/>
                <w:color w:val="000000"/>
                <w:szCs w:val="24"/>
              </w:rPr>
            </w:pPr>
            <w:r w:rsidRPr="17CECF10">
              <w:rPr>
                <w:rFonts w:ascii="Segoe UI" w:hAnsi="Segoe UI" w:cs="Segoe UI"/>
                <w:sz w:val="22"/>
              </w:rPr>
              <w:t>Basic filing fee - Utility (electronic filing for small entities)</w:t>
            </w:r>
          </w:p>
        </w:tc>
        <w:tc>
          <w:tcPr>
            <w:tcW w:w="1320" w:type="dxa"/>
            <w:shd w:val="clear" w:color="auto" w:fill="auto"/>
            <w:noWrap/>
            <w:vAlign w:val="center"/>
            <w:hideMark/>
          </w:tcPr>
          <w:p w14:paraId="73F81CDC" w14:textId="55B48E3E"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$250</w:t>
            </w:r>
          </w:p>
        </w:tc>
        <w:tc>
          <w:tcPr>
            <w:tcW w:w="1320" w:type="dxa"/>
            <w:shd w:val="clear" w:color="auto" w:fill="auto"/>
            <w:noWrap/>
            <w:vAlign w:val="center"/>
            <w:hideMark/>
          </w:tcPr>
          <w:p w14:paraId="107820D5" w14:textId="474ABA1C"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$253</w:t>
            </w:r>
          </w:p>
        </w:tc>
        <w:tc>
          <w:tcPr>
            <w:tcW w:w="1320" w:type="dxa"/>
            <w:shd w:val="clear" w:color="auto" w:fill="auto"/>
            <w:noWrap/>
            <w:vAlign w:val="center"/>
            <w:hideMark/>
          </w:tcPr>
          <w:p w14:paraId="6B90370F" w14:textId="62A2EF28"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$250</w:t>
            </w:r>
          </w:p>
        </w:tc>
      </w:tr>
      <w:tr w:rsidR="00764B90" w:rsidRPr="0063157A" w14:paraId="4319302E" w14:textId="77777777" w:rsidTr="17CECF10">
        <w:trPr>
          <w:trHeight w:val="302"/>
          <w:jc w:val="center"/>
        </w:trPr>
        <w:tc>
          <w:tcPr>
            <w:tcW w:w="5485" w:type="dxa"/>
            <w:shd w:val="clear" w:color="auto" w:fill="auto"/>
            <w:vAlign w:val="center"/>
            <w:hideMark/>
          </w:tcPr>
          <w:p w14:paraId="28479159" w14:textId="1785CC8E" w:rsidR="00764B90" w:rsidRPr="007F7D60" w:rsidRDefault="27A1D2C5" w:rsidP="17CECF10">
            <w:pPr>
              <w:spacing w:line="240" w:lineRule="auto"/>
              <w:rPr>
                <w:rFonts w:ascii="Segoe UI" w:eastAsia="Times New Roman" w:hAnsi="Segoe UI" w:cs="Segoe UI"/>
                <w:color w:val="000000"/>
                <w:szCs w:val="24"/>
              </w:rPr>
            </w:pPr>
            <w:r w:rsidRPr="17CECF10">
              <w:rPr>
                <w:rFonts w:ascii="Segoe UI" w:hAnsi="Segoe UI" w:cs="Segoe UI"/>
                <w:sz w:val="22"/>
              </w:rPr>
              <w:t xml:space="preserve">Basic filing fee </w:t>
            </w:r>
            <w:r w:rsidR="4221051F" w:rsidRPr="17CECF10">
              <w:rPr>
                <w:rFonts w:ascii="Segoe UI" w:hAnsi="Segoe UI" w:cs="Segoe UI"/>
                <w:sz w:val="22"/>
              </w:rPr>
              <w:t>–</w:t>
            </w:r>
            <w:r w:rsidRPr="17CECF10">
              <w:rPr>
                <w:rFonts w:ascii="Segoe UI" w:hAnsi="Segoe UI" w:cs="Segoe UI"/>
                <w:sz w:val="22"/>
              </w:rPr>
              <w:t xml:space="preserve"> Design</w:t>
            </w:r>
          </w:p>
        </w:tc>
        <w:tc>
          <w:tcPr>
            <w:tcW w:w="1320" w:type="dxa"/>
            <w:shd w:val="clear" w:color="auto" w:fill="auto"/>
            <w:noWrap/>
            <w:vAlign w:val="center"/>
            <w:hideMark/>
          </w:tcPr>
          <w:p w14:paraId="767711E5" w14:textId="66651944"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$250</w:t>
            </w:r>
          </w:p>
        </w:tc>
        <w:tc>
          <w:tcPr>
            <w:tcW w:w="1320" w:type="dxa"/>
            <w:shd w:val="clear" w:color="auto" w:fill="auto"/>
            <w:noWrap/>
            <w:vAlign w:val="center"/>
            <w:hideMark/>
          </w:tcPr>
          <w:p w14:paraId="50F66BE3" w14:textId="0EF71BFB"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$253</w:t>
            </w:r>
          </w:p>
        </w:tc>
        <w:tc>
          <w:tcPr>
            <w:tcW w:w="1320" w:type="dxa"/>
            <w:shd w:val="clear" w:color="auto" w:fill="auto"/>
            <w:noWrap/>
            <w:vAlign w:val="center"/>
            <w:hideMark/>
          </w:tcPr>
          <w:p w14:paraId="1895BA4F" w14:textId="486E65FF"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$250</w:t>
            </w:r>
          </w:p>
        </w:tc>
      </w:tr>
      <w:tr w:rsidR="00764B90" w:rsidRPr="0063157A" w14:paraId="6C772BC5" w14:textId="77777777" w:rsidTr="17CECF10">
        <w:trPr>
          <w:trHeight w:val="302"/>
          <w:jc w:val="center"/>
        </w:trPr>
        <w:tc>
          <w:tcPr>
            <w:tcW w:w="5485" w:type="dxa"/>
            <w:shd w:val="clear" w:color="auto" w:fill="auto"/>
            <w:vAlign w:val="center"/>
            <w:hideMark/>
          </w:tcPr>
          <w:p w14:paraId="385A397E" w14:textId="32183D17" w:rsidR="00764B90" w:rsidRPr="007F7D60" w:rsidRDefault="27A1D2C5" w:rsidP="17CECF10">
            <w:pPr>
              <w:spacing w:line="240" w:lineRule="auto"/>
              <w:rPr>
                <w:rFonts w:ascii="Segoe UI" w:eastAsia="Times New Roman" w:hAnsi="Segoe UI" w:cs="Segoe UI"/>
                <w:color w:val="000000"/>
                <w:szCs w:val="24"/>
              </w:rPr>
            </w:pPr>
            <w:r w:rsidRPr="17CECF10">
              <w:rPr>
                <w:rFonts w:ascii="Segoe UI" w:hAnsi="Segoe UI" w:cs="Segoe UI"/>
                <w:sz w:val="22"/>
              </w:rPr>
              <w:t xml:space="preserve">Basic filing fee </w:t>
            </w:r>
            <w:r w:rsidR="72F84A2A" w:rsidRPr="17CECF10">
              <w:rPr>
                <w:rFonts w:ascii="Segoe UI" w:hAnsi="Segoe UI" w:cs="Segoe UI"/>
                <w:sz w:val="22"/>
              </w:rPr>
              <w:t>-</w:t>
            </w:r>
            <w:r w:rsidRPr="17CECF10">
              <w:rPr>
                <w:rFonts w:ascii="Segoe UI" w:hAnsi="Segoe UI" w:cs="Segoe UI"/>
                <w:sz w:val="22"/>
              </w:rPr>
              <w:t xml:space="preserve"> Design CPA</w:t>
            </w:r>
          </w:p>
        </w:tc>
        <w:tc>
          <w:tcPr>
            <w:tcW w:w="1320" w:type="dxa"/>
            <w:shd w:val="clear" w:color="auto" w:fill="auto"/>
            <w:noWrap/>
            <w:vAlign w:val="center"/>
            <w:hideMark/>
          </w:tcPr>
          <w:p w14:paraId="095C969F" w14:textId="7DA57BC7"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$723</w:t>
            </w:r>
          </w:p>
        </w:tc>
        <w:tc>
          <w:tcPr>
            <w:tcW w:w="1320" w:type="dxa"/>
            <w:shd w:val="clear" w:color="auto" w:fill="auto"/>
            <w:noWrap/>
            <w:vAlign w:val="center"/>
            <w:hideMark/>
          </w:tcPr>
          <w:p w14:paraId="400B0A08" w14:textId="6AED4A05"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$741</w:t>
            </w:r>
          </w:p>
        </w:tc>
        <w:tc>
          <w:tcPr>
            <w:tcW w:w="1320" w:type="dxa"/>
            <w:shd w:val="clear" w:color="auto" w:fill="auto"/>
            <w:noWrap/>
            <w:vAlign w:val="center"/>
            <w:hideMark/>
          </w:tcPr>
          <w:p w14:paraId="028CBE8F" w14:textId="53E2071C"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$930</w:t>
            </w:r>
          </w:p>
        </w:tc>
      </w:tr>
      <w:tr w:rsidR="00764B90" w:rsidRPr="0063157A" w14:paraId="23E2EC48" w14:textId="77777777" w:rsidTr="17CECF10">
        <w:trPr>
          <w:trHeight w:val="302"/>
          <w:jc w:val="center"/>
        </w:trPr>
        <w:tc>
          <w:tcPr>
            <w:tcW w:w="5485" w:type="dxa"/>
            <w:shd w:val="clear" w:color="auto" w:fill="auto"/>
            <w:vAlign w:val="center"/>
            <w:hideMark/>
          </w:tcPr>
          <w:p w14:paraId="32D70AC6" w14:textId="03051C63" w:rsidR="00764B90" w:rsidRPr="007F7D60" w:rsidRDefault="27A1D2C5" w:rsidP="17CECF10">
            <w:pPr>
              <w:spacing w:line="240" w:lineRule="auto"/>
              <w:rPr>
                <w:rFonts w:ascii="Segoe UI" w:eastAsia="Times New Roman" w:hAnsi="Segoe UI" w:cs="Segoe UI"/>
                <w:color w:val="000000"/>
                <w:szCs w:val="24"/>
              </w:rPr>
            </w:pPr>
            <w:r w:rsidRPr="17CECF10">
              <w:rPr>
                <w:rFonts w:ascii="Segoe UI" w:hAnsi="Segoe UI" w:cs="Segoe UI"/>
                <w:sz w:val="22"/>
              </w:rPr>
              <w:t xml:space="preserve">Basic filing fee </w:t>
            </w:r>
            <w:r w:rsidR="4221051F" w:rsidRPr="17CECF10">
              <w:rPr>
                <w:rFonts w:ascii="Segoe UI" w:hAnsi="Segoe UI" w:cs="Segoe UI"/>
                <w:sz w:val="22"/>
              </w:rPr>
              <w:t>–</w:t>
            </w:r>
            <w:r w:rsidRPr="17CECF10">
              <w:rPr>
                <w:rFonts w:ascii="Segoe UI" w:hAnsi="Segoe UI" w:cs="Segoe UI"/>
                <w:sz w:val="22"/>
              </w:rPr>
              <w:t xml:space="preserve"> Plant</w:t>
            </w:r>
          </w:p>
        </w:tc>
        <w:tc>
          <w:tcPr>
            <w:tcW w:w="1320" w:type="dxa"/>
            <w:shd w:val="clear" w:color="auto" w:fill="auto"/>
            <w:noWrap/>
            <w:vAlign w:val="center"/>
            <w:hideMark/>
          </w:tcPr>
          <w:p w14:paraId="68E4ACA8" w14:textId="08CC2796"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$250</w:t>
            </w:r>
          </w:p>
        </w:tc>
        <w:tc>
          <w:tcPr>
            <w:tcW w:w="1320" w:type="dxa"/>
            <w:shd w:val="clear" w:color="auto" w:fill="auto"/>
            <w:noWrap/>
            <w:vAlign w:val="center"/>
            <w:hideMark/>
          </w:tcPr>
          <w:p w14:paraId="27C08B90" w14:textId="6BB3FD22"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$253</w:t>
            </w:r>
          </w:p>
        </w:tc>
        <w:tc>
          <w:tcPr>
            <w:tcW w:w="1320" w:type="dxa"/>
            <w:shd w:val="clear" w:color="auto" w:fill="auto"/>
            <w:noWrap/>
            <w:vAlign w:val="center"/>
            <w:hideMark/>
          </w:tcPr>
          <w:p w14:paraId="20B6E7AF" w14:textId="50B68BED"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$250</w:t>
            </w:r>
          </w:p>
        </w:tc>
      </w:tr>
      <w:tr w:rsidR="00764B90" w:rsidRPr="0063157A" w14:paraId="672B3B29" w14:textId="77777777" w:rsidTr="17CECF10">
        <w:trPr>
          <w:trHeight w:val="302"/>
          <w:jc w:val="center"/>
        </w:trPr>
        <w:tc>
          <w:tcPr>
            <w:tcW w:w="5485" w:type="dxa"/>
            <w:shd w:val="clear" w:color="auto" w:fill="auto"/>
            <w:vAlign w:val="center"/>
            <w:hideMark/>
          </w:tcPr>
          <w:p w14:paraId="538F597A" w14:textId="05CA0F1A" w:rsidR="00764B90" w:rsidRPr="007F7D60" w:rsidRDefault="354ECD6A" w:rsidP="17CECF10">
            <w:pPr>
              <w:spacing w:line="240" w:lineRule="auto"/>
              <w:rPr>
                <w:rFonts w:ascii="Segoe UI" w:eastAsia="Times New Roman" w:hAnsi="Segoe UI" w:cs="Segoe UI"/>
                <w:color w:val="000000"/>
                <w:szCs w:val="24"/>
              </w:rPr>
            </w:pPr>
            <w:r w:rsidRPr="17CECF10">
              <w:rPr>
                <w:rFonts w:ascii="Segoe UI" w:hAnsi="Segoe UI" w:cs="Segoe UI"/>
                <w:sz w:val="22"/>
              </w:rPr>
              <w:t>Provisional application filing fee</w:t>
            </w:r>
          </w:p>
        </w:tc>
        <w:tc>
          <w:tcPr>
            <w:tcW w:w="1320" w:type="dxa"/>
            <w:shd w:val="clear" w:color="auto" w:fill="auto"/>
            <w:noWrap/>
            <w:vAlign w:val="center"/>
            <w:hideMark/>
          </w:tcPr>
          <w:p w14:paraId="6B993299" w14:textId="55A70FDF"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$147</w:t>
            </w:r>
          </w:p>
        </w:tc>
        <w:tc>
          <w:tcPr>
            <w:tcW w:w="1320" w:type="dxa"/>
            <w:shd w:val="clear" w:color="auto" w:fill="auto"/>
            <w:noWrap/>
            <w:vAlign w:val="center"/>
            <w:hideMark/>
          </w:tcPr>
          <w:p w14:paraId="6F3711F0" w14:textId="22DB9AA4"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$151</w:t>
            </w:r>
          </w:p>
        </w:tc>
        <w:tc>
          <w:tcPr>
            <w:tcW w:w="1320" w:type="dxa"/>
            <w:shd w:val="clear" w:color="auto" w:fill="auto"/>
            <w:noWrap/>
            <w:vAlign w:val="center"/>
            <w:hideMark/>
          </w:tcPr>
          <w:p w14:paraId="2EB815DB" w14:textId="6957F0AE"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$142</w:t>
            </w:r>
          </w:p>
        </w:tc>
      </w:tr>
      <w:tr w:rsidR="00764B90" w:rsidRPr="0063157A" w14:paraId="3994C3B2" w14:textId="77777777" w:rsidTr="17CECF10">
        <w:trPr>
          <w:trHeight w:val="302"/>
          <w:jc w:val="center"/>
        </w:trPr>
        <w:tc>
          <w:tcPr>
            <w:tcW w:w="5485" w:type="dxa"/>
            <w:shd w:val="clear" w:color="auto" w:fill="auto"/>
            <w:vAlign w:val="center"/>
            <w:hideMark/>
          </w:tcPr>
          <w:p w14:paraId="0089947A" w14:textId="761EA94D" w:rsidR="00764B90" w:rsidRPr="007F7D60" w:rsidRDefault="27A1D2C5" w:rsidP="17CECF10">
            <w:pPr>
              <w:spacing w:line="240" w:lineRule="auto"/>
              <w:rPr>
                <w:rFonts w:ascii="Segoe UI" w:eastAsia="Times New Roman" w:hAnsi="Segoe UI" w:cs="Segoe UI"/>
                <w:color w:val="000000"/>
                <w:szCs w:val="24"/>
              </w:rPr>
            </w:pPr>
            <w:r w:rsidRPr="17CECF10">
              <w:rPr>
                <w:rFonts w:ascii="Segoe UI" w:hAnsi="Segoe UI" w:cs="Segoe UI"/>
                <w:sz w:val="22"/>
              </w:rPr>
              <w:t xml:space="preserve">Basic filing fee </w:t>
            </w:r>
            <w:r w:rsidR="4221051F" w:rsidRPr="17CECF10">
              <w:rPr>
                <w:rFonts w:ascii="Segoe UI" w:hAnsi="Segoe UI" w:cs="Segoe UI"/>
                <w:sz w:val="22"/>
              </w:rPr>
              <w:t>–</w:t>
            </w:r>
            <w:r w:rsidRPr="17CECF10">
              <w:rPr>
                <w:rFonts w:ascii="Segoe UI" w:hAnsi="Segoe UI" w:cs="Segoe UI"/>
                <w:sz w:val="22"/>
              </w:rPr>
              <w:t xml:space="preserve"> Reissue</w:t>
            </w:r>
          </w:p>
        </w:tc>
        <w:tc>
          <w:tcPr>
            <w:tcW w:w="1320" w:type="dxa"/>
            <w:shd w:val="clear" w:color="auto" w:fill="auto"/>
            <w:noWrap/>
            <w:vAlign w:val="center"/>
            <w:hideMark/>
          </w:tcPr>
          <w:p w14:paraId="77375AF4" w14:textId="42887775"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$247</w:t>
            </w:r>
          </w:p>
        </w:tc>
        <w:tc>
          <w:tcPr>
            <w:tcW w:w="1320" w:type="dxa"/>
            <w:shd w:val="clear" w:color="auto" w:fill="auto"/>
            <w:noWrap/>
            <w:vAlign w:val="center"/>
            <w:hideMark/>
          </w:tcPr>
          <w:p w14:paraId="21A94492" w14:textId="3BBBE125"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$252</w:t>
            </w:r>
          </w:p>
        </w:tc>
        <w:tc>
          <w:tcPr>
            <w:tcW w:w="1320" w:type="dxa"/>
            <w:shd w:val="clear" w:color="auto" w:fill="auto"/>
            <w:noWrap/>
            <w:vAlign w:val="center"/>
            <w:hideMark/>
          </w:tcPr>
          <w:p w14:paraId="75B84750" w14:textId="248D8B0A"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$249</w:t>
            </w:r>
          </w:p>
        </w:tc>
      </w:tr>
      <w:tr w:rsidR="00764B90" w:rsidRPr="0063157A" w14:paraId="2640935B" w14:textId="77777777" w:rsidTr="17CECF10">
        <w:trPr>
          <w:trHeight w:val="302"/>
          <w:jc w:val="center"/>
        </w:trPr>
        <w:tc>
          <w:tcPr>
            <w:tcW w:w="5485" w:type="dxa"/>
            <w:shd w:val="clear" w:color="auto" w:fill="auto"/>
            <w:vAlign w:val="center"/>
            <w:hideMark/>
          </w:tcPr>
          <w:p w14:paraId="1B24526B" w14:textId="17616425" w:rsidR="00764B90" w:rsidRPr="007F7D60" w:rsidRDefault="0F5DDC9B" w:rsidP="17CECF10">
            <w:pPr>
              <w:spacing w:line="240" w:lineRule="auto"/>
              <w:rPr>
                <w:rFonts w:ascii="Segoe UI" w:eastAsia="Times New Roman" w:hAnsi="Segoe UI" w:cs="Segoe UI"/>
                <w:color w:val="000000"/>
                <w:szCs w:val="24"/>
              </w:rPr>
            </w:pPr>
            <w:r w:rsidRPr="17CECF10">
              <w:rPr>
                <w:rFonts w:ascii="Segoe UI" w:hAnsi="Segoe UI" w:cs="Segoe UI"/>
                <w:sz w:val="22"/>
              </w:rPr>
              <w:t>Basic filing fee - Reissue (Design CPA)</w:t>
            </w:r>
          </w:p>
        </w:tc>
        <w:tc>
          <w:tcPr>
            <w:tcW w:w="1320" w:type="dxa"/>
            <w:shd w:val="clear" w:color="auto" w:fill="auto"/>
            <w:noWrap/>
            <w:vAlign w:val="center"/>
            <w:hideMark/>
          </w:tcPr>
          <w:p w14:paraId="05F3FC58" w14:textId="13EFD7D1"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$723</w:t>
            </w:r>
          </w:p>
        </w:tc>
        <w:tc>
          <w:tcPr>
            <w:tcW w:w="1320" w:type="dxa"/>
            <w:shd w:val="clear" w:color="auto" w:fill="auto"/>
            <w:noWrap/>
            <w:vAlign w:val="center"/>
            <w:hideMark/>
          </w:tcPr>
          <w:p w14:paraId="7C24791B" w14:textId="26C8AB3C"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$741</w:t>
            </w:r>
          </w:p>
        </w:tc>
        <w:tc>
          <w:tcPr>
            <w:tcW w:w="1320" w:type="dxa"/>
            <w:shd w:val="clear" w:color="auto" w:fill="auto"/>
            <w:noWrap/>
            <w:vAlign w:val="center"/>
            <w:hideMark/>
          </w:tcPr>
          <w:p w14:paraId="1E470968" w14:textId="5DDA27C0"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$930</w:t>
            </w:r>
          </w:p>
        </w:tc>
      </w:tr>
      <w:tr w:rsidR="00764B90" w:rsidRPr="0063157A" w14:paraId="0D839733" w14:textId="77777777" w:rsidTr="17CECF10">
        <w:trPr>
          <w:trHeight w:val="302"/>
          <w:jc w:val="center"/>
        </w:trPr>
        <w:tc>
          <w:tcPr>
            <w:tcW w:w="5485" w:type="dxa"/>
            <w:shd w:val="clear" w:color="auto" w:fill="auto"/>
            <w:vAlign w:val="center"/>
            <w:hideMark/>
          </w:tcPr>
          <w:p w14:paraId="1661C2DB" w14:textId="3ED1F5C1" w:rsidR="00764B90" w:rsidRPr="007F7D60" w:rsidRDefault="36BFBD1E" w:rsidP="17CECF10">
            <w:pPr>
              <w:spacing w:line="240" w:lineRule="auto"/>
              <w:rPr>
                <w:rFonts w:ascii="Segoe UI" w:eastAsia="Times New Roman" w:hAnsi="Segoe UI" w:cs="Segoe UI"/>
                <w:color w:val="000000"/>
                <w:szCs w:val="24"/>
              </w:rPr>
            </w:pPr>
            <w:r w:rsidRPr="17CECF10">
              <w:rPr>
                <w:rFonts w:ascii="Segoe UI" w:hAnsi="Segoe UI" w:cs="Segoe UI"/>
                <w:sz w:val="22"/>
              </w:rPr>
              <w:t xml:space="preserve">Utility </w:t>
            </w:r>
            <w:r w:rsidR="3826059E" w:rsidRPr="17CECF10">
              <w:rPr>
                <w:rFonts w:ascii="Segoe UI" w:hAnsi="Segoe UI" w:cs="Segoe UI"/>
                <w:sz w:val="22"/>
              </w:rPr>
              <w:t>s</w:t>
            </w:r>
            <w:r w:rsidRPr="17CECF10">
              <w:rPr>
                <w:rFonts w:ascii="Segoe UI" w:hAnsi="Segoe UI" w:cs="Segoe UI"/>
                <w:sz w:val="22"/>
              </w:rPr>
              <w:t xml:space="preserve">earch </w:t>
            </w:r>
            <w:r w:rsidR="62945C23" w:rsidRPr="17CECF10">
              <w:rPr>
                <w:rFonts w:ascii="Segoe UI" w:hAnsi="Segoe UI" w:cs="Segoe UI"/>
                <w:sz w:val="22"/>
              </w:rPr>
              <w:t>f</w:t>
            </w:r>
            <w:r w:rsidRPr="17CECF10">
              <w:rPr>
                <w:rFonts w:ascii="Segoe UI" w:hAnsi="Segoe UI" w:cs="Segoe UI"/>
                <w:sz w:val="22"/>
              </w:rPr>
              <w:t>ee</w:t>
            </w:r>
          </w:p>
        </w:tc>
        <w:tc>
          <w:tcPr>
            <w:tcW w:w="1320" w:type="dxa"/>
            <w:shd w:val="clear" w:color="auto" w:fill="auto"/>
            <w:noWrap/>
            <w:vAlign w:val="center"/>
            <w:hideMark/>
          </w:tcPr>
          <w:p w14:paraId="3D3EE0AE" w14:textId="422FE7F1"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$2,276</w:t>
            </w:r>
          </w:p>
        </w:tc>
        <w:tc>
          <w:tcPr>
            <w:tcW w:w="1320" w:type="dxa"/>
            <w:shd w:val="clear" w:color="auto" w:fill="auto"/>
            <w:noWrap/>
            <w:vAlign w:val="center"/>
            <w:hideMark/>
          </w:tcPr>
          <w:p w14:paraId="303E35AC" w14:textId="6C52A38B"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$2,457</w:t>
            </w:r>
          </w:p>
        </w:tc>
        <w:tc>
          <w:tcPr>
            <w:tcW w:w="1320" w:type="dxa"/>
            <w:shd w:val="clear" w:color="auto" w:fill="auto"/>
            <w:noWrap/>
            <w:vAlign w:val="center"/>
            <w:hideMark/>
          </w:tcPr>
          <w:p w14:paraId="5D9DE5BE" w14:textId="27620C5E"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$2,430</w:t>
            </w:r>
          </w:p>
        </w:tc>
      </w:tr>
      <w:tr w:rsidR="00764B90" w:rsidRPr="0063157A" w14:paraId="018920AF" w14:textId="77777777" w:rsidTr="17CECF10">
        <w:trPr>
          <w:trHeight w:val="302"/>
          <w:jc w:val="center"/>
        </w:trPr>
        <w:tc>
          <w:tcPr>
            <w:tcW w:w="5485" w:type="dxa"/>
            <w:shd w:val="clear" w:color="auto" w:fill="auto"/>
            <w:vAlign w:val="center"/>
            <w:hideMark/>
          </w:tcPr>
          <w:p w14:paraId="0C4C2598" w14:textId="391A807C" w:rsidR="00764B90" w:rsidRPr="007F7D60" w:rsidRDefault="27A1D2C5" w:rsidP="17CECF10">
            <w:pPr>
              <w:spacing w:line="240" w:lineRule="auto"/>
              <w:rPr>
                <w:rFonts w:ascii="Segoe UI" w:eastAsia="Times New Roman" w:hAnsi="Segoe UI" w:cs="Segoe UI"/>
                <w:color w:val="000000"/>
                <w:szCs w:val="24"/>
              </w:rPr>
            </w:pPr>
            <w:r w:rsidRPr="17CECF10">
              <w:rPr>
                <w:rFonts w:ascii="Segoe UI" w:hAnsi="Segoe UI" w:cs="Segoe UI"/>
                <w:szCs w:val="24"/>
              </w:rPr>
              <w:t xml:space="preserve">Design </w:t>
            </w:r>
            <w:r w:rsidR="3CEF4DC4" w:rsidRPr="17CECF10">
              <w:rPr>
                <w:rFonts w:ascii="Segoe UI" w:hAnsi="Segoe UI" w:cs="Segoe UI"/>
                <w:szCs w:val="24"/>
              </w:rPr>
              <w:t>s</w:t>
            </w:r>
            <w:r w:rsidRPr="17CECF10">
              <w:rPr>
                <w:rFonts w:ascii="Segoe UI" w:hAnsi="Segoe UI" w:cs="Segoe UI"/>
                <w:szCs w:val="24"/>
              </w:rPr>
              <w:t xml:space="preserve">earch </w:t>
            </w:r>
            <w:r w:rsidR="3BEDB9F4" w:rsidRPr="17CECF10">
              <w:rPr>
                <w:rFonts w:ascii="Segoe UI" w:hAnsi="Segoe UI" w:cs="Segoe UI"/>
                <w:szCs w:val="24"/>
              </w:rPr>
              <w:t>f</w:t>
            </w:r>
            <w:r w:rsidRPr="17CECF10">
              <w:rPr>
                <w:rFonts w:ascii="Segoe UI" w:hAnsi="Segoe UI" w:cs="Segoe UI"/>
                <w:szCs w:val="24"/>
              </w:rPr>
              <w:t xml:space="preserve">ee or Design CPA </w:t>
            </w:r>
            <w:r w:rsidR="18C5A42E" w:rsidRPr="17CECF10">
              <w:rPr>
                <w:rFonts w:ascii="Segoe UI" w:hAnsi="Segoe UI" w:cs="Segoe UI"/>
                <w:szCs w:val="24"/>
              </w:rPr>
              <w:t>s</w:t>
            </w:r>
            <w:r w:rsidRPr="17CECF10">
              <w:rPr>
                <w:rFonts w:ascii="Segoe UI" w:hAnsi="Segoe UI" w:cs="Segoe UI"/>
                <w:szCs w:val="24"/>
              </w:rPr>
              <w:t xml:space="preserve">earch </w:t>
            </w:r>
            <w:r w:rsidR="27DDC915" w:rsidRPr="17CECF10">
              <w:rPr>
                <w:rFonts w:ascii="Segoe UI" w:hAnsi="Segoe UI" w:cs="Segoe UI"/>
                <w:szCs w:val="24"/>
              </w:rPr>
              <w:t>f</w:t>
            </w:r>
            <w:r w:rsidRPr="17CECF10">
              <w:rPr>
                <w:rFonts w:ascii="Segoe UI" w:hAnsi="Segoe UI" w:cs="Segoe UI"/>
                <w:szCs w:val="24"/>
              </w:rPr>
              <w:t>ee</w:t>
            </w:r>
          </w:p>
        </w:tc>
        <w:tc>
          <w:tcPr>
            <w:tcW w:w="1320" w:type="dxa"/>
            <w:shd w:val="clear" w:color="auto" w:fill="auto"/>
            <w:noWrap/>
            <w:vAlign w:val="center"/>
            <w:hideMark/>
          </w:tcPr>
          <w:p w14:paraId="36D34B3B" w14:textId="0EDDBC45"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Cs w:val="24"/>
              </w:rPr>
              <w:t>$448</w:t>
            </w:r>
          </w:p>
        </w:tc>
        <w:tc>
          <w:tcPr>
            <w:tcW w:w="1320" w:type="dxa"/>
            <w:shd w:val="clear" w:color="auto" w:fill="auto"/>
            <w:noWrap/>
            <w:vAlign w:val="center"/>
            <w:hideMark/>
          </w:tcPr>
          <w:p w14:paraId="62F9EE53" w14:textId="0575DAEB"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Cs w:val="24"/>
              </w:rPr>
              <w:t>$456</w:t>
            </w:r>
          </w:p>
        </w:tc>
        <w:tc>
          <w:tcPr>
            <w:tcW w:w="1320" w:type="dxa"/>
            <w:shd w:val="clear" w:color="auto" w:fill="auto"/>
            <w:noWrap/>
            <w:vAlign w:val="center"/>
            <w:hideMark/>
          </w:tcPr>
          <w:p w14:paraId="2938C277" w14:textId="083354DF"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Cs w:val="24"/>
              </w:rPr>
              <w:t>$532</w:t>
            </w:r>
          </w:p>
        </w:tc>
      </w:tr>
      <w:tr w:rsidR="00764B90" w:rsidRPr="0063157A" w14:paraId="71CF0A66" w14:textId="77777777" w:rsidTr="17CECF10">
        <w:trPr>
          <w:trHeight w:val="302"/>
          <w:jc w:val="center"/>
        </w:trPr>
        <w:tc>
          <w:tcPr>
            <w:tcW w:w="5485" w:type="dxa"/>
            <w:shd w:val="clear" w:color="auto" w:fill="auto"/>
            <w:vAlign w:val="center"/>
            <w:hideMark/>
          </w:tcPr>
          <w:p w14:paraId="04B777B3" w14:textId="0A48DAA9" w:rsidR="00764B90" w:rsidRPr="007F7D60" w:rsidRDefault="36BFBD1E" w:rsidP="17CECF10">
            <w:pPr>
              <w:spacing w:line="240" w:lineRule="auto"/>
              <w:rPr>
                <w:rFonts w:ascii="Segoe UI" w:eastAsia="Times New Roman" w:hAnsi="Segoe UI" w:cs="Segoe UI"/>
                <w:color w:val="000000"/>
                <w:szCs w:val="24"/>
              </w:rPr>
            </w:pPr>
            <w:r w:rsidRPr="17CECF10">
              <w:rPr>
                <w:rFonts w:ascii="Segoe UI" w:hAnsi="Segoe UI" w:cs="Segoe UI"/>
                <w:sz w:val="22"/>
              </w:rPr>
              <w:t xml:space="preserve">Plant </w:t>
            </w:r>
            <w:r w:rsidR="4A9C9AE3" w:rsidRPr="17CECF10">
              <w:rPr>
                <w:rFonts w:ascii="Segoe UI" w:hAnsi="Segoe UI" w:cs="Segoe UI"/>
                <w:sz w:val="22"/>
              </w:rPr>
              <w:t>s</w:t>
            </w:r>
            <w:r w:rsidRPr="17CECF10">
              <w:rPr>
                <w:rFonts w:ascii="Segoe UI" w:hAnsi="Segoe UI" w:cs="Segoe UI"/>
                <w:sz w:val="22"/>
              </w:rPr>
              <w:t xml:space="preserve">earch </w:t>
            </w:r>
            <w:r w:rsidR="758C0C70" w:rsidRPr="17CECF10">
              <w:rPr>
                <w:rFonts w:ascii="Segoe UI" w:hAnsi="Segoe UI" w:cs="Segoe UI"/>
                <w:sz w:val="22"/>
              </w:rPr>
              <w:t>f</w:t>
            </w:r>
            <w:r w:rsidRPr="17CECF10">
              <w:rPr>
                <w:rFonts w:ascii="Segoe UI" w:hAnsi="Segoe UI" w:cs="Segoe UI"/>
                <w:sz w:val="22"/>
              </w:rPr>
              <w:t>ee</w:t>
            </w:r>
          </w:p>
        </w:tc>
        <w:tc>
          <w:tcPr>
            <w:tcW w:w="1320" w:type="dxa"/>
            <w:shd w:val="clear" w:color="auto" w:fill="auto"/>
            <w:noWrap/>
            <w:vAlign w:val="center"/>
            <w:hideMark/>
          </w:tcPr>
          <w:p w14:paraId="46640DBD" w14:textId="12339721"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$2,276</w:t>
            </w:r>
          </w:p>
        </w:tc>
        <w:tc>
          <w:tcPr>
            <w:tcW w:w="1320" w:type="dxa"/>
            <w:shd w:val="clear" w:color="auto" w:fill="auto"/>
            <w:noWrap/>
            <w:vAlign w:val="center"/>
            <w:hideMark/>
          </w:tcPr>
          <w:p w14:paraId="076FE93B" w14:textId="1A60D721"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$2,457</w:t>
            </w:r>
          </w:p>
        </w:tc>
        <w:tc>
          <w:tcPr>
            <w:tcW w:w="1320" w:type="dxa"/>
            <w:shd w:val="clear" w:color="auto" w:fill="auto"/>
            <w:noWrap/>
            <w:vAlign w:val="center"/>
            <w:hideMark/>
          </w:tcPr>
          <w:p w14:paraId="6B5332C1" w14:textId="2C1CEEAA"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$2,430</w:t>
            </w:r>
          </w:p>
        </w:tc>
      </w:tr>
      <w:tr w:rsidR="00764B90" w:rsidRPr="0063157A" w14:paraId="440364D6" w14:textId="77777777" w:rsidTr="17CECF10">
        <w:trPr>
          <w:trHeight w:val="302"/>
          <w:jc w:val="center"/>
        </w:trPr>
        <w:tc>
          <w:tcPr>
            <w:tcW w:w="5485" w:type="dxa"/>
            <w:shd w:val="clear" w:color="auto" w:fill="auto"/>
            <w:vAlign w:val="center"/>
            <w:hideMark/>
          </w:tcPr>
          <w:p w14:paraId="2ECEE7A9" w14:textId="3D7A7B67" w:rsidR="00764B90" w:rsidRPr="007F7D60" w:rsidRDefault="27A1D2C5" w:rsidP="17CECF10">
            <w:pPr>
              <w:spacing w:line="240" w:lineRule="auto"/>
              <w:rPr>
                <w:rFonts w:ascii="Segoe UI" w:eastAsia="Times New Roman" w:hAnsi="Segoe UI" w:cs="Segoe UI"/>
                <w:color w:val="000000"/>
                <w:szCs w:val="24"/>
              </w:rPr>
            </w:pPr>
            <w:r w:rsidRPr="17CECF10">
              <w:rPr>
                <w:rFonts w:ascii="Segoe UI" w:hAnsi="Segoe UI" w:cs="Segoe UI"/>
                <w:sz w:val="22"/>
              </w:rPr>
              <w:lastRenderedPageBreak/>
              <w:t xml:space="preserve">Reissue </w:t>
            </w:r>
            <w:r w:rsidR="028687F4" w:rsidRPr="17CECF10">
              <w:rPr>
                <w:rFonts w:ascii="Segoe UI" w:hAnsi="Segoe UI" w:cs="Segoe UI"/>
                <w:sz w:val="22"/>
              </w:rPr>
              <w:t>s</w:t>
            </w:r>
            <w:r w:rsidRPr="17CECF10">
              <w:rPr>
                <w:rFonts w:ascii="Segoe UI" w:hAnsi="Segoe UI" w:cs="Segoe UI"/>
                <w:sz w:val="22"/>
              </w:rPr>
              <w:t xml:space="preserve">earch </w:t>
            </w:r>
            <w:r w:rsidR="3366C193" w:rsidRPr="17CECF10">
              <w:rPr>
                <w:rFonts w:ascii="Segoe UI" w:hAnsi="Segoe UI" w:cs="Segoe UI"/>
                <w:sz w:val="22"/>
              </w:rPr>
              <w:t>f</w:t>
            </w:r>
            <w:r w:rsidRPr="17CECF10">
              <w:rPr>
                <w:rFonts w:ascii="Segoe UI" w:hAnsi="Segoe UI" w:cs="Segoe UI"/>
                <w:sz w:val="22"/>
              </w:rPr>
              <w:t xml:space="preserve">ee or Reissue (Design CPA) </w:t>
            </w:r>
            <w:r w:rsidR="7CF0071F" w:rsidRPr="17CECF10">
              <w:rPr>
                <w:rFonts w:ascii="Segoe UI" w:hAnsi="Segoe UI" w:cs="Segoe UI"/>
                <w:sz w:val="22"/>
              </w:rPr>
              <w:t>s</w:t>
            </w:r>
            <w:r w:rsidRPr="17CECF10">
              <w:rPr>
                <w:rFonts w:ascii="Segoe UI" w:hAnsi="Segoe UI" w:cs="Segoe UI"/>
                <w:sz w:val="22"/>
              </w:rPr>
              <w:t xml:space="preserve">earch </w:t>
            </w:r>
            <w:r w:rsidR="60E59058" w:rsidRPr="17CECF10">
              <w:rPr>
                <w:rFonts w:ascii="Segoe UI" w:hAnsi="Segoe UI" w:cs="Segoe UI"/>
                <w:sz w:val="22"/>
              </w:rPr>
              <w:t>f</w:t>
            </w:r>
            <w:r w:rsidRPr="17CECF10">
              <w:rPr>
                <w:rFonts w:ascii="Segoe UI" w:hAnsi="Segoe UI" w:cs="Segoe UI"/>
                <w:sz w:val="22"/>
              </w:rPr>
              <w:t>ee</w:t>
            </w:r>
          </w:p>
        </w:tc>
        <w:tc>
          <w:tcPr>
            <w:tcW w:w="1320" w:type="dxa"/>
            <w:shd w:val="clear" w:color="auto" w:fill="auto"/>
            <w:noWrap/>
            <w:vAlign w:val="center"/>
            <w:hideMark/>
          </w:tcPr>
          <w:p w14:paraId="7D0802CF" w14:textId="429528C8"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$2,276</w:t>
            </w:r>
          </w:p>
        </w:tc>
        <w:tc>
          <w:tcPr>
            <w:tcW w:w="1320" w:type="dxa"/>
            <w:shd w:val="clear" w:color="auto" w:fill="auto"/>
            <w:noWrap/>
            <w:vAlign w:val="center"/>
            <w:hideMark/>
          </w:tcPr>
          <w:p w14:paraId="3760C40C" w14:textId="12A10A42"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$2,457</w:t>
            </w:r>
          </w:p>
        </w:tc>
        <w:tc>
          <w:tcPr>
            <w:tcW w:w="1320" w:type="dxa"/>
            <w:shd w:val="clear" w:color="auto" w:fill="auto"/>
            <w:noWrap/>
            <w:vAlign w:val="center"/>
            <w:hideMark/>
          </w:tcPr>
          <w:p w14:paraId="164DDC26" w14:textId="4B9ABA41"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$2,430</w:t>
            </w:r>
          </w:p>
        </w:tc>
      </w:tr>
      <w:tr w:rsidR="00764B90" w:rsidRPr="0063157A" w14:paraId="18C06098" w14:textId="77777777" w:rsidTr="17CECF10">
        <w:trPr>
          <w:trHeight w:val="302"/>
          <w:jc w:val="center"/>
        </w:trPr>
        <w:tc>
          <w:tcPr>
            <w:tcW w:w="5485" w:type="dxa"/>
            <w:shd w:val="clear" w:color="auto" w:fill="auto"/>
            <w:vAlign w:val="center"/>
            <w:hideMark/>
          </w:tcPr>
          <w:p w14:paraId="51404713" w14:textId="28F82912" w:rsidR="00764B90" w:rsidRPr="007F7D60" w:rsidRDefault="36BFBD1E" w:rsidP="17CECF10">
            <w:pPr>
              <w:spacing w:line="240" w:lineRule="auto"/>
              <w:rPr>
                <w:rFonts w:ascii="Segoe UI" w:eastAsia="Times New Roman" w:hAnsi="Segoe UI" w:cs="Segoe UI"/>
                <w:color w:val="000000"/>
                <w:szCs w:val="24"/>
              </w:rPr>
            </w:pPr>
            <w:r w:rsidRPr="17CECF10">
              <w:rPr>
                <w:rFonts w:ascii="Segoe UI" w:hAnsi="Segoe UI" w:cs="Segoe UI"/>
                <w:sz w:val="22"/>
              </w:rPr>
              <w:t xml:space="preserve">Utility </w:t>
            </w:r>
            <w:r w:rsidR="2D380EDF" w:rsidRPr="17CECF10">
              <w:rPr>
                <w:rFonts w:ascii="Segoe UI" w:hAnsi="Segoe UI" w:cs="Segoe UI"/>
                <w:sz w:val="22"/>
              </w:rPr>
              <w:t>e</w:t>
            </w:r>
            <w:r w:rsidRPr="17CECF10">
              <w:rPr>
                <w:rFonts w:ascii="Segoe UI" w:hAnsi="Segoe UI" w:cs="Segoe UI"/>
                <w:sz w:val="22"/>
              </w:rPr>
              <w:t xml:space="preserve">xamination </w:t>
            </w:r>
            <w:r w:rsidR="0FDD2678" w:rsidRPr="17CECF10">
              <w:rPr>
                <w:rFonts w:ascii="Segoe UI" w:hAnsi="Segoe UI" w:cs="Segoe UI"/>
                <w:sz w:val="22"/>
              </w:rPr>
              <w:t>f</w:t>
            </w:r>
            <w:r w:rsidRPr="17CECF10">
              <w:rPr>
                <w:rFonts w:ascii="Segoe UI" w:hAnsi="Segoe UI" w:cs="Segoe UI"/>
                <w:sz w:val="22"/>
              </w:rPr>
              <w:t>ee</w:t>
            </w:r>
          </w:p>
        </w:tc>
        <w:tc>
          <w:tcPr>
            <w:tcW w:w="1320" w:type="dxa"/>
            <w:shd w:val="clear" w:color="auto" w:fill="auto"/>
            <w:noWrap/>
            <w:vAlign w:val="center"/>
            <w:hideMark/>
          </w:tcPr>
          <w:p w14:paraId="7CE3D6ED" w14:textId="794F9BFA"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$2,877</w:t>
            </w:r>
          </w:p>
        </w:tc>
        <w:tc>
          <w:tcPr>
            <w:tcW w:w="1320" w:type="dxa"/>
            <w:shd w:val="clear" w:color="auto" w:fill="auto"/>
            <w:noWrap/>
            <w:vAlign w:val="center"/>
            <w:hideMark/>
          </w:tcPr>
          <w:p w14:paraId="4BB935C9" w14:textId="234A6DF2"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$3,144</w:t>
            </w:r>
          </w:p>
        </w:tc>
        <w:tc>
          <w:tcPr>
            <w:tcW w:w="1320" w:type="dxa"/>
            <w:shd w:val="clear" w:color="auto" w:fill="auto"/>
            <w:noWrap/>
            <w:vAlign w:val="center"/>
            <w:hideMark/>
          </w:tcPr>
          <w:p w14:paraId="1B514B3F" w14:textId="4040A6E8"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$3,100</w:t>
            </w:r>
          </w:p>
        </w:tc>
      </w:tr>
      <w:tr w:rsidR="00764B90" w:rsidRPr="0063157A" w14:paraId="58A9869D" w14:textId="77777777" w:rsidTr="17CECF10">
        <w:trPr>
          <w:trHeight w:val="302"/>
          <w:jc w:val="center"/>
        </w:trPr>
        <w:tc>
          <w:tcPr>
            <w:tcW w:w="5485" w:type="dxa"/>
            <w:shd w:val="clear" w:color="auto" w:fill="auto"/>
            <w:vAlign w:val="center"/>
            <w:hideMark/>
          </w:tcPr>
          <w:p w14:paraId="27465D3E" w14:textId="3C919376" w:rsidR="00764B90" w:rsidRPr="007F7D60" w:rsidRDefault="27A1D2C5" w:rsidP="17CECF10">
            <w:pPr>
              <w:spacing w:line="240" w:lineRule="auto"/>
              <w:rPr>
                <w:rFonts w:ascii="Segoe UI" w:eastAsia="Times New Roman" w:hAnsi="Segoe UI" w:cs="Segoe UI"/>
                <w:color w:val="000000"/>
                <w:szCs w:val="24"/>
              </w:rPr>
            </w:pPr>
            <w:r w:rsidRPr="17CECF10">
              <w:rPr>
                <w:rFonts w:ascii="Segoe UI" w:hAnsi="Segoe UI" w:cs="Segoe UI"/>
                <w:sz w:val="22"/>
              </w:rPr>
              <w:t xml:space="preserve">Design </w:t>
            </w:r>
            <w:r w:rsidR="095DDE03" w:rsidRPr="17CECF10">
              <w:rPr>
                <w:rFonts w:ascii="Segoe UI" w:hAnsi="Segoe UI" w:cs="Segoe UI"/>
                <w:sz w:val="22"/>
              </w:rPr>
              <w:t>e</w:t>
            </w:r>
            <w:r w:rsidRPr="17CECF10">
              <w:rPr>
                <w:rFonts w:ascii="Segoe UI" w:hAnsi="Segoe UI" w:cs="Segoe UI"/>
                <w:sz w:val="22"/>
              </w:rPr>
              <w:t xml:space="preserve">xamination </w:t>
            </w:r>
            <w:r w:rsidR="54CF2CFD" w:rsidRPr="17CECF10">
              <w:rPr>
                <w:rFonts w:ascii="Segoe UI" w:hAnsi="Segoe UI" w:cs="Segoe UI"/>
                <w:sz w:val="22"/>
              </w:rPr>
              <w:t>f</w:t>
            </w:r>
            <w:r w:rsidRPr="17CECF10">
              <w:rPr>
                <w:rFonts w:ascii="Segoe UI" w:hAnsi="Segoe UI" w:cs="Segoe UI"/>
                <w:sz w:val="22"/>
              </w:rPr>
              <w:t xml:space="preserve">ee or Design CPA </w:t>
            </w:r>
            <w:r w:rsidR="2C788A98" w:rsidRPr="17CECF10">
              <w:rPr>
                <w:rFonts w:ascii="Segoe UI" w:hAnsi="Segoe UI" w:cs="Segoe UI"/>
                <w:sz w:val="22"/>
              </w:rPr>
              <w:t>e</w:t>
            </w:r>
            <w:r w:rsidRPr="17CECF10">
              <w:rPr>
                <w:rFonts w:ascii="Segoe UI" w:hAnsi="Segoe UI" w:cs="Segoe UI"/>
                <w:sz w:val="22"/>
              </w:rPr>
              <w:t xml:space="preserve">xamination </w:t>
            </w:r>
            <w:r w:rsidR="61B2FA4A" w:rsidRPr="17CECF10">
              <w:rPr>
                <w:rFonts w:ascii="Segoe UI" w:hAnsi="Segoe UI" w:cs="Segoe UI"/>
                <w:sz w:val="22"/>
              </w:rPr>
              <w:t>f</w:t>
            </w:r>
            <w:r w:rsidRPr="17CECF10">
              <w:rPr>
                <w:rFonts w:ascii="Segoe UI" w:hAnsi="Segoe UI" w:cs="Segoe UI"/>
                <w:sz w:val="22"/>
              </w:rPr>
              <w:t>ee</w:t>
            </w:r>
          </w:p>
        </w:tc>
        <w:tc>
          <w:tcPr>
            <w:tcW w:w="1320" w:type="dxa"/>
            <w:shd w:val="clear" w:color="auto" w:fill="auto"/>
            <w:noWrap/>
            <w:vAlign w:val="center"/>
            <w:hideMark/>
          </w:tcPr>
          <w:p w14:paraId="672F3CEA" w14:textId="3228A2DA"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$724</w:t>
            </w:r>
          </w:p>
        </w:tc>
        <w:tc>
          <w:tcPr>
            <w:tcW w:w="1320" w:type="dxa"/>
            <w:shd w:val="clear" w:color="auto" w:fill="auto"/>
            <w:noWrap/>
            <w:vAlign w:val="center"/>
            <w:hideMark/>
          </w:tcPr>
          <w:p w14:paraId="1A40B7F9" w14:textId="7AF68387"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$782</w:t>
            </w:r>
          </w:p>
        </w:tc>
        <w:tc>
          <w:tcPr>
            <w:tcW w:w="1320" w:type="dxa"/>
            <w:shd w:val="clear" w:color="auto" w:fill="auto"/>
            <w:noWrap/>
            <w:vAlign w:val="center"/>
            <w:hideMark/>
          </w:tcPr>
          <w:p w14:paraId="3FDE9290" w14:textId="2ABBBD65"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$835</w:t>
            </w:r>
          </w:p>
        </w:tc>
      </w:tr>
      <w:tr w:rsidR="00764B90" w:rsidRPr="0063157A" w14:paraId="577FF258" w14:textId="77777777" w:rsidTr="17CECF10">
        <w:trPr>
          <w:trHeight w:val="302"/>
          <w:jc w:val="center"/>
        </w:trPr>
        <w:tc>
          <w:tcPr>
            <w:tcW w:w="5485" w:type="dxa"/>
            <w:shd w:val="clear" w:color="auto" w:fill="auto"/>
            <w:vAlign w:val="center"/>
            <w:hideMark/>
          </w:tcPr>
          <w:p w14:paraId="7A9E08E0" w14:textId="14A08DD2" w:rsidR="00764B90" w:rsidRPr="007F7D60" w:rsidRDefault="36BFBD1E" w:rsidP="17CECF10">
            <w:pPr>
              <w:spacing w:line="240" w:lineRule="auto"/>
              <w:rPr>
                <w:rFonts w:ascii="Segoe UI" w:eastAsia="Times New Roman" w:hAnsi="Segoe UI" w:cs="Segoe UI"/>
                <w:color w:val="000000"/>
                <w:szCs w:val="24"/>
              </w:rPr>
            </w:pPr>
            <w:r w:rsidRPr="17CECF10">
              <w:rPr>
                <w:rFonts w:ascii="Segoe UI" w:hAnsi="Segoe UI" w:cs="Segoe UI"/>
                <w:sz w:val="22"/>
              </w:rPr>
              <w:t xml:space="preserve">Plant </w:t>
            </w:r>
            <w:r w:rsidR="5E38BF74" w:rsidRPr="17CECF10">
              <w:rPr>
                <w:rFonts w:ascii="Segoe UI" w:hAnsi="Segoe UI" w:cs="Segoe UI"/>
                <w:sz w:val="22"/>
              </w:rPr>
              <w:t>e</w:t>
            </w:r>
            <w:r w:rsidRPr="17CECF10">
              <w:rPr>
                <w:rFonts w:ascii="Segoe UI" w:hAnsi="Segoe UI" w:cs="Segoe UI"/>
                <w:sz w:val="22"/>
              </w:rPr>
              <w:t xml:space="preserve">xamination </w:t>
            </w:r>
            <w:r w:rsidR="77641481" w:rsidRPr="17CECF10">
              <w:rPr>
                <w:rFonts w:ascii="Segoe UI" w:hAnsi="Segoe UI" w:cs="Segoe UI"/>
                <w:sz w:val="22"/>
              </w:rPr>
              <w:t>f</w:t>
            </w:r>
            <w:r w:rsidRPr="17CECF10">
              <w:rPr>
                <w:rFonts w:ascii="Segoe UI" w:hAnsi="Segoe UI" w:cs="Segoe UI"/>
                <w:sz w:val="22"/>
              </w:rPr>
              <w:t>ee</w:t>
            </w:r>
          </w:p>
        </w:tc>
        <w:tc>
          <w:tcPr>
            <w:tcW w:w="1320" w:type="dxa"/>
            <w:shd w:val="clear" w:color="auto" w:fill="auto"/>
            <w:noWrap/>
            <w:vAlign w:val="center"/>
            <w:hideMark/>
          </w:tcPr>
          <w:p w14:paraId="500883A5" w14:textId="10928B02"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$2,877</w:t>
            </w:r>
          </w:p>
        </w:tc>
        <w:tc>
          <w:tcPr>
            <w:tcW w:w="1320" w:type="dxa"/>
            <w:shd w:val="clear" w:color="auto" w:fill="auto"/>
            <w:noWrap/>
            <w:vAlign w:val="center"/>
            <w:hideMark/>
          </w:tcPr>
          <w:p w14:paraId="71AF357E" w14:textId="47532A5A"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$3,144</w:t>
            </w:r>
          </w:p>
        </w:tc>
        <w:tc>
          <w:tcPr>
            <w:tcW w:w="1320" w:type="dxa"/>
            <w:shd w:val="clear" w:color="auto" w:fill="auto"/>
            <w:noWrap/>
            <w:vAlign w:val="center"/>
            <w:hideMark/>
          </w:tcPr>
          <w:p w14:paraId="69A419D5" w14:textId="1AE6B8DF"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$3,100</w:t>
            </w:r>
          </w:p>
        </w:tc>
      </w:tr>
      <w:tr w:rsidR="00764B90" w:rsidRPr="0063157A" w14:paraId="67CE8973" w14:textId="77777777" w:rsidTr="17CECF10">
        <w:trPr>
          <w:trHeight w:val="302"/>
          <w:jc w:val="center"/>
        </w:trPr>
        <w:tc>
          <w:tcPr>
            <w:tcW w:w="5485" w:type="dxa"/>
            <w:shd w:val="clear" w:color="auto" w:fill="auto"/>
            <w:vAlign w:val="center"/>
            <w:hideMark/>
          </w:tcPr>
          <w:p w14:paraId="6280FE5F" w14:textId="2B231850" w:rsidR="00764B90" w:rsidRPr="007F7D60" w:rsidRDefault="0F5DDC9B" w:rsidP="17CECF10">
            <w:pPr>
              <w:spacing w:line="240" w:lineRule="auto"/>
              <w:rPr>
                <w:rFonts w:ascii="Segoe UI" w:eastAsia="Times New Roman" w:hAnsi="Segoe UI" w:cs="Segoe UI"/>
                <w:color w:val="000000"/>
                <w:szCs w:val="24"/>
              </w:rPr>
            </w:pPr>
            <w:r w:rsidRPr="17CECF10">
              <w:rPr>
                <w:rFonts w:ascii="Segoe UI" w:hAnsi="Segoe UI" w:cs="Segoe UI"/>
                <w:sz w:val="22"/>
              </w:rPr>
              <w:t>Reissue Examination Fee or Reissue (Design CPA) Examination Fee</w:t>
            </w:r>
          </w:p>
        </w:tc>
        <w:tc>
          <w:tcPr>
            <w:tcW w:w="1320" w:type="dxa"/>
            <w:shd w:val="clear" w:color="auto" w:fill="auto"/>
            <w:noWrap/>
            <w:vAlign w:val="center"/>
            <w:hideMark/>
          </w:tcPr>
          <w:p w14:paraId="104D1FFD" w14:textId="3FAD4F1C"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$2,877</w:t>
            </w:r>
          </w:p>
        </w:tc>
        <w:tc>
          <w:tcPr>
            <w:tcW w:w="1320" w:type="dxa"/>
            <w:shd w:val="clear" w:color="auto" w:fill="auto"/>
            <w:noWrap/>
            <w:vAlign w:val="center"/>
            <w:hideMark/>
          </w:tcPr>
          <w:p w14:paraId="79D0E33B" w14:textId="5A6153CA"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$3,144</w:t>
            </w:r>
          </w:p>
        </w:tc>
        <w:tc>
          <w:tcPr>
            <w:tcW w:w="1320" w:type="dxa"/>
            <w:shd w:val="clear" w:color="auto" w:fill="auto"/>
            <w:noWrap/>
            <w:vAlign w:val="center"/>
            <w:hideMark/>
          </w:tcPr>
          <w:p w14:paraId="5DAA42B9" w14:textId="1DEE0BAD"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$3,100</w:t>
            </w:r>
          </w:p>
        </w:tc>
      </w:tr>
      <w:tr w:rsidR="00764B90" w:rsidRPr="0063157A" w14:paraId="683CD734" w14:textId="77777777" w:rsidTr="17CECF10">
        <w:trPr>
          <w:trHeight w:val="302"/>
          <w:jc w:val="center"/>
        </w:trPr>
        <w:tc>
          <w:tcPr>
            <w:tcW w:w="5485" w:type="dxa"/>
            <w:shd w:val="clear" w:color="auto" w:fill="auto"/>
            <w:vAlign w:val="center"/>
            <w:hideMark/>
          </w:tcPr>
          <w:p w14:paraId="797BDD3C" w14:textId="274300B0" w:rsidR="00764B90" w:rsidRPr="007F7D60" w:rsidRDefault="354ECD6A" w:rsidP="17CECF10">
            <w:pPr>
              <w:spacing w:line="240" w:lineRule="auto"/>
              <w:rPr>
                <w:rFonts w:ascii="Segoe UI" w:eastAsia="Times New Roman" w:hAnsi="Segoe UI" w:cs="Segoe UI"/>
                <w:color w:val="000000"/>
                <w:szCs w:val="24"/>
              </w:rPr>
            </w:pPr>
            <w:r w:rsidRPr="17CECF10">
              <w:rPr>
                <w:rFonts w:ascii="Segoe UI" w:hAnsi="Segoe UI" w:cs="Segoe UI"/>
                <w:sz w:val="22"/>
              </w:rPr>
              <w:t>Utility issue fee</w:t>
            </w:r>
          </w:p>
        </w:tc>
        <w:tc>
          <w:tcPr>
            <w:tcW w:w="1320" w:type="dxa"/>
            <w:shd w:val="clear" w:color="auto" w:fill="auto"/>
            <w:noWrap/>
            <w:vAlign w:val="center"/>
            <w:hideMark/>
          </w:tcPr>
          <w:p w14:paraId="6DFC532D" w14:textId="023CC5DB"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$348</w:t>
            </w:r>
          </w:p>
        </w:tc>
        <w:tc>
          <w:tcPr>
            <w:tcW w:w="1320" w:type="dxa"/>
            <w:shd w:val="clear" w:color="auto" w:fill="auto"/>
            <w:noWrap/>
            <w:vAlign w:val="center"/>
            <w:hideMark/>
          </w:tcPr>
          <w:p w14:paraId="040FC7A8" w14:textId="550779C1"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$431</w:t>
            </w:r>
          </w:p>
        </w:tc>
        <w:tc>
          <w:tcPr>
            <w:tcW w:w="1320" w:type="dxa"/>
            <w:shd w:val="clear" w:color="auto" w:fill="auto"/>
            <w:noWrap/>
            <w:vAlign w:val="center"/>
            <w:hideMark/>
          </w:tcPr>
          <w:p w14:paraId="6C6B377E" w14:textId="3DFF4F96"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$574</w:t>
            </w:r>
          </w:p>
        </w:tc>
      </w:tr>
      <w:tr w:rsidR="00764B90" w:rsidRPr="0063157A" w14:paraId="7DF8F4D5" w14:textId="77777777" w:rsidTr="17CECF10">
        <w:trPr>
          <w:trHeight w:val="302"/>
          <w:jc w:val="center"/>
        </w:trPr>
        <w:tc>
          <w:tcPr>
            <w:tcW w:w="5485" w:type="dxa"/>
            <w:shd w:val="clear" w:color="auto" w:fill="auto"/>
            <w:vAlign w:val="center"/>
            <w:hideMark/>
          </w:tcPr>
          <w:p w14:paraId="0118DE9B" w14:textId="4E327BF3" w:rsidR="00764B90" w:rsidRPr="007F7D60" w:rsidRDefault="354ECD6A" w:rsidP="17CECF10">
            <w:pPr>
              <w:spacing w:line="240" w:lineRule="auto"/>
              <w:rPr>
                <w:rFonts w:ascii="Segoe UI" w:eastAsia="Times New Roman" w:hAnsi="Segoe UI" w:cs="Segoe UI"/>
                <w:color w:val="000000"/>
                <w:szCs w:val="24"/>
              </w:rPr>
            </w:pPr>
            <w:r w:rsidRPr="17CECF10">
              <w:rPr>
                <w:rFonts w:ascii="Segoe UI" w:hAnsi="Segoe UI" w:cs="Segoe UI"/>
                <w:sz w:val="22"/>
              </w:rPr>
              <w:t>Reissue issue fee</w:t>
            </w:r>
          </w:p>
        </w:tc>
        <w:tc>
          <w:tcPr>
            <w:tcW w:w="1320" w:type="dxa"/>
            <w:shd w:val="clear" w:color="auto" w:fill="auto"/>
            <w:noWrap/>
            <w:vAlign w:val="center"/>
            <w:hideMark/>
          </w:tcPr>
          <w:p w14:paraId="24A790A8" w14:textId="24A2BC96"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$348</w:t>
            </w:r>
          </w:p>
        </w:tc>
        <w:tc>
          <w:tcPr>
            <w:tcW w:w="1320" w:type="dxa"/>
            <w:shd w:val="clear" w:color="auto" w:fill="auto"/>
            <w:noWrap/>
            <w:vAlign w:val="center"/>
            <w:hideMark/>
          </w:tcPr>
          <w:p w14:paraId="4B65314B" w14:textId="61BC5144"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$431</w:t>
            </w:r>
          </w:p>
        </w:tc>
        <w:tc>
          <w:tcPr>
            <w:tcW w:w="1320" w:type="dxa"/>
            <w:shd w:val="clear" w:color="auto" w:fill="auto"/>
            <w:noWrap/>
            <w:vAlign w:val="center"/>
            <w:hideMark/>
          </w:tcPr>
          <w:p w14:paraId="0420EB8B" w14:textId="130C3101"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$574</w:t>
            </w:r>
          </w:p>
        </w:tc>
      </w:tr>
      <w:tr w:rsidR="00764B90" w:rsidRPr="0063157A" w14:paraId="18C89A82" w14:textId="77777777" w:rsidTr="17CECF10">
        <w:trPr>
          <w:trHeight w:val="302"/>
          <w:jc w:val="center"/>
        </w:trPr>
        <w:tc>
          <w:tcPr>
            <w:tcW w:w="5485" w:type="dxa"/>
            <w:shd w:val="clear" w:color="auto" w:fill="auto"/>
            <w:vAlign w:val="center"/>
            <w:hideMark/>
          </w:tcPr>
          <w:p w14:paraId="52D57834" w14:textId="5E0652A9" w:rsidR="00764B90" w:rsidRPr="007F7D60" w:rsidRDefault="354ECD6A" w:rsidP="17CECF10">
            <w:pPr>
              <w:spacing w:line="240" w:lineRule="auto"/>
              <w:rPr>
                <w:rFonts w:ascii="Segoe UI" w:eastAsia="Times New Roman" w:hAnsi="Segoe UI" w:cs="Segoe UI"/>
                <w:color w:val="000000"/>
                <w:szCs w:val="24"/>
              </w:rPr>
            </w:pPr>
            <w:r w:rsidRPr="17CECF10">
              <w:rPr>
                <w:rFonts w:ascii="Segoe UI" w:hAnsi="Segoe UI" w:cs="Segoe UI"/>
                <w:sz w:val="22"/>
              </w:rPr>
              <w:t>Design issue fee</w:t>
            </w:r>
          </w:p>
        </w:tc>
        <w:tc>
          <w:tcPr>
            <w:tcW w:w="1320" w:type="dxa"/>
            <w:shd w:val="clear" w:color="auto" w:fill="auto"/>
            <w:noWrap/>
            <w:vAlign w:val="center"/>
            <w:hideMark/>
          </w:tcPr>
          <w:p w14:paraId="2DE01BD9" w14:textId="63035032"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$348</w:t>
            </w:r>
          </w:p>
        </w:tc>
        <w:tc>
          <w:tcPr>
            <w:tcW w:w="1320" w:type="dxa"/>
            <w:shd w:val="clear" w:color="auto" w:fill="auto"/>
            <w:noWrap/>
            <w:vAlign w:val="center"/>
            <w:hideMark/>
          </w:tcPr>
          <w:p w14:paraId="09991C24" w14:textId="574D29FA"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$431</w:t>
            </w:r>
          </w:p>
        </w:tc>
        <w:tc>
          <w:tcPr>
            <w:tcW w:w="1320" w:type="dxa"/>
            <w:shd w:val="clear" w:color="auto" w:fill="auto"/>
            <w:noWrap/>
            <w:vAlign w:val="center"/>
            <w:hideMark/>
          </w:tcPr>
          <w:p w14:paraId="51D94F6B" w14:textId="0D97AC89"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$574</w:t>
            </w:r>
          </w:p>
        </w:tc>
      </w:tr>
      <w:tr w:rsidR="00764B90" w:rsidRPr="0063157A" w14:paraId="25CB90E8" w14:textId="77777777" w:rsidTr="17CECF10">
        <w:trPr>
          <w:trHeight w:val="302"/>
          <w:jc w:val="center"/>
        </w:trPr>
        <w:tc>
          <w:tcPr>
            <w:tcW w:w="5485" w:type="dxa"/>
            <w:shd w:val="clear" w:color="auto" w:fill="auto"/>
            <w:vAlign w:val="center"/>
            <w:hideMark/>
          </w:tcPr>
          <w:p w14:paraId="62DC3083" w14:textId="610DA5C3" w:rsidR="00764B90" w:rsidRPr="007F7D60" w:rsidRDefault="354ECD6A" w:rsidP="17CECF10">
            <w:pPr>
              <w:spacing w:line="240" w:lineRule="auto"/>
              <w:rPr>
                <w:rFonts w:ascii="Segoe UI" w:eastAsia="Times New Roman" w:hAnsi="Segoe UI" w:cs="Segoe UI"/>
                <w:color w:val="000000"/>
                <w:szCs w:val="24"/>
              </w:rPr>
            </w:pPr>
            <w:r w:rsidRPr="17CECF10">
              <w:rPr>
                <w:rFonts w:ascii="Segoe UI" w:hAnsi="Segoe UI" w:cs="Segoe UI"/>
                <w:sz w:val="22"/>
              </w:rPr>
              <w:t>Plant issue fee</w:t>
            </w:r>
          </w:p>
        </w:tc>
        <w:tc>
          <w:tcPr>
            <w:tcW w:w="1320" w:type="dxa"/>
            <w:shd w:val="clear" w:color="auto" w:fill="auto"/>
            <w:noWrap/>
            <w:vAlign w:val="center"/>
            <w:hideMark/>
          </w:tcPr>
          <w:p w14:paraId="47246522" w14:textId="1B83F51E"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$348</w:t>
            </w:r>
          </w:p>
        </w:tc>
        <w:tc>
          <w:tcPr>
            <w:tcW w:w="1320" w:type="dxa"/>
            <w:shd w:val="clear" w:color="auto" w:fill="auto"/>
            <w:noWrap/>
            <w:vAlign w:val="center"/>
            <w:hideMark/>
          </w:tcPr>
          <w:p w14:paraId="5A4899E6" w14:textId="5039F06D"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$431</w:t>
            </w:r>
          </w:p>
        </w:tc>
        <w:tc>
          <w:tcPr>
            <w:tcW w:w="1320" w:type="dxa"/>
            <w:shd w:val="clear" w:color="auto" w:fill="auto"/>
            <w:noWrap/>
            <w:vAlign w:val="center"/>
            <w:hideMark/>
          </w:tcPr>
          <w:p w14:paraId="2E44F083" w14:textId="1BEF2DEA"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$574</w:t>
            </w:r>
          </w:p>
        </w:tc>
      </w:tr>
      <w:tr w:rsidR="00764B90" w:rsidRPr="0063157A" w14:paraId="3A014318" w14:textId="77777777" w:rsidTr="17CECF10">
        <w:trPr>
          <w:trHeight w:val="302"/>
          <w:jc w:val="center"/>
        </w:trPr>
        <w:tc>
          <w:tcPr>
            <w:tcW w:w="5485" w:type="dxa"/>
            <w:shd w:val="clear" w:color="auto" w:fill="auto"/>
            <w:vAlign w:val="center"/>
            <w:hideMark/>
          </w:tcPr>
          <w:p w14:paraId="0D82DA6B" w14:textId="69CE6942" w:rsidR="00764B90" w:rsidRPr="007F7D60" w:rsidRDefault="0F5DDC9B" w:rsidP="17CECF10">
            <w:pPr>
              <w:spacing w:line="240" w:lineRule="auto"/>
              <w:rPr>
                <w:rFonts w:ascii="Segoe UI" w:eastAsia="Times New Roman" w:hAnsi="Segoe UI" w:cs="Segoe UI"/>
                <w:color w:val="000000"/>
                <w:szCs w:val="24"/>
              </w:rPr>
            </w:pPr>
            <w:r w:rsidRPr="17CECF10">
              <w:rPr>
                <w:rFonts w:ascii="Segoe UI" w:hAnsi="Segoe UI" w:cs="Segoe UI"/>
                <w:sz w:val="22"/>
              </w:rPr>
              <w:t>Petition for the delayed payment of the fee for maintaining a patent in force</w:t>
            </w:r>
          </w:p>
        </w:tc>
        <w:tc>
          <w:tcPr>
            <w:tcW w:w="1320" w:type="dxa"/>
            <w:shd w:val="clear" w:color="auto" w:fill="auto"/>
            <w:noWrap/>
            <w:vAlign w:val="center"/>
            <w:hideMark/>
          </w:tcPr>
          <w:p w14:paraId="15389CF9" w14:textId="7C121B82"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$102</w:t>
            </w:r>
          </w:p>
        </w:tc>
        <w:tc>
          <w:tcPr>
            <w:tcW w:w="1320" w:type="dxa"/>
            <w:shd w:val="clear" w:color="auto" w:fill="auto"/>
            <w:noWrap/>
            <w:vAlign w:val="center"/>
            <w:hideMark/>
          </w:tcPr>
          <w:p w14:paraId="37EAB507" w14:textId="344C9B67"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$94</w:t>
            </w:r>
          </w:p>
        </w:tc>
        <w:tc>
          <w:tcPr>
            <w:tcW w:w="1320" w:type="dxa"/>
            <w:shd w:val="clear" w:color="auto" w:fill="auto"/>
            <w:noWrap/>
            <w:vAlign w:val="center"/>
            <w:hideMark/>
          </w:tcPr>
          <w:p w14:paraId="422FACB4" w14:textId="696C1D4B"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$161</w:t>
            </w:r>
          </w:p>
        </w:tc>
      </w:tr>
      <w:tr w:rsidR="00764B90" w:rsidRPr="0063157A" w14:paraId="30DBFBDB" w14:textId="77777777" w:rsidTr="17CECF10">
        <w:trPr>
          <w:trHeight w:val="302"/>
          <w:jc w:val="center"/>
        </w:trPr>
        <w:tc>
          <w:tcPr>
            <w:tcW w:w="5485" w:type="dxa"/>
            <w:shd w:val="clear" w:color="auto" w:fill="auto"/>
            <w:vAlign w:val="center"/>
            <w:hideMark/>
          </w:tcPr>
          <w:p w14:paraId="5D77B10E" w14:textId="54A6E634" w:rsidR="00764B90" w:rsidRPr="007F7D60" w:rsidRDefault="23B0A727" w:rsidP="17CECF10">
            <w:pPr>
              <w:spacing w:line="240" w:lineRule="auto"/>
              <w:rPr>
                <w:rFonts w:ascii="Segoe UI" w:eastAsia="Times New Roman" w:hAnsi="Segoe UI" w:cs="Segoe UI"/>
                <w:color w:val="000000"/>
                <w:szCs w:val="24"/>
              </w:rPr>
            </w:pPr>
            <w:r w:rsidRPr="17CECF10">
              <w:rPr>
                <w:rFonts w:ascii="Segoe UI" w:hAnsi="Segoe UI" w:cs="Segoe UI"/>
                <w:sz w:val="22"/>
              </w:rPr>
              <w:t>Request for continued examination (RCE) - 1st request (</w:t>
            </w:r>
            <w:r w:rsidRPr="17CECF10">
              <w:rPr>
                <w:rFonts w:ascii="Segoe UI" w:hAnsi="Segoe UI" w:cs="Segoe UI"/>
                <w:i/>
                <w:iCs/>
                <w:sz w:val="22"/>
              </w:rPr>
              <w:t>see</w:t>
            </w:r>
            <w:r w:rsidRPr="17CECF10">
              <w:rPr>
                <w:rFonts w:ascii="Segoe UI" w:hAnsi="Segoe UI" w:cs="Segoe UI"/>
                <w:sz w:val="22"/>
              </w:rPr>
              <w:t xml:space="preserve"> 37 CFR 1.114)</w:t>
            </w:r>
          </w:p>
        </w:tc>
        <w:tc>
          <w:tcPr>
            <w:tcW w:w="1320" w:type="dxa"/>
            <w:shd w:val="clear" w:color="auto" w:fill="auto"/>
            <w:noWrap/>
            <w:vAlign w:val="center"/>
            <w:hideMark/>
          </w:tcPr>
          <w:p w14:paraId="79701EE7" w14:textId="38D64FD9"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$2,611</w:t>
            </w:r>
          </w:p>
        </w:tc>
        <w:tc>
          <w:tcPr>
            <w:tcW w:w="1320" w:type="dxa"/>
            <w:shd w:val="clear" w:color="auto" w:fill="auto"/>
            <w:noWrap/>
            <w:vAlign w:val="center"/>
            <w:hideMark/>
          </w:tcPr>
          <w:p w14:paraId="5D5E7116" w14:textId="7F5AEE98"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$2,846</w:t>
            </w:r>
          </w:p>
        </w:tc>
        <w:tc>
          <w:tcPr>
            <w:tcW w:w="1320" w:type="dxa"/>
            <w:shd w:val="clear" w:color="auto" w:fill="auto"/>
            <w:noWrap/>
            <w:vAlign w:val="center"/>
            <w:hideMark/>
          </w:tcPr>
          <w:p w14:paraId="0B254BDC" w14:textId="77C71528"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$3,059</w:t>
            </w:r>
          </w:p>
        </w:tc>
      </w:tr>
      <w:tr w:rsidR="00764B90" w:rsidRPr="0063157A" w14:paraId="7311ACA0" w14:textId="77777777" w:rsidTr="17CECF10">
        <w:trPr>
          <w:trHeight w:val="302"/>
          <w:jc w:val="center"/>
        </w:trPr>
        <w:tc>
          <w:tcPr>
            <w:tcW w:w="5485" w:type="dxa"/>
            <w:shd w:val="clear" w:color="auto" w:fill="auto"/>
            <w:vAlign w:val="center"/>
            <w:hideMark/>
          </w:tcPr>
          <w:p w14:paraId="0259DE99" w14:textId="69AA5B33" w:rsidR="00764B90" w:rsidRPr="007F7D60" w:rsidRDefault="23B0A727" w:rsidP="17CECF10">
            <w:pPr>
              <w:spacing w:line="240" w:lineRule="auto"/>
              <w:rPr>
                <w:rFonts w:ascii="Segoe UI" w:eastAsia="Times New Roman" w:hAnsi="Segoe UI" w:cs="Segoe UI"/>
                <w:color w:val="000000"/>
                <w:szCs w:val="24"/>
              </w:rPr>
            </w:pPr>
            <w:r w:rsidRPr="17CECF10">
              <w:rPr>
                <w:rFonts w:ascii="Segoe UI" w:hAnsi="Segoe UI" w:cs="Segoe UI"/>
                <w:sz w:val="22"/>
              </w:rPr>
              <w:t>Request for continued examination (RCE) - 2nd and subsequent request (</w:t>
            </w:r>
            <w:r w:rsidRPr="17CECF10">
              <w:rPr>
                <w:rFonts w:ascii="Segoe UI" w:hAnsi="Segoe UI" w:cs="Segoe UI"/>
                <w:i/>
                <w:iCs/>
                <w:sz w:val="22"/>
              </w:rPr>
              <w:t>see</w:t>
            </w:r>
            <w:r w:rsidRPr="17CECF10">
              <w:rPr>
                <w:rFonts w:ascii="Segoe UI" w:hAnsi="Segoe UI" w:cs="Segoe UI"/>
                <w:sz w:val="22"/>
              </w:rPr>
              <w:t xml:space="preserve"> 37 CFR 1.114)</w:t>
            </w:r>
          </w:p>
        </w:tc>
        <w:tc>
          <w:tcPr>
            <w:tcW w:w="1320" w:type="dxa"/>
            <w:shd w:val="clear" w:color="auto" w:fill="auto"/>
            <w:noWrap/>
            <w:vAlign w:val="center"/>
            <w:hideMark/>
          </w:tcPr>
          <w:p w14:paraId="141F7ED8" w14:textId="16E449A1"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$1,959</w:t>
            </w:r>
          </w:p>
        </w:tc>
        <w:tc>
          <w:tcPr>
            <w:tcW w:w="1320" w:type="dxa"/>
            <w:shd w:val="clear" w:color="auto" w:fill="auto"/>
            <w:noWrap/>
            <w:vAlign w:val="center"/>
            <w:hideMark/>
          </w:tcPr>
          <w:p w14:paraId="1751D1F4" w14:textId="681DF7E0"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$2,130</w:t>
            </w:r>
          </w:p>
        </w:tc>
        <w:tc>
          <w:tcPr>
            <w:tcW w:w="1320" w:type="dxa"/>
            <w:shd w:val="clear" w:color="auto" w:fill="auto"/>
            <w:noWrap/>
            <w:vAlign w:val="center"/>
            <w:hideMark/>
          </w:tcPr>
          <w:p w14:paraId="38F03AEF" w14:textId="0AAC9001"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$2,191</w:t>
            </w:r>
          </w:p>
        </w:tc>
      </w:tr>
      <w:tr w:rsidR="00764B90" w:rsidRPr="0063157A" w14:paraId="6AD1F3CB" w14:textId="77777777" w:rsidTr="17CECF10">
        <w:trPr>
          <w:trHeight w:val="302"/>
          <w:jc w:val="center"/>
        </w:trPr>
        <w:tc>
          <w:tcPr>
            <w:tcW w:w="5485" w:type="dxa"/>
            <w:shd w:val="clear" w:color="auto" w:fill="auto"/>
            <w:vAlign w:val="center"/>
            <w:hideMark/>
          </w:tcPr>
          <w:p w14:paraId="0818731C" w14:textId="0F3F8A41" w:rsidR="00764B90" w:rsidRPr="007F7D60" w:rsidRDefault="354ECD6A" w:rsidP="17CECF10">
            <w:pPr>
              <w:spacing w:line="240" w:lineRule="auto"/>
              <w:rPr>
                <w:rFonts w:ascii="Segoe UI" w:eastAsia="Times New Roman" w:hAnsi="Segoe UI" w:cs="Segoe UI"/>
                <w:color w:val="000000"/>
                <w:szCs w:val="24"/>
              </w:rPr>
            </w:pPr>
            <w:r w:rsidRPr="17CECF10">
              <w:rPr>
                <w:rFonts w:ascii="Segoe UI" w:hAnsi="Segoe UI" w:cs="Segoe UI"/>
                <w:sz w:val="22"/>
              </w:rPr>
              <w:t>Other publication processing fee</w:t>
            </w:r>
          </w:p>
        </w:tc>
        <w:tc>
          <w:tcPr>
            <w:tcW w:w="1320" w:type="dxa"/>
            <w:shd w:val="clear" w:color="auto" w:fill="auto"/>
            <w:noWrap/>
            <w:vAlign w:val="center"/>
            <w:hideMark/>
          </w:tcPr>
          <w:p w14:paraId="273DAF88" w14:textId="7532BAC5"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$33</w:t>
            </w:r>
          </w:p>
        </w:tc>
        <w:tc>
          <w:tcPr>
            <w:tcW w:w="1320" w:type="dxa"/>
            <w:shd w:val="clear" w:color="auto" w:fill="auto"/>
            <w:noWrap/>
            <w:vAlign w:val="center"/>
            <w:hideMark/>
          </w:tcPr>
          <w:p w14:paraId="0483B287" w14:textId="06E2995B"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$35</w:t>
            </w:r>
          </w:p>
        </w:tc>
        <w:tc>
          <w:tcPr>
            <w:tcW w:w="1320" w:type="dxa"/>
            <w:shd w:val="clear" w:color="auto" w:fill="auto"/>
            <w:noWrap/>
            <w:vAlign w:val="center"/>
            <w:hideMark/>
          </w:tcPr>
          <w:p w14:paraId="4B648869" w14:textId="35BD5F4C"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$27</w:t>
            </w:r>
          </w:p>
        </w:tc>
      </w:tr>
      <w:tr w:rsidR="00764B90" w:rsidRPr="0063157A" w14:paraId="26D92F97" w14:textId="77777777" w:rsidTr="17CECF10">
        <w:trPr>
          <w:trHeight w:val="302"/>
          <w:jc w:val="center"/>
        </w:trPr>
        <w:tc>
          <w:tcPr>
            <w:tcW w:w="5485" w:type="dxa"/>
            <w:shd w:val="clear" w:color="auto" w:fill="auto"/>
            <w:vAlign w:val="center"/>
            <w:hideMark/>
          </w:tcPr>
          <w:p w14:paraId="13828FCF" w14:textId="2A9384F1" w:rsidR="00764B90" w:rsidRPr="007F7D60" w:rsidRDefault="0F5DDC9B" w:rsidP="17CECF10">
            <w:pPr>
              <w:spacing w:line="240" w:lineRule="auto"/>
              <w:rPr>
                <w:rFonts w:ascii="Segoe UI" w:hAnsi="Segoe UI" w:cs="Segoe UI"/>
                <w:szCs w:val="24"/>
              </w:rPr>
            </w:pPr>
            <w:r w:rsidRPr="17CECF10">
              <w:rPr>
                <w:rFonts w:ascii="Segoe UI" w:hAnsi="Segoe UI" w:cs="Segoe UI"/>
                <w:sz w:val="22"/>
              </w:rPr>
              <w:t>Request for voluntary publication or republication</w:t>
            </w:r>
          </w:p>
        </w:tc>
        <w:tc>
          <w:tcPr>
            <w:tcW w:w="1320" w:type="dxa"/>
            <w:shd w:val="clear" w:color="auto" w:fill="auto"/>
            <w:noWrap/>
            <w:vAlign w:val="center"/>
            <w:hideMark/>
          </w:tcPr>
          <w:p w14:paraId="60E335AF" w14:textId="7235CD80"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$102</w:t>
            </w:r>
          </w:p>
        </w:tc>
        <w:tc>
          <w:tcPr>
            <w:tcW w:w="1320" w:type="dxa"/>
            <w:shd w:val="clear" w:color="auto" w:fill="auto"/>
            <w:noWrap/>
            <w:vAlign w:val="center"/>
            <w:hideMark/>
          </w:tcPr>
          <w:p w14:paraId="078F7709" w14:textId="0FEB081D"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$94</w:t>
            </w:r>
          </w:p>
        </w:tc>
        <w:tc>
          <w:tcPr>
            <w:tcW w:w="1320" w:type="dxa"/>
            <w:shd w:val="clear" w:color="auto" w:fill="auto"/>
            <w:noWrap/>
            <w:vAlign w:val="center"/>
            <w:hideMark/>
          </w:tcPr>
          <w:p w14:paraId="25D63C6F" w14:textId="77B0E3A4"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$161</w:t>
            </w:r>
          </w:p>
        </w:tc>
      </w:tr>
      <w:tr w:rsidR="00764B90" w:rsidRPr="0063157A" w14:paraId="483551E3" w14:textId="77777777" w:rsidTr="17CECF10">
        <w:trPr>
          <w:trHeight w:val="302"/>
          <w:jc w:val="center"/>
        </w:trPr>
        <w:tc>
          <w:tcPr>
            <w:tcW w:w="5485" w:type="dxa"/>
            <w:shd w:val="clear" w:color="auto" w:fill="auto"/>
            <w:vAlign w:val="center"/>
            <w:hideMark/>
          </w:tcPr>
          <w:p w14:paraId="75036F58" w14:textId="459E6B18" w:rsidR="00764B90" w:rsidRPr="007F7D60" w:rsidRDefault="0F5DDC9B" w:rsidP="17CECF10">
            <w:pPr>
              <w:spacing w:line="240" w:lineRule="auto"/>
              <w:rPr>
                <w:rFonts w:ascii="Segoe UI" w:hAnsi="Segoe UI" w:cs="Segoe UI"/>
                <w:szCs w:val="24"/>
              </w:rPr>
            </w:pPr>
            <w:r w:rsidRPr="17CECF10">
              <w:rPr>
                <w:rFonts w:ascii="Segoe UI" w:hAnsi="Segoe UI" w:cs="Segoe UI"/>
                <w:sz w:val="22"/>
              </w:rPr>
              <w:t>Request for expedited examination of a design application</w:t>
            </w:r>
          </w:p>
        </w:tc>
        <w:tc>
          <w:tcPr>
            <w:tcW w:w="1320" w:type="dxa"/>
            <w:shd w:val="clear" w:color="auto" w:fill="auto"/>
            <w:noWrap/>
            <w:vAlign w:val="center"/>
            <w:hideMark/>
          </w:tcPr>
          <w:p w14:paraId="11A3B1FE" w14:textId="6E3ACF5D"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$102</w:t>
            </w:r>
          </w:p>
        </w:tc>
        <w:tc>
          <w:tcPr>
            <w:tcW w:w="1320" w:type="dxa"/>
            <w:shd w:val="clear" w:color="auto" w:fill="auto"/>
            <w:noWrap/>
            <w:vAlign w:val="center"/>
            <w:hideMark/>
          </w:tcPr>
          <w:p w14:paraId="4FF00DD4" w14:textId="569E2D52"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$94</w:t>
            </w:r>
          </w:p>
        </w:tc>
        <w:tc>
          <w:tcPr>
            <w:tcW w:w="1320" w:type="dxa"/>
            <w:shd w:val="clear" w:color="auto" w:fill="auto"/>
            <w:noWrap/>
            <w:vAlign w:val="center"/>
            <w:hideMark/>
          </w:tcPr>
          <w:p w14:paraId="474F4C77" w14:textId="0C898B27"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$161</w:t>
            </w:r>
          </w:p>
        </w:tc>
      </w:tr>
      <w:tr w:rsidR="00764B90" w:rsidRPr="0063157A" w14:paraId="0D06B51A" w14:textId="77777777" w:rsidTr="17CECF10">
        <w:trPr>
          <w:trHeight w:val="302"/>
          <w:jc w:val="center"/>
        </w:trPr>
        <w:tc>
          <w:tcPr>
            <w:tcW w:w="5485" w:type="dxa"/>
            <w:shd w:val="clear" w:color="auto" w:fill="auto"/>
            <w:vAlign w:val="center"/>
            <w:hideMark/>
          </w:tcPr>
          <w:p w14:paraId="40935771" w14:textId="0945DE6F" w:rsidR="00764B90" w:rsidRPr="007F7D60" w:rsidRDefault="0F5DDC9B" w:rsidP="17CECF10">
            <w:pPr>
              <w:spacing w:line="240" w:lineRule="auto"/>
              <w:rPr>
                <w:rFonts w:ascii="Segoe UI" w:hAnsi="Segoe UI" w:cs="Segoe UI"/>
                <w:szCs w:val="24"/>
              </w:rPr>
            </w:pPr>
            <w:r w:rsidRPr="17CECF10">
              <w:rPr>
                <w:rFonts w:ascii="Segoe UI" w:hAnsi="Segoe UI" w:cs="Segoe UI"/>
                <w:sz w:val="22"/>
              </w:rPr>
              <w:t>Processing fee for provisional applications</w:t>
            </w:r>
          </w:p>
        </w:tc>
        <w:tc>
          <w:tcPr>
            <w:tcW w:w="1320" w:type="dxa"/>
            <w:shd w:val="clear" w:color="auto" w:fill="auto"/>
            <w:noWrap/>
            <w:vAlign w:val="center"/>
            <w:hideMark/>
          </w:tcPr>
          <w:p w14:paraId="45D44567" w14:textId="1CF44142"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$33</w:t>
            </w:r>
          </w:p>
        </w:tc>
        <w:tc>
          <w:tcPr>
            <w:tcW w:w="1320" w:type="dxa"/>
            <w:shd w:val="clear" w:color="auto" w:fill="auto"/>
            <w:noWrap/>
            <w:vAlign w:val="center"/>
            <w:hideMark/>
          </w:tcPr>
          <w:p w14:paraId="7B77650B" w14:textId="5C97EB44"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$35</w:t>
            </w:r>
          </w:p>
        </w:tc>
        <w:tc>
          <w:tcPr>
            <w:tcW w:w="1320" w:type="dxa"/>
            <w:shd w:val="clear" w:color="auto" w:fill="auto"/>
            <w:noWrap/>
            <w:vAlign w:val="center"/>
            <w:hideMark/>
          </w:tcPr>
          <w:p w14:paraId="2E6C5507" w14:textId="1207458A"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$27</w:t>
            </w:r>
          </w:p>
        </w:tc>
      </w:tr>
      <w:tr w:rsidR="00764B90" w:rsidRPr="0063157A" w14:paraId="519EFB47" w14:textId="77777777" w:rsidTr="17CECF10">
        <w:trPr>
          <w:trHeight w:val="302"/>
          <w:jc w:val="center"/>
        </w:trPr>
        <w:tc>
          <w:tcPr>
            <w:tcW w:w="5485" w:type="dxa"/>
            <w:shd w:val="clear" w:color="auto" w:fill="auto"/>
            <w:vAlign w:val="center"/>
            <w:hideMark/>
          </w:tcPr>
          <w:p w14:paraId="555E6BD4" w14:textId="63717DFE" w:rsidR="00764B90" w:rsidRPr="007F7D60" w:rsidRDefault="23B0A727" w:rsidP="17CECF10">
            <w:pPr>
              <w:spacing w:line="240" w:lineRule="auto"/>
              <w:rPr>
                <w:rFonts w:ascii="Segoe UI" w:hAnsi="Segoe UI" w:cs="Segoe UI"/>
                <w:szCs w:val="24"/>
              </w:rPr>
            </w:pPr>
            <w:r w:rsidRPr="17CECF10">
              <w:rPr>
                <w:rFonts w:ascii="Segoe UI" w:hAnsi="Segoe UI" w:cs="Segoe UI"/>
                <w:sz w:val="22"/>
              </w:rPr>
              <w:t>Filing a submission after final rejection (</w:t>
            </w:r>
            <w:r w:rsidRPr="17CECF10">
              <w:rPr>
                <w:rFonts w:ascii="Segoe UI" w:hAnsi="Segoe UI" w:cs="Segoe UI"/>
                <w:i/>
                <w:iCs/>
                <w:sz w:val="22"/>
              </w:rPr>
              <w:t>see</w:t>
            </w:r>
            <w:r w:rsidRPr="17CECF10">
              <w:rPr>
                <w:rFonts w:ascii="Segoe UI" w:hAnsi="Segoe UI" w:cs="Segoe UI"/>
                <w:sz w:val="22"/>
              </w:rPr>
              <w:t xml:space="preserve"> 37 CFR 1.129(a))</w:t>
            </w:r>
          </w:p>
        </w:tc>
        <w:tc>
          <w:tcPr>
            <w:tcW w:w="1320" w:type="dxa"/>
            <w:shd w:val="clear" w:color="auto" w:fill="auto"/>
            <w:noWrap/>
            <w:vAlign w:val="center"/>
            <w:hideMark/>
          </w:tcPr>
          <w:p w14:paraId="2C1D3F0A" w14:textId="27394B6F"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$2,611</w:t>
            </w:r>
          </w:p>
        </w:tc>
        <w:tc>
          <w:tcPr>
            <w:tcW w:w="1320" w:type="dxa"/>
            <w:shd w:val="clear" w:color="auto" w:fill="auto"/>
            <w:noWrap/>
            <w:vAlign w:val="center"/>
            <w:hideMark/>
          </w:tcPr>
          <w:p w14:paraId="79083DAB" w14:textId="5F13D3E4"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$2,846</w:t>
            </w:r>
          </w:p>
        </w:tc>
        <w:tc>
          <w:tcPr>
            <w:tcW w:w="1320" w:type="dxa"/>
            <w:shd w:val="clear" w:color="auto" w:fill="auto"/>
            <w:noWrap/>
            <w:vAlign w:val="center"/>
            <w:hideMark/>
          </w:tcPr>
          <w:p w14:paraId="4C32BD8F" w14:textId="2D35E4C4"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$3,059</w:t>
            </w:r>
          </w:p>
        </w:tc>
      </w:tr>
      <w:tr w:rsidR="00764B90" w:rsidRPr="0063157A" w14:paraId="2847C199" w14:textId="77777777" w:rsidTr="17CECF10">
        <w:trPr>
          <w:trHeight w:val="302"/>
          <w:jc w:val="center"/>
        </w:trPr>
        <w:tc>
          <w:tcPr>
            <w:tcW w:w="5485" w:type="dxa"/>
            <w:shd w:val="clear" w:color="auto" w:fill="auto"/>
            <w:vAlign w:val="center"/>
            <w:hideMark/>
          </w:tcPr>
          <w:p w14:paraId="5B1AB4F3" w14:textId="516E6B93" w:rsidR="00764B90" w:rsidRPr="007F7D60" w:rsidRDefault="23B0A727" w:rsidP="17CECF10">
            <w:pPr>
              <w:spacing w:line="240" w:lineRule="auto"/>
              <w:rPr>
                <w:rFonts w:ascii="Segoe UI" w:hAnsi="Segoe UI" w:cs="Segoe UI"/>
                <w:szCs w:val="24"/>
              </w:rPr>
            </w:pPr>
            <w:r w:rsidRPr="17CECF10">
              <w:rPr>
                <w:rFonts w:ascii="Segoe UI" w:hAnsi="Segoe UI" w:cs="Segoe UI"/>
                <w:sz w:val="22"/>
              </w:rPr>
              <w:t>For each additional invention to be examined (</w:t>
            </w:r>
            <w:r w:rsidRPr="17CECF10">
              <w:rPr>
                <w:rFonts w:ascii="Segoe UI" w:hAnsi="Segoe UI" w:cs="Segoe UI"/>
                <w:i/>
                <w:iCs/>
                <w:sz w:val="22"/>
              </w:rPr>
              <w:t>see</w:t>
            </w:r>
            <w:r w:rsidRPr="17CECF10">
              <w:rPr>
                <w:rFonts w:ascii="Segoe UI" w:hAnsi="Segoe UI" w:cs="Segoe UI"/>
                <w:sz w:val="22"/>
              </w:rPr>
              <w:t xml:space="preserve"> 37 CFR 1.129(b))</w:t>
            </w:r>
          </w:p>
        </w:tc>
        <w:tc>
          <w:tcPr>
            <w:tcW w:w="1320" w:type="dxa"/>
            <w:shd w:val="clear" w:color="auto" w:fill="auto"/>
            <w:noWrap/>
            <w:vAlign w:val="center"/>
            <w:hideMark/>
          </w:tcPr>
          <w:p w14:paraId="569F9BEF" w14:textId="74EDD96E"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$2,611</w:t>
            </w:r>
          </w:p>
        </w:tc>
        <w:tc>
          <w:tcPr>
            <w:tcW w:w="1320" w:type="dxa"/>
            <w:shd w:val="clear" w:color="auto" w:fill="auto"/>
            <w:noWrap/>
            <w:vAlign w:val="center"/>
            <w:hideMark/>
          </w:tcPr>
          <w:p w14:paraId="442DF145" w14:textId="2142CB52"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$2,846</w:t>
            </w:r>
          </w:p>
        </w:tc>
        <w:tc>
          <w:tcPr>
            <w:tcW w:w="1320" w:type="dxa"/>
            <w:shd w:val="clear" w:color="auto" w:fill="auto"/>
            <w:noWrap/>
            <w:vAlign w:val="center"/>
            <w:hideMark/>
          </w:tcPr>
          <w:p w14:paraId="318DCEEA" w14:textId="0ACCF118"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$3,059</w:t>
            </w:r>
          </w:p>
        </w:tc>
      </w:tr>
      <w:tr w:rsidR="00764B90" w:rsidRPr="0063157A" w14:paraId="53148EDA" w14:textId="77777777" w:rsidTr="17CECF10">
        <w:trPr>
          <w:trHeight w:val="302"/>
          <w:jc w:val="center"/>
        </w:trPr>
        <w:tc>
          <w:tcPr>
            <w:tcW w:w="5485" w:type="dxa"/>
            <w:shd w:val="clear" w:color="auto" w:fill="auto"/>
            <w:vAlign w:val="center"/>
            <w:hideMark/>
          </w:tcPr>
          <w:p w14:paraId="63DAD535" w14:textId="748574AB" w:rsidR="00764B90" w:rsidRPr="007F7D60" w:rsidRDefault="354ECD6A" w:rsidP="17CECF10">
            <w:pPr>
              <w:spacing w:line="240" w:lineRule="auto"/>
              <w:rPr>
                <w:rFonts w:ascii="Segoe UI" w:eastAsia="Times New Roman" w:hAnsi="Segoe UI" w:cs="Segoe UI"/>
                <w:color w:val="000000"/>
                <w:szCs w:val="24"/>
              </w:rPr>
            </w:pPr>
            <w:r w:rsidRPr="17CECF10">
              <w:rPr>
                <w:rFonts w:ascii="Segoe UI" w:hAnsi="Segoe UI" w:cs="Segoe UI"/>
                <w:sz w:val="22"/>
              </w:rPr>
              <w:t>Certificate of correction</w:t>
            </w:r>
          </w:p>
        </w:tc>
        <w:tc>
          <w:tcPr>
            <w:tcW w:w="1320" w:type="dxa"/>
            <w:shd w:val="clear" w:color="auto" w:fill="auto"/>
            <w:noWrap/>
            <w:vAlign w:val="center"/>
            <w:hideMark/>
          </w:tcPr>
          <w:p w14:paraId="6E13A9DD" w14:textId="71B825B1"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$144</w:t>
            </w:r>
          </w:p>
        </w:tc>
        <w:tc>
          <w:tcPr>
            <w:tcW w:w="1320" w:type="dxa"/>
            <w:shd w:val="clear" w:color="auto" w:fill="auto"/>
            <w:noWrap/>
            <w:vAlign w:val="center"/>
            <w:hideMark/>
          </w:tcPr>
          <w:p w14:paraId="0368788D" w14:textId="29B3F62C"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$158</w:t>
            </w:r>
          </w:p>
        </w:tc>
        <w:tc>
          <w:tcPr>
            <w:tcW w:w="1320" w:type="dxa"/>
            <w:shd w:val="clear" w:color="auto" w:fill="auto"/>
            <w:noWrap/>
            <w:vAlign w:val="center"/>
            <w:hideMark/>
          </w:tcPr>
          <w:p w14:paraId="59E5770A" w14:textId="77405697"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$181</w:t>
            </w:r>
          </w:p>
        </w:tc>
      </w:tr>
      <w:tr w:rsidR="00764B90" w:rsidRPr="0063157A" w14:paraId="01408C8F" w14:textId="77777777" w:rsidTr="17CECF10">
        <w:trPr>
          <w:trHeight w:val="302"/>
          <w:jc w:val="center"/>
        </w:trPr>
        <w:tc>
          <w:tcPr>
            <w:tcW w:w="5485" w:type="dxa"/>
            <w:shd w:val="clear" w:color="auto" w:fill="auto"/>
            <w:vAlign w:val="center"/>
            <w:hideMark/>
          </w:tcPr>
          <w:p w14:paraId="56B92154" w14:textId="0BE25475" w:rsidR="00764B90" w:rsidRPr="007F7D60" w:rsidRDefault="354ECD6A" w:rsidP="17CECF10">
            <w:pPr>
              <w:spacing w:line="240" w:lineRule="auto"/>
              <w:rPr>
                <w:rFonts w:ascii="Segoe UI" w:eastAsia="Times New Roman" w:hAnsi="Segoe UI" w:cs="Segoe UI"/>
                <w:color w:val="000000"/>
                <w:szCs w:val="24"/>
              </w:rPr>
            </w:pPr>
            <w:r w:rsidRPr="17CECF10">
              <w:rPr>
                <w:rFonts w:ascii="Segoe UI" w:hAnsi="Segoe UI" w:cs="Segoe UI"/>
                <w:sz w:val="22"/>
              </w:rPr>
              <w:t xml:space="preserve">Ex </w:t>
            </w:r>
            <w:proofErr w:type="spellStart"/>
            <w:r w:rsidRPr="17CECF10">
              <w:rPr>
                <w:rFonts w:ascii="Segoe UI" w:hAnsi="Segoe UI" w:cs="Segoe UI"/>
                <w:sz w:val="22"/>
              </w:rPr>
              <w:t>parte</w:t>
            </w:r>
            <w:proofErr w:type="spellEnd"/>
            <w:r w:rsidRPr="17CECF10">
              <w:rPr>
                <w:rFonts w:ascii="Segoe UI" w:hAnsi="Segoe UI" w:cs="Segoe UI"/>
                <w:sz w:val="22"/>
              </w:rPr>
              <w:t xml:space="preserve"> reexamination (§1.510(a))</w:t>
            </w:r>
          </w:p>
        </w:tc>
        <w:tc>
          <w:tcPr>
            <w:tcW w:w="1320" w:type="dxa"/>
            <w:shd w:val="clear" w:color="auto" w:fill="auto"/>
            <w:noWrap/>
            <w:vAlign w:val="center"/>
            <w:hideMark/>
          </w:tcPr>
          <w:p w14:paraId="1DF22AC2" w14:textId="011A1BA8"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$54,809</w:t>
            </w:r>
          </w:p>
        </w:tc>
        <w:tc>
          <w:tcPr>
            <w:tcW w:w="1320" w:type="dxa"/>
            <w:shd w:val="clear" w:color="auto" w:fill="auto"/>
            <w:noWrap/>
            <w:vAlign w:val="center"/>
            <w:hideMark/>
          </w:tcPr>
          <w:p w14:paraId="6E5F1BCE" w14:textId="5C71C3DA"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$47,454</w:t>
            </w:r>
          </w:p>
        </w:tc>
        <w:tc>
          <w:tcPr>
            <w:tcW w:w="1320" w:type="dxa"/>
            <w:shd w:val="clear" w:color="auto" w:fill="auto"/>
            <w:noWrap/>
            <w:vAlign w:val="center"/>
            <w:hideMark/>
          </w:tcPr>
          <w:p w14:paraId="51BAAB0A" w14:textId="4C7BECFC"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$40,554</w:t>
            </w:r>
          </w:p>
        </w:tc>
      </w:tr>
      <w:tr w:rsidR="00764B90" w:rsidRPr="0063157A" w14:paraId="43D95C95" w14:textId="77777777" w:rsidTr="17CECF10">
        <w:trPr>
          <w:trHeight w:val="302"/>
          <w:jc w:val="center"/>
        </w:trPr>
        <w:tc>
          <w:tcPr>
            <w:tcW w:w="5485" w:type="dxa"/>
            <w:shd w:val="clear" w:color="auto" w:fill="auto"/>
            <w:vAlign w:val="center"/>
            <w:hideMark/>
          </w:tcPr>
          <w:p w14:paraId="245CE8F9" w14:textId="1CB42F64" w:rsidR="00764B90" w:rsidRPr="007F7D60" w:rsidRDefault="354ECD6A" w:rsidP="17CECF10">
            <w:pPr>
              <w:spacing w:line="240" w:lineRule="auto"/>
              <w:rPr>
                <w:rFonts w:ascii="Segoe UI" w:eastAsia="Times New Roman" w:hAnsi="Segoe UI" w:cs="Segoe UI"/>
                <w:color w:val="000000"/>
                <w:szCs w:val="24"/>
              </w:rPr>
            </w:pPr>
            <w:r w:rsidRPr="17CECF10">
              <w:rPr>
                <w:rFonts w:ascii="Segoe UI" w:hAnsi="Segoe UI" w:cs="Segoe UI"/>
                <w:sz w:val="22"/>
              </w:rPr>
              <w:t>Request for supplemental examination</w:t>
            </w:r>
          </w:p>
        </w:tc>
        <w:tc>
          <w:tcPr>
            <w:tcW w:w="1320" w:type="dxa"/>
            <w:shd w:val="clear" w:color="auto" w:fill="auto"/>
            <w:noWrap/>
            <w:vAlign w:val="center"/>
            <w:hideMark/>
          </w:tcPr>
          <w:p w14:paraId="262D1FCF" w14:textId="1504843A"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$10,488</w:t>
            </w:r>
          </w:p>
        </w:tc>
        <w:tc>
          <w:tcPr>
            <w:tcW w:w="1320" w:type="dxa"/>
            <w:shd w:val="clear" w:color="auto" w:fill="auto"/>
            <w:noWrap/>
            <w:vAlign w:val="center"/>
            <w:hideMark/>
          </w:tcPr>
          <w:p w14:paraId="2C2A0B86" w14:textId="71571DAD"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$9,980</w:t>
            </w:r>
          </w:p>
        </w:tc>
        <w:tc>
          <w:tcPr>
            <w:tcW w:w="1320" w:type="dxa"/>
            <w:shd w:val="clear" w:color="auto" w:fill="auto"/>
            <w:noWrap/>
            <w:vAlign w:val="center"/>
            <w:hideMark/>
          </w:tcPr>
          <w:p w14:paraId="6408E22A" w14:textId="2C21F13C"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$9,703</w:t>
            </w:r>
          </w:p>
        </w:tc>
      </w:tr>
      <w:tr w:rsidR="00764B90" w:rsidRPr="0063157A" w14:paraId="57E3FFEB" w14:textId="77777777" w:rsidTr="17CECF10">
        <w:trPr>
          <w:trHeight w:val="302"/>
          <w:jc w:val="center"/>
        </w:trPr>
        <w:tc>
          <w:tcPr>
            <w:tcW w:w="5485" w:type="dxa"/>
            <w:shd w:val="clear" w:color="auto" w:fill="auto"/>
            <w:vAlign w:val="center"/>
            <w:hideMark/>
          </w:tcPr>
          <w:p w14:paraId="04C190E8" w14:textId="2F926C70" w:rsidR="00764B90" w:rsidRPr="007F7D60" w:rsidRDefault="354ECD6A" w:rsidP="17CECF10">
            <w:pPr>
              <w:spacing w:line="240" w:lineRule="auto"/>
              <w:rPr>
                <w:rFonts w:ascii="Segoe UI" w:eastAsia="Times New Roman" w:hAnsi="Segoe UI" w:cs="Segoe UI"/>
                <w:color w:val="000000"/>
                <w:szCs w:val="24"/>
              </w:rPr>
            </w:pPr>
            <w:r w:rsidRPr="17CECF10">
              <w:rPr>
                <w:rFonts w:ascii="Segoe UI" w:hAnsi="Segoe UI" w:cs="Segoe UI"/>
                <w:sz w:val="22"/>
              </w:rPr>
              <w:t>Reexamination ordered as a result of supplemental examination</w:t>
            </w:r>
          </w:p>
        </w:tc>
        <w:tc>
          <w:tcPr>
            <w:tcW w:w="1320" w:type="dxa"/>
            <w:shd w:val="clear" w:color="auto" w:fill="auto"/>
            <w:noWrap/>
            <w:vAlign w:val="center"/>
            <w:hideMark/>
          </w:tcPr>
          <w:p w14:paraId="19427BD3" w14:textId="2D18868B"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$52,629</w:t>
            </w:r>
          </w:p>
        </w:tc>
        <w:tc>
          <w:tcPr>
            <w:tcW w:w="1320" w:type="dxa"/>
            <w:shd w:val="clear" w:color="auto" w:fill="auto"/>
            <w:noWrap/>
            <w:vAlign w:val="center"/>
            <w:hideMark/>
          </w:tcPr>
          <w:p w14:paraId="269514E9" w14:textId="703724FE"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$45,378</w:t>
            </w:r>
          </w:p>
        </w:tc>
        <w:tc>
          <w:tcPr>
            <w:tcW w:w="1320" w:type="dxa"/>
            <w:shd w:val="clear" w:color="auto" w:fill="auto"/>
            <w:noWrap/>
            <w:vAlign w:val="center"/>
            <w:hideMark/>
          </w:tcPr>
          <w:p w14:paraId="404FFE85" w14:textId="3DAED0DC"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$35,956</w:t>
            </w:r>
          </w:p>
        </w:tc>
      </w:tr>
      <w:tr w:rsidR="00764B90" w:rsidRPr="0063157A" w14:paraId="6DFA4CCD" w14:textId="77777777" w:rsidTr="17CECF10">
        <w:trPr>
          <w:trHeight w:val="302"/>
          <w:jc w:val="center"/>
        </w:trPr>
        <w:tc>
          <w:tcPr>
            <w:tcW w:w="5485" w:type="dxa"/>
            <w:shd w:val="clear" w:color="auto" w:fill="auto"/>
            <w:vAlign w:val="center"/>
            <w:hideMark/>
          </w:tcPr>
          <w:p w14:paraId="60DDBEC6" w14:textId="73648181" w:rsidR="00764B90" w:rsidRPr="007F7D60" w:rsidRDefault="354ECD6A" w:rsidP="17CECF10">
            <w:pPr>
              <w:spacing w:line="240" w:lineRule="auto"/>
              <w:rPr>
                <w:rFonts w:ascii="Segoe UI" w:eastAsia="Times New Roman" w:hAnsi="Segoe UI" w:cs="Segoe UI"/>
                <w:color w:val="000000"/>
                <w:szCs w:val="24"/>
              </w:rPr>
            </w:pPr>
            <w:r w:rsidRPr="17CECF10">
              <w:rPr>
                <w:rFonts w:ascii="Segoe UI" w:hAnsi="Segoe UI" w:cs="Segoe UI"/>
                <w:sz w:val="22"/>
              </w:rPr>
              <w:t>Petitions to the Chief Administrative Patent Judge under 37 CFR 41.3</w:t>
            </w:r>
          </w:p>
        </w:tc>
        <w:tc>
          <w:tcPr>
            <w:tcW w:w="1320" w:type="dxa"/>
            <w:shd w:val="clear" w:color="auto" w:fill="auto"/>
            <w:noWrap/>
            <w:vAlign w:val="center"/>
            <w:hideMark/>
          </w:tcPr>
          <w:p w14:paraId="51053BDB" w14:textId="7AB9BC4C"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$1,842</w:t>
            </w:r>
          </w:p>
        </w:tc>
        <w:tc>
          <w:tcPr>
            <w:tcW w:w="1320" w:type="dxa"/>
            <w:shd w:val="clear" w:color="auto" w:fill="auto"/>
            <w:noWrap/>
            <w:vAlign w:val="center"/>
            <w:hideMark/>
          </w:tcPr>
          <w:p w14:paraId="50D61D3F" w14:textId="52630469"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$1,068</w:t>
            </w:r>
          </w:p>
        </w:tc>
        <w:tc>
          <w:tcPr>
            <w:tcW w:w="1320" w:type="dxa"/>
            <w:shd w:val="clear" w:color="auto" w:fill="auto"/>
            <w:noWrap/>
            <w:vAlign w:val="center"/>
            <w:hideMark/>
          </w:tcPr>
          <w:p w14:paraId="412CC7D0" w14:textId="7A0B6734"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$832</w:t>
            </w:r>
          </w:p>
        </w:tc>
      </w:tr>
      <w:tr w:rsidR="00764B90" w:rsidRPr="0063157A" w14:paraId="1D7939A1" w14:textId="77777777" w:rsidTr="17CECF10">
        <w:trPr>
          <w:trHeight w:val="302"/>
          <w:jc w:val="center"/>
        </w:trPr>
        <w:tc>
          <w:tcPr>
            <w:tcW w:w="5485" w:type="dxa"/>
            <w:shd w:val="clear" w:color="auto" w:fill="auto"/>
            <w:vAlign w:val="center"/>
            <w:hideMark/>
          </w:tcPr>
          <w:p w14:paraId="3661574C" w14:textId="1FE15B55" w:rsidR="00764B90" w:rsidRPr="007F7D60" w:rsidRDefault="354ECD6A" w:rsidP="17CECF10">
            <w:pPr>
              <w:spacing w:line="240" w:lineRule="auto"/>
              <w:rPr>
                <w:rFonts w:ascii="Segoe UI" w:eastAsia="Times New Roman" w:hAnsi="Segoe UI" w:cs="Segoe UI"/>
                <w:color w:val="000000"/>
                <w:szCs w:val="24"/>
              </w:rPr>
            </w:pPr>
            <w:r w:rsidRPr="17CECF10">
              <w:rPr>
                <w:rFonts w:ascii="Segoe UI" w:hAnsi="Segoe UI" w:cs="Segoe UI"/>
                <w:sz w:val="22"/>
              </w:rPr>
              <w:t>Notice of appeal</w:t>
            </w:r>
          </w:p>
        </w:tc>
        <w:tc>
          <w:tcPr>
            <w:tcW w:w="1320" w:type="dxa"/>
            <w:shd w:val="clear" w:color="auto" w:fill="auto"/>
            <w:noWrap/>
            <w:vAlign w:val="center"/>
            <w:hideMark/>
          </w:tcPr>
          <w:p w14:paraId="057CFBA0" w14:textId="19370EC7"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$21</w:t>
            </w:r>
          </w:p>
        </w:tc>
        <w:tc>
          <w:tcPr>
            <w:tcW w:w="1320" w:type="dxa"/>
            <w:shd w:val="clear" w:color="auto" w:fill="auto"/>
            <w:noWrap/>
            <w:vAlign w:val="center"/>
            <w:hideMark/>
          </w:tcPr>
          <w:p w14:paraId="26CDD5DC" w14:textId="2D943E9C"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$26</w:t>
            </w:r>
          </w:p>
        </w:tc>
        <w:tc>
          <w:tcPr>
            <w:tcW w:w="1320" w:type="dxa"/>
            <w:shd w:val="clear" w:color="auto" w:fill="auto"/>
            <w:noWrap/>
            <w:vAlign w:val="center"/>
            <w:hideMark/>
          </w:tcPr>
          <w:p w14:paraId="41921D42" w14:textId="53108A48"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$28</w:t>
            </w:r>
          </w:p>
        </w:tc>
      </w:tr>
      <w:tr w:rsidR="00764B90" w:rsidRPr="0063157A" w14:paraId="4E85A779" w14:textId="77777777" w:rsidTr="17CECF10">
        <w:trPr>
          <w:trHeight w:val="302"/>
          <w:jc w:val="center"/>
        </w:trPr>
        <w:tc>
          <w:tcPr>
            <w:tcW w:w="5485" w:type="dxa"/>
            <w:shd w:val="clear" w:color="auto" w:fill="auto"/>
            <w:vAlign w:val="center"/>
            <w:hideMark/>
          </w:tcPr>
          <w:p w14:paraId="4EA4A85C" w14:textId="597A9211" w:rsidR="00764B90" w:rsidRPr="007F7D60" w:rsidRDefault="354ECD6A" w:rsidP="17CECF10">
            <w:pPr>
              <w:spacing w:line="240" w:lineRule="auto"/>
              <w:rPr>
                <w:rFonts w:ascii="Segoe UI" w:eastAsia="Times New Roman" w:hAnsi="Segoe UI" w:cs="Segoe UI"/>
                <w:color w:val="000000"/>
                <w:szCs w:val="24"/>
              </w:rPr>
            </w:pPr>
            <w:r w:rsidRPr="17CECF10">
              <w:rPr>
                <w:rFonts w:ascii="Segoe UI" w:hAnsi="Segoe UI" w:cs="Segoe UI"/>
                <w:sz w:val="22"/>
              </w:rPr>
              <w:t xml:space="preserve">Filing a brief in support of an appeal in an inter </w:t>
            </w:r>
            <w:proofErr w:type="spellStart"/>
            <w:r w:rsidRPr="17CECF10">
              <w:rPr>
                <w:rFonts w:ascii="Segoe UI" w:hAnsi="Segoe UI" w:cs="Segoe UI"/>
                <w:sz w:val="22"/>
              </w:rPr>
              <w:t>partes</w:t>
            </w:r>
            <w:proofErr w:type="spellEnd"/>
            <w:r w:rsidRPr="17CECF10">
              <w:rPr>
                <w:rFonts w:ascii="Segoe UI" w:hAnsi="Segoe UI" w:cs="Segoe UI"/>
                <w:sz w:val="22"/>
              </w:rPr>
              <w:t xml:space="preserve"> reexamination proceeding</w:t>
            </w:r>
          </w:p>
        </w:tc>
        <w:tc>
          <w:tcPr>
            <w:tcW w:w="1320" w:type="dxa"/>
            <w:shd w:val="clear" w:color="auto" w:fill="auto"/>
            <w:noWrap/>
            <w:vAlign w:val="center"/>
            <w:hideMark/>
          </w:tcPr>
          <w:p w14:paraId="0EAAC200" w14:textId="1A1C28D8"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$22,788</w:t>
            </w:r>
          </w:p>
        </w:tc>
        <w:tc>
          <w:tcPr>
            <w:tcW w:w="1320" w:type="dxa"/>
            <w:shd w:val="clear" w:color="auto" w:fill="auto"/>
            <w:noWrap/>
            <w:vAlign w:val="center"/>
            <w:hideMark/>
          </w:tcPr>
          <w:p w14:paraId="47E12562" w14:textId="4C46AFC2"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$30,353</w:t>
            </w:r>
          </w:p>
        </w:tc>
        <w:tc>
          <w:tcPr>
            <w:tcW w:w="1320" w:type="dxa"/>
            <w:shd w:val="clear" w:color="auto" w:fill="auto"/>
            <w:noWrap/>
            <w:vAlign w:val="center"/>
            <w:hideMark/>
          </w:tcPr>
          <w:p w14:paraId="236400F6" w14:textId="57B1C537"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$24,256</w:t>
            </w:r>
          </w:p>
        </w:tc>
      </w:tr>
      <w:tr w:rsidR="00764B90" w:rsidRPr="0063157A" w14:paraId="60D31614" w14:textId="77777777" w:rsidTr="17CECF10">
        <w:trPr>
          <w:trHeight w:val="302"/>
          <w:jc w:val="center"/>
        </w:trPr>
        <w:tc>
          <w:tcPr>
            <w:tcW w:w="5485" w:type="dxa"/>
            <w:shd w:val="clear" w:color="auto" w:fill="auto"/>
            <w:vAlign w:val="center"/>
            <w:hideMark/>
          </w:tcPr>
          <w:p w14:paraId="78769915" w14:textId="2904BDCA" w:rsidR="00764B90" w:rsidRPr="007F7D60" w:rsidRDefault="354ECD6A" w:rsidP="17CECF10">
            <w:pPr>
              <w:spacing w:line="240" w:lineRule="auto"/>
              <w:rPr>
                <w:rFonts w:ascii="Segoe UI" w:eastAsia="Times New Roman" w:hAnsi="Segoe UI" w:cs="Segoe UI"/>
                <w:color w:val="000000"/>
                <w:szCs w:val="24"/>
              </w:rPr>
            </w:pPr>
            <w:r w:rsidRPr="17CECF10">
              <w:rPr>
                <w:rFonts w:ascii="Segoe UI" w:hAnsi="Segoe UI" w:cs="Segoe UI"/>
                <w:sz w:val="22"/>
              </w:rPr>
              <w:t>Request for oral hearing</w:t>
            </w:r>
          </w:p>
        </w:tc>
        <w:tc>
          <w:tcPr>
            <w:tcW w:w="1320" w:type="dxa"/>
            <w:shd w:val="clear" w:color="auto" w:fill="auto"/>
            <w:noWrap/>
            <w:vAlign w:val="center"/>
            <w:hideMark/>
          </w:tcPr>
          <w:p w14:paraId="1E006D22" w14:textId="67DA3CD2"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$1,647</w:t>
            </w:r>
          </w:p>
        </w:tc>
        <w:tc>
          <w:tcPr>
            <w:tcW w:w="1320" w:type="dxa"/>
            <w:shd w:val="clear" w:color="auto" w:fill="auto"/>
            <w:noWrap/>
            <w:vAlign w:val="center"/>
            <w:hideMark/>
          </w:tcPr>
          <w:p w14:paraId="1167686D" w14:textId="7F9CF460"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$2,259</w:t>
            </w:r>
          </w:p>
        </w:tc>
        <w:tc>
          <w:tcPr>
            <w:tcW w:w="1320" w:type="dxa"/>
            <w:shd w:val="clear" w:color="auto" w:fill="auto"/>
            <w:noWrap/>
            <w:vAlign w:val="center"/>
            <w:hideMark/>
          </w:tcPr>
          <w:p w14:paraId="471DE47B" w14:textId="2187ADDD"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$2,254</w:t>
            </w:r>
          </w:p>
        </w:tc>
      </w:tr>
      <w:tr w:rsidR="000516F5" w:rsidRPr="0063157A" w14:paraId="6843240C" w14:textId="77777777" w:rsidTr="17CECF10">
        <w:trPr>
          <w:trHeight w:val="302"/>
          <w:jc w:val="center"/>
        </w:trPr>
        <w:tc>
          <w:tcPr>
            <w:tcW w:w="5485" w:type="dxa"/>
            <w:shd w:val="clear" w:color="auto" w:fill="auto"/>
            <w:vAlign w:val="center"/>
            <w:hideMark/>
          </w:tcPr>
          <w:p w14:paraId="1D02DD7A" w14:textId="590C2CE6" w:rsidR="000516F5" w:rsidRPr="007F7D60" w:rsidRDefault="31286BF2" w:rsidP="17CECF10">
            <w:pPr>
              <w:spacing w:line="240" w:lineRule="auto"/>
              <w:rPr>
                <w:rFonts w:ascii="Segoe UI" w:eastAsia="Times New Roman" w:hAnsi="Segoe UI" w:cs="Segoe UI"/>
                <w:color w:val="000000"/>
                <w:szCs w:val="24"/>
              </w:rPr>
            </w:pPr>
            <w:r w:rsidRPr="17CECF10">
              <w:rPr>
                <w:rFonts w:ascii="Segoe UI" w:hAnsi="Segoe UI" w:cs="Segoe UI"/>
                <w:sz w:val="22"/>
              </w:rPr>
              <w:lastRenderedPageBreak/>
              <w:t xml:space="preserve">Forwarding an appeal in an application or ex </w:t>
            </w:r>
            <w:proofErr w:type="spellStart"/>
            <w:r w:rsidRPr="17CECF10">
              <w:rPr>
                <w:rFonts w:ascii="Segoe UI" w:hAnsi="Segoe UI" w:cs="Segoe UI"/>
                <w:sz w:val="22"/>
              </w:rPr>
              <w:t>parte</w:t>
            </w:r>
            <w:proofErr w:type="spellEnd"/>
            <w:r w:rsidRPr="17CECF10">
              <w:rPr>
                <w:rFonts w:ascii="Segoe UI" w:hAnsi="Segoe UI" w:cs="Segoe UI"/>
                <w:sz w:val="22"/>
              </w:rPr>
              <w:t xml:space="preserve"> reexamination proceeding to the Board</w:t>
            </w:r>
          </w:p>
        </w:tc>
        <w:tc>
          <w:tcPr>
            <w:tcW w:w="1320" w:type="dxa"/>
            <w:shd w:val="clear" w:color="auto" w:fill="auto"/>
            <w:noWrap/>
            <w:vAlign w:val="center"/>
            <w:hideMark/>
          </w:tcPr>
          <w:p w14:paraId="576488C7" w14:textId="6C25F666" w:rsidR="000516F5" w:rsidRPr="007F7D60" w:rsidRDefault="5F03B5BF" w:rsidP="17CECF10">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$8,563</w:t>
            </w:r>
          </w:p>
        </w:tc>
        <w:tc>
          <w:tcPr>
            <w:tcW w:w="1320" w:type="dxa"/>
            <w:shd w:val="clear" w:color="auto" w:fill="auto"/>
            <w:noWrap/>
            <w:vAlign w:val="center"/>
            <w:hideMark/>
          </w:tcPr>
          <w:p w14:paraId="46E0285D" w14:textId="076A974D" w:rsidR="000516F5" w:rsidRPr="007F7D60" w:rsidRDefault="5F03B5BF" w:rsidP="17CECF10">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$8,169</w:t>
            </w:r>
          </w:p>
        </w:tc>
        <w:tc>
          <w:tcPr>
            <w:tcW w:w="1320" w:type="dxa"/>
            <w:shd w:val="clear" w:color="auto" w:fill="auto"/>
            <w:noWrap/>
            <w:vAlign w:val="center"/>
            <w:hideMark/>
          </w:tcPr>
          <w:p w14:paraId="20794B1C" w14:textId="1F3B1C59" w:rsidR="000516F5" w:rsidRPr="007F7D60" w:rsidRDefault="5F03B5BF" w:rsidP="17CECF10">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$8,770</w:t>
            </w:r>
          </w:p>
        </w:tc>
      </w:tr>
      <w:tr w:rsidR="00764B90" w:rsidRPr="0063157A" w14:paraId="650CCB6C" w14:textId="77777777" w:rsidTr="17CECF10">
        <w:trPr>
          <w:trHeight w:val="302"/>
          <w:jc w:val="center"/>
        </w:trPr>
        <w:tc>
          <w:tcPr>
            <w:tcW w:w="5485" w:type="dxa"/>
            <w:shd w:val="clear" w:color="auto" w:fill="auto"/>
            <w:vAlign w:val="center"/>
            <w:hideMark/>
          </w:tcPr>
          <w:p w14:paraId="72CAC702" w14:textId="4D73B74F" w:rsidR="00764B90" w:rsidRPr="007F7D60" w:rsidRDefault="0F5DDC9B" w:rsidP="17CECF10">
            <w:pPr>
              <w:spacing w:line="240" w:lineRule="auto"/>
              <w:rPr>
                <w:rFonts w:ascii="Segoe UI" w:eastAsia="Times New Roman" w:hAnsi="Segoe UI" w:cs="Segoe UI"/>
                <w:color w:val="000000"/>
                <w:szCs w:val="24"/>
              </w:rPr>
            </w:pPr>
            <w:r w:rsidRPr="17CECF10">
              <w:rPr>
                <w:rFonts w:ascii="Segoe UI" w:hAnsi="Segoe UI" w:cs="Segoe UI"/>
                <w:sz w:val="22"/>
              </w:rPr>
              <w:t xml:space="preserve">Inter </w:t>
            </w:r>
            <w:proofErr w:type="spellStart"/>
            <w:r w:rsidRPr="17CECF10">
              <w:rPr>
                <w:rFonts w:ascii="Segoe UI" w:hAnsi="Segoe UI" w:cs="Segoe UI"/>
                <w:sz w:val="22"/>
              </w:rPr>
              <w:t>partes</w:t>
            </w:r>
            <w:proofErr w:type="spellEnd"/>
            <w:r w:rsidRPr="17CECF10">
              <w:rPr>
                <w:rFonts w:ascii="Segoe UI" w:hAnsi="Segoe UI" w:cs="Segoe UI"/>
                <w:sz w:val="22"/>
              </w:rPr>
              <w:t xml:space="preserve"> review request fee - Up to 20 claims</w:t>
            </w:r>
          </w:p>
        </w:tc>
        <w:tc>
          <w:tcPr>
            <w:tcW w:w="1320" w:type="dxa"/>
            <w:shd w:val="clear" w:color="auto" w:fill="auto"/>
            <w:noWrap/>
            <w:vAlign w:val="center"/>
            <w:hideMark/>
          </w:tcPr>
          <w:p w14:paraId="368E214C" w14:textId="0051DA2A"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$22,556</w:t>
            </w:r>
          </w:p>
        </w:tc>
        <w:tc>
          <w:tcPr>
            <w:tcW w:w="1320" w:type="dxa"/>
            <w:shd w:val="clear" w:color="auto" w:fill="auto"/>
            <w:noWrap/>
            <w:vAlign w:val="center"/>
            <w:hideMark/>
          </w:tcPr>
          <w:p w14:paraId="05A02925" w14:textId="15FC795B"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$23,052</w:t>
            </w:r>
          </w:p>
        </w:tc>
        <w:tc>
          <w:tcPr>
            <w:tcW w:w="1320" w:type="dxa"/>
            <w:shd w:val="clear" w:color="auto" w:fill="auto"/>
            <w:noWrap/>
            <w:vAlign w:val="center"/>
            <w:hideMark/>
          </w:tcPr>
          <w:p w14:paraId="6C571D52" w14:textId="4AF86499"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$21,980</w:t>
            </w:r>
          </w:p>
        </w:tc>
      </w:tr>
      <w:tr w:rsidR="00764B90" w:rsidRPr="0063157A" w14:paraId="7D14B942" w14:textId="77777777" w:rsidTr="17CECF10">
        <w:trPr>
          <w:trHeight w:val="302"/>
          <w:jc w:val="center"/>
        </w:trPr>
        <w:tc>
          <w:tcPr>
            <w:tcW w:w="5485" w:type="dxa"/>
            <w:shd w:val="clear" w:color="auto" w:fill="auto"/>
            <w:vAlign w:val="center"/>
            <w:hideMark/>
          </w:tcPr>
          <w:p w14:paraId="36E4D928" w14:textId="7C8E99E9" w:rsidR="00764B90" w:rsidRPr="007F7D60" w:rsidRDefault="0F5DDC9B" w:rsidP="17CECF10">
            <w:pPr>
              <w:spacing w:line="240" w:lineRule="auto"/>
              <w:rPr>
                <w:rFonts w:ascii="Segoe UI" w:eastAsia="Times New Roman" w:hAnsi="Segoe UI" w:cs="Segoe UI"/>
                <w:color w:val="000000"/>
                <w:szCs w:val="24"/>
              </w:rPr>
            </w:pPr>
            <w:r w:rsidRPr="17CECF10">
              <w:rPr>
                <w:rFonts w:ascii="Segoe UI" w:hAnsi="Segoe UI" w:cs="Segoe UI"/>
                <w:sz w:val="22"/>
              </w:rPr>
              <w:t xml:space="preserve">Inter </w:t>
            </w:r>
            <w:proofErr w:type="spellStart"/>
            <w:r w:rsidRPr="17CECF10">
              <w:rPr>
                <w:rFonts w:ascii="Segoe UI" w:hAnsi="Segoe UI" w:cs="Segoe UI"/>
                <w:sz w:val="22"/>
              </w:rPr>
              <w:t>partes</w:t>
            </w:r>
            <w:proofErr w:type="spellEnd"/>
            <w:r w:rsidRPr="17CECF10">
              <w:rPr>
                <w:rFonts w:ascii="Segoe UI" w:hAnsi="Segoe UI" w:cs="Segoe UI"/>
                <w:sz w:val="22"/>
              </w:rPr>
              <w:t xml:space="preserve"> review post-institution fee - Up to 15 claims</w:t>
            </w:r>
          </w:p>
        </w:tc>
        <w:tc>
          <w:tcPr>
            <w:tcW w:w="1320" w:type="dxa"/>
            <w:shd w:val="clear" w:color="auto" w:fill="auto"/>
            <w:noWrap/>
            <w:vAlign w:val="center"/>
            <w:hideMark/>
          </w:tcPr>
          <w:p w14:paraId="330EF9DD" w14:textId="446C27F3"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$39,531</w:t>
            </w:r>
          </w:p>
        </w:tc>
        <w:tc>
          <w:tcPr>
            <w:tcW w:w="1320" w:type="dxa"/>
            <w:shd w:val="clear" w:color="auto" w:fill="auto"/>
            <w:noWrap/>
            <w:vAlign w:val="center"/>
            <w:hideMark/>
          </w:tcPr>
          <w:p w14:paraId="60946A33" w14:textId="73F8E3C5"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$34,245</w:t>
            </w:r>
          </w:p>
        </w:tc>
        <w:tc>
          <w:tcPr>
            <w:tcW w:w="1320" w:type="dxa"/>
            <w:shd w:val="clear" w:color="auto" w:fill="auto"/>
            <w:noWrap/>
            <w:vAlign w:val="center"/>
            <w:hideMark/>
          </w:tcPr>
          <w:p w14:paraId="38BB1B57" w14:textId="72D7D4B2"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$37,563</w:t>
            </w:r>
          </w:p>
        </w:tc>
      </w:tr>
      <w:tr w:rsidR="0C375D48" w:rsidRPr="0063157A" w14:paraId="0FF61F59" w14:textId="77777777" w:rsidTr="17CECF10">
        <w:trPr>
          <w:trHeight w:val="302"/>
          <w:jc w:val="center"/>
        </w:trPr>
        <w:tc>
          <w:tcPr>
            <w:tcW w:w="5485" w:type="dxa"/>
            <w:shd w:val="clear" w:color="auto" w:fill="auto"/>
            <w:vAlign w:val="center"/>
            <w:hideMark/>
          </w:tcPr>
          <w:p w14:paraId="3678A316" w14:textId="3B59E9ED" w:rsidR="27657BE4" w:rsidRPr="007F7D60" w:rsidRDefault="56093BD6" w:rsidP="17CECF10">
            <w:pPr>
              <w:spacing w:line="240" w:lineRule="auto"/>
              <w:rPr>
                <w:rFonts w:ascii="Segoe UI" w:hAnsi="Segoe UI" w:cs="Segoe UI"/>
                <w:szCs w:val="24"/>
              </w:rPr>
            </w:pPr>
            <w:r w:rsidRPr="17CECF10">
              <w:rPr>
                <w:rFonts w:ascii="Segoe UI" w:hAnsi="Segoe UI" w:cs="Segoe UI"/>
                <w:sz w:val="22"/>
              </w:rPr>
              <w:t>Post-grant or covered business method review request fee - Up to 20 Claims</w:t>
            </w:r>
          </w:p>
        </w:tc>
        <w:tc>
          <w:tcPr>
            <w:tcW w:w="1320" w:type="dxa"/>
            <w:shd w:val="clear" w:color="auto" w:fill="auto"/>
            <w:noWrap/>
            <w:vAlign w:val="center"/>
            <w:hideMark/>
          </w:tcPr>
          <w:p w14:paraId="7BB65615" w14:textId="39BB3EBA" w:rsidR="0C375D48" w:rsidRPr="007F7D60" w:rsidRDefault="4D63F732" w:rsidP="17CECF10">
            <w:pPr>
              <w:spacing w:line="240" w:lineRule="auto"/>
              <w:jc w:val="right"/>
              <w:rPr>
                <w:rFonts w:ascii="Segoe UI" w:hAnsi="Segoe UI" w:cs="Segoe UI"/>
                <w:szCs w:val="24"/>
              </w:rPr>
            </w:pPr>
            <w:r w:rsidRPr="17CECF10">
              <w:rPr>
                <w:rFonts w:ascii="Segoe UI" w:eastAsia="Segoe UI" w:hAnsi="Segoe UI" w:cs="Segoe UI"/>
                <w:color w:val="000000" w:themeColor="text1"/>
                <w:sz w:val="22"/>
              </w:rPr>
              <w:t>$30,246</w:t>
            </w:r>
          </w:p>
        </w:tc>
        <w:tc>
          <w:tcPr>
            <w:tcW w:w="1320" w:type="dxa"/>
            <w:shd w:val="clear" w:color="auto" w:fill="auto"/>
            <w:noWrap/>
            <w:vAlign w:val="center"/>
            <w:hideMark/>
          </w:tcPr>
          <w:p w14:paraId="2F4C4AFE" w14:textId="5F62287B" w:rsidR="0C375D48" w:rsidRPr="007F7D60" w:rsidRDefault="4D63F732" w:rsidP="17CECF10">
            <w:pPr>
              <w:spacing w:line="240" w:lineRule="auto"/>
              <w:jc w:val="right"/>
              <w:rPr>
                <w:rFonts w:ascii="Segoe UI" w:hAnsi="Segoe UI" w:cs="Segoe UI"/>
                <w:szCs w:val="24"/>
              </w:rPr>
            </w:pPr>
            <w:r w:rsidRPr="17CECF10">
              <w:rPr>
                <w:rFonts w:ascii="Segoe UI" w:eastAsia="Segoe UI" w:hAnsi="Segoe UI" w:cs="Segoe UI"/>
                <w:color w:val="000000" w:themeColor="text1"/>
                <w:sz w:val="22"/>
              </w:rPr>
              <w:t>$34,287</w:t>
            </w:r>
          </w:p>
        </w:tc>
        <w:tc>
          <w:tcPr>
            <w:tcW w:w="1320" w:type="dxa"/>
            <w:shd w:val="clear" w:color="auto" w:fill="auto"/>
            <w:noWrap/>
            <w:vAlign w:val="center"/>
            <w:hideMark/>
          </w:tcPr>
          <w:p w14:paraId="55D7CDE4" w14:textId="71D732DB" w:rsidR="0C375D48" w:rsidRPr="007F7D60" w:rsidRDefault="4D63F732" w:rsidP="17CECF10">
            <w:pPr>
              <w:spacing w:line="240" w:lineRule="auto"/>
              <w:jc w:val="right"/>
              <w:rPr>
                <w:rFonts w:ascii="Segoe UI" w:hAnsi="Segoe UI" w:cs="Segoe UI"/>
                <w:szCs w:val="24"/>
              </w:rPr>
            </w:pPr>
            <w:r w:rsidRPr="17CECF10">
              <w:rPr>
                <w:rFonts w:ascii="Segoe UI" w:eastAsia="Segoe UI" w:hAnsi="Segoe UI" w:cs="Segoe UI"/>
                <w:color w:val="000000" w:themeColor="text1"/>
                <w:sz w:val="22"/>
              </w:rPr>
              <w:t>$37,683</w:t>
            </w:r>
          </w:p>
        </w:tc>
      </w:tr>
      <w:tr w:rsidR="0C375D48" w:rsidRPr="0063157A" w14:paraId="03E9E1D7" w14:textId="77777777" w:rsidTr="17CECF10">
        <w:trPr>
          <w:trHeight w:val="302"/>
          <w:jc w:val="center"/>
        </w:trPr>
        <w:tc>
          <w:tcPr>
            <w:tcW w:w="5485" w:type="dxa"/>
            <w:shd w:val="clear" w:color="auto" w:fill="auto"/>
            <w:vAlign w:val="center"/>
            <w:hideMark/>
          </w:tcPr>
          <w:p w14:paraId="2581D2D6" w14:textId="0A57E3B4" w:rsidR="27657BE4" w:rsidRPr="007F7D60" w:rsidRDefault="56093BD6" w:rsidP="17CECF10">
            <w:pPr>
              <w:spacing w:line="240" w:lineRule="auto"/>
              <w:rPr>
                <w:rFonts w:ascii="Segoe UI" w:hAnsi="Segoe UI" w:cs="Segoe UI"/>
                <w:szCs w:val="24"/>
              </w:rPr>
            </w:pPr>
            <w:r w:rsidRPr="17CECF10">
              <w:rPr>
                <w:rFonts w:ascii="Segoe UI" w:hAnsi="Segoe UI" w:cs="Segoe UI"/>
                <w:sz w:val="22"/>
              </w:rPr>
              <w:t>Post-grant or covered business method review post-institution fee - Up to 15 Claims</w:t>
            </w:r>
          </w:p>
        </w:tc>
        <w:tc>
          <w:tcPr>
            <w:tcW w:w="1320" w:type="dxa"/>
            <w:shd w:val="clear" w:color="auto" w:fill="auto"/>
            <w:noWrap/>
            <w:vAlign w:val="center"/>
            <w:hideMark/>
          </w:tcPr>
          <w:p w14:paraId="06D97AE3" w14:textId="53B7D864" w:rsidR="0C375D48" w:rsidRPr="007F7D60" w:rsidRDefault="4D63F732" w:rsidP="17CECF10">
            <w:pPr>
              <w:spacing w:line="240" w:lineRule="auto"/>
              <w:jc w:val="right"/>
              <w:rPr>
                <w:rFonts w:ascii="Segoe UI" w:hAnsi="Segoe UI" w:cs="Segoe UI"/>
                <w:szCs w:val="24"/>
              </w:rPr>
            </w:pPr>
            <w:r w:rsidRPr="17CECF10">
              <w:rPr>
                <w:rFonts w:ascii="Segoe UI" w:eastAsia="Segoe UI" w:hAnsi="Segoe UI" w:cs="Segoe UI"/>
                <w:color w:val="000000" w:themeColor="text1"/>
                <w:sz w:val="22"/>
              </w:rPr>
              <w:t>$42,414</w:t>
            </w:r>
          </w:p>
        </w:tc>
        <w:tc>
          <w:tcPr>
            <w:tcW w:w="1320" w:type="dxa"/>
            <w:shd w:val="clear" w:color="auto" w:fill="auto"/>
            <w:noWrap/>
            <w:vAlign w:val="center"/>
            <w:hideMark/>
          </w:tcPr>
          <w:p w14:paraId="6907C1C3" w14:textId="4EF548C6" w:rsidR="0C375D48" w:rsidRPr="007F7D60" w:rsidRDefault="4D63F732" w:rsidP="17CECF10">
            <w:pPr>
              <w:spacing w:line="240" w:lineRule="auto"/>
              <w:jc w:val="right"/>
              <w:rPr>
                <w:rFonts w:ascii="Segoe UI" w:hAnsi="Segoe UI" w:cs="Segoe UI"/>
                <w:szCs w:val="24"/>
              </w:rPr>
            </w:pPr>
            <w:r w:rsidRPr="17CECF10">
              <w:rPr>
                <w:rFonts w:ascii="Segoe UI" w:eastAsia="Segoe UI" w:hAnsi="Segoe UI" w:cs="Segoe UI"/>
                <w:color w:val="000000" w:themeColor="text1"/>
                <w:sz w:val="22"/>
              </w:rPr>
              <w:t>$46,998</w:t>
            </w:r>
          </w:p>
        </w:tc>
        <w:tc>
          <w:tcPr>
            <w:tcW w:w="1320" w:type="dxa"/>
            <w:shd w:val="clear" w:color="auto" w:fill="auto"/>
            <w:noWrap/>
            <w:vAlign w:val="center"/>
            <w:hideMark/>
          </w:tcPr>
          <w:p w14:paraId="00A4706A" w14:textId="101D058B" w:rsidR="0C375D48" w:rsidRPr="007F7D60" w:rsidRDefault="4D63F732" w:rsidP="17CECF10">
            <w:pPr>
              <w:spacing w:line="240" w:lineRule="auto"/>
              <w:jc w:val="right"/>
              <w:rPr>
                <w:rFonts w:ascii="Segoe UI" w:hAnsi="Segoe UI" w:cs="Segoe UI"/>
                <w:szCs w:val="24"/>
              </w:rPr>
            </w:pPr>
            <w:r w:rsidRPr="17CECF10">
              <w:rPr>
                <w:rFonts w:ascii="Segoe UI" w:eastAsia="Segoe UI" w:hAnsi="Segoe UI" w:cs="Segoe UI"/>
                <w:color w:val="000000" w:themeColor="text1"/>
                <w:sz w:val="22"/>
              </w:rPr>
              <w:t>$49,198</w:t>
            </w:r>
          </w:p>
        </w:tc>
      </w:tr>
      <w:tr w:rsidR="00764B90" w:rsidRPr="0063157A" w14:paraId="08103ACF" w14:textId="77777777" w:rsidTr="17CECF10">
        <w:trPr>
          <w:trHeight w:val="302"/>
          <w:jc w:val="center"/>
        </w:trPr>
        <w:tc>
          <w:tcPr>
            <w:tcW w:w="5485" w:type="dxa"/>
            <w:shd w:val="clear" w:color="auto" w:fill="auto"/>
            <w:vAlign w:val="center"/>
            <w:hideMark/>
          </w:tcPr>
          <w:p w14:paraId="1F142552" w14:textId="082AC83A" w:rsidR="00764B90" w:rsidRPr="007F7D60" w:rsidRDefault="354ECD6A" w:rsidP="17CECF10">
            <w:pPr>
              <w:spacing w:line="240" w:lineRule="auto"/>
              <w:rPr>
                <w:rFonts w:ascii="Segoe UI" w:eastAsia="Times New Roman" w:hAnsi="Segoe UI" w:cs="Segoe UI"/>
                <w:color w:val="000000"/>
                <w:szCs w:val="24"/>
              </w:rPr>
            </w:pPr>
            <w:r w:rsidRPr="17CECF10">
              <w:rPr>
                <w:rFonts w:ascii="Segoe UI" w:hAnsi="Segoe UI" w:cs="Segoe UI"/>
                <w:sz w:val="22"/>
              </w:rPr>
              <w:t>Petition for a derivation proceeding</w:t>
            </w:r>
          </w:p>
        </w:tc>
        <w:tc>
          <w:tcPr>
            <w:tcW w:w="1320" w:type="dxa"/>
            <w:shd w:val="clear" w:color="auto" w:fill="auto"/>
            <w:noWrap/>
            <w:vAlign w:val="center"/>
            <w:hideMark/>
          </w:tcPr>
          <w:p w14:paraId="0B172A27" w14:textId="7544128E"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n/a</w:t>
            </w:r>
          </w:p>
        </w:tc>
        <w:tc>
          <w:tcPr>
            <w:tcW w:w="1320" w:type="dxa"/>
            <w:shd w:val="clear" w:color="auto" w:fill="auto"/>
            <w:noWrap/>
            <w:vAlign w:val="center"/>
            <w:hideMark/>
          </w:tcPr>
          <w:p w14:paraId="12B8D43E" w14:textId="4AA0B546"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n/a</w:t>
            </w:r>
          </w:p>
        </w:tc>
        <w:tc>
          <w:tcPr>
            <w:tcW w:w="1320" w:type="dxa"/>
            <w:shd w:val="clear" w:color="auto" w:fill="auto"/>
            <w:noWrap/>
            <w:vAlign w:val="center"/>
            <w:hideMark/>
          </w:tcPr>
          <w:p w14:paraId="57B2F93B" w14:textId="323C8163"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n/a</w:t>
            </w:r>
          </w:p>
        </w:tc>
      </w:tr>
      <w:tr w:rsidR="00764B90" w:rsidRPr="0063157A" w14:paraId="7E655F58" w14:textId="77777777" w:rsidTr="17CECF10">
        <w:trPr>
          <w:trHeight w:val="302"/>
          <w:jc w:val="center"/>
        </w:trPr>
        <w:tc>
          <w:tcPr>
            <w:tcW w:w="5485" w:type="dxa"/>
            <w:shd w:val="clear" w:color="auto" w:fill="auto"/>
            <w:vAlign w:val="center"/>
            <w:hideMark/>
          </w:tcPr>
          <w:p w14:paraId="71ACB9AA" w14:textId="69380BEF" w:rsidR="00764B90" w:rsidRPr="007F7D60" w:rsidRDefault="354ECD6A" w:rsidP="17CECF10">
            <w:pPr>
              <w:spacing w:line="240" w:lineRule="auto"/>
              <w:rPr>
                <w:rFonts w:ascii="Segoe UI" w:eastAsia="Times New Roman" w:hAnsi="Segoe UI" w:cs="Segoe UI"/>
                <w:color w:val="000000"/>
                <w:szCs w:val="24"/>
              </w:rPr>
            </w:pPr>
            <w:r w:rsidRPr="17CECF10">
              <w:rPr>
                <w:rFonts w:ascii="Segoe UI" w:hAnsi="Segoe UI" w:cs="Segoe UI"/>
                <w:sz w:val="22"/>
              </w:rPr>
              <w:t>Petitions requiring the petition fee set forth in 37 CFR 1.17(f) (Group I)</w:t>
            </w:r>
          </w:p>
        </w:tc>
        <w:tc>
          <w:tcPr>
            <w:tcW w:w="1320" w:type="dxa"/>
            <w:shd w:val="clear" w:color="auto" w:fill="auto"/>
            <w:noWrap/>
            <w:vAlign w:val="center"/>
            <w:hideMark/>
          </w:tcPr>
          <w:p w14:paraId="77C48299" w14:textId="73C41573"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$270</w:t>
            </w:r>
          </w:p>
        </w:tc>
        <w:tc>
          <w:tcPr>
            <w:tcW w:w="1320" w:type="dxa"/>
            <w:shd w:val="clear" w:color="auto" w:fill="auto"/>
            <w:noWrap/>
            <w:vAlign w:val="center"/>
            <w:hideMark/>
          </w:tcPr>
          <w:p w14:paraId="48D31AD2" w14:textId="417A2824"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$281</w:t>
            </w:r>
          </w:p>
        </w:tc>
        <w:tc>
          <w:tcPr>
            <w:tcW w:w="1320" w:type="dxa"/>
            <w:shd w:val="clear" w:color="auto" w:fill="auto"/>
            <w:noWrap/>
            <w:vAlign w:val="center"/>
            <w:hideMark/>
          </w:tcPr>
          <w:p w14:paraId="65B8D236" w14:textId="158D2185"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$376</w:t>
            </w:r>
          </w:p>
        </w:tc>
      </w:tr>
      <w:tr w:rsidR="00764B90" w:rsidRPr="0063157A" w14:paraId="36424807" w14:textId="77777777" w:rsidTr="17CECF10">
        <w:trPr>
          <w:trHeight w:val="302"/>
          <w:jc w:val="center"/>
        </w:trPr>
        <w:tc>
          <w:tcPr>
            <w:tcW w:w="5485" w:type="dxa"/>
            <w:shd w:val="clear" w:color="auto" w:fill="auto"/>
            <w:vAlign w:val="center"/>
            <w:hideMark/>
          </w:tcPr>
          <w:p w14:paraId="1207AB3B" w14:textId="0E0E55C5" w:rsidR="00764B90" w:rsidRPr="007F7D60" w:rsidRDefault="354ECD6A" w:rsidP="17CECF10">
            <w:pPr>
              <w:spacing w:line="240" w:lineRule="auto"/>
              <w:rPr>
                <w:rFonts w:ascii="Segoe UI" w:eastAsia="Times New Roman" w:hAnsi="Segoe UI" w:cs="Segoe UI"/>
                <w:color w:val="000000"/>
                <w:szCs w:val="24"/>
              </w:rPr>
            </w:pPr>
            <w:r w:rsidRPr="17CECF10">
              <w:rPr>
                <w:rFonts w:ascii="Segoe UI" w:hAnsi="Segoe UI" w:cs="Segoe UI"/>
                <w:sz w:val="22"/>
              </w:rPr>
              <w:t>Petitions requiring the petition fee set forth in 37 CFR 1.17(g) (Group II)</w:t>
            </w:r>
          </w:p>
        </w:tc>
        <w:tc>
          <w:tcPr>
            <w:tcW w:w="1320" w:type="dxa"/>
            <w:shd w:val="clear" w:color="auto" w:fill="auto"/>
            <w:noWrap/>
            <w:vAlign w:val="center"/>
            <w:hideMark/>
          </w:tcPr>
          <w:p w14:paraId="0DD6BDE2" w14:textId="33F74CEA"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$270</w:t>
            </w:r>
          </w:p>
        </w:tc>
        <w:tc>
          <w:tcPr>
            <w:tcW w:w="1320" w:type="dxa"/>
            <w:shd w:val="clear" w:color="auto" w:fill="auto"/>
            <w:noWrap/>
            <w:vAlign w:val="center"/>
            <w:hideMark/>
          </w:tcPr>
          <w:p w14:paraId="023F4FDC" w14:textId="29424AEA"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$281</w:t>
            </w:r>
          </w:p>
        </w:tc>
        <w:tc>
          <w:tcPr>
            <w:tcW w:w="1320" w:type="dxa"/>
            <w:shd w:val="clear" w:color="auto" w:fill="auto"/>
            <w:noWrap/>
            <w:vAlign w:val="center"/>
            <w:hideMark/>
          </w:tcPr>
          <w:p w14:paraId="51E76CB5" w14:textId="2361599E"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$376</w:t>
            </w:r>
          </w:p>
        </w:tc>
      </w:tr>
      <w:tr w:rsidR="00764B90" w:rsidRPr="0063157A" w14:paraId="5460A65D" w14:textId="77777777" w:rsidTr="17CECF10">
        <w:trPr>
          <w:trHeight w:val="302"/>
          <w:jc w:val="center"/>
        </w:trPr>
        <w:tc>
          <w:tcPr>
            <w:tcW w:w="5485" w:type="dxa"/>
            <w:shd w:val="clear" w:color="auto" w:fill="auto"/>
            <w:vAlign w:val="center"/>
            <w:hideMark/>
          </w:tcPr>
          <w:p w14:paraId="27D21115" w14:textId="6FF3688E" w:rsidR="00764B90" w:rsidRPr="007F7D60" w:rsidRDefault="354ECD6A" w:rsidP="17CECF10">
            <w:pPr>
              <w:spacing w:line="240" w:lineRule="auto"/>
              <w:rPr>
                <w:rFonts w:ascii="Segoe UI" w:eastAsia="Times New Roman" w:hAnsi="Segoe UI" w:cs="Segoe UI"/>
                <w:color w:val="000000"/>
                <w:szCs w:val="24"/>
              </w:rPr>
            </w:pPr>
            <w:r w:rsidRPr="17CECF10">
              <w:rPr>
                <w:rFonts w:ascii="Segoe UI" w:hAnsi="Segoe UI" w:cs="Segoe UI"/>
                <w:sz w:val="22"/>
              </w:rPr>
              <w:t>Petitions requiring the petition fee set forth in 37 CFR 1.17(h) (Group III)</w:t>
            </w:r>
          </w:p>
        </w:tc>
        <w:tc>
          <w:tcPr>
            <w:tcW w:w="1320" w:type="dxa"/>
            <w:shd w:val="clear" w:color="auto" w:fill="auto"/>
            <w:noWrap/>
            <w:vAlign w:val="center"/>
            <w:hideMark/>
          </w:tcPr>
          <w:p w14:paraId="556515E2" w14:textId="3D46783C"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$102</w:t>
            </w:r>
          </w:p>
        </w:tc>
        <w:tc>
          <w:tcPr>
            <w:tcW w:w="1320" w:type="dxa"/>
            <w:shd w:val="clear" w:color="auto" w:fill="auto"/>
            <w:noWrap/>
            <w:vAlign w:val="center"/>
            <w:hideMark/>
          </w:tcPr>
          <w:p w14:paraId="22055AD1" w14:textId="58EDC8C7"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$94</w:t>
            </w:r>
          </w:p>
        </w:tc>
        <w:tc>
          <w:tcPr>
            <w:tcW w:w="1320" w:type="dxa"/>
            <w:shd w:val="clear" w:color="auto" w:fill="auto"/>
            <w:noWrap/>
            <w:vAlign w:val="center"/>
            <w:hideMark/>
          </w:tcPr>
          <w:p w14:paraId="4279C3FD" w14:textId="66774DE4"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$161</w:t>
            </w:r>
          </w:p>
        </w:tc>
      </w:tr>
      <w:tr w:rsidR="00764B90" w:rsidRPr="0063157A" w14:paraId="524E8870" w14:textId="77777777" w:rsidTr="17CECF10">
        <w:trPr>
          <w:trHeight w:val="302"/>
          <w:jc w:val="center"/>
        </w:trPr>
        <w:tc>
          <w:tcPr>
            <w:tcW w:w="5485" w:type="dxa"/>
            <w:shd w:val="clear" w:color="auto" w:fill="auto"/>
            <w:vAlign w:val="center"/>
            <w:hideMark/>
          </w:tcPr>
          <w:p w14:paraId="1ADB1561" w14:textId="7567C077" w:rsidR="00764B90" w:rsidRPr="007F7D60" w:rsidRDefault="354ECD6A" w:rsidP="17CECF10">
            <w:pPr>
              <w:spacing w:line="240" w:lineRule="auto"/>
              <w:rPr>
                <w:rFonts w:ascii="Segoe UI" w:eastAsia="Times New Roman" w:hAnsi="Segoe UI" w:cs="Segoe UI"/>
                <w:color w:val="000000"/>
                <w:szCs w:val="24"/>
              </w:rPr>
            </w:pPr>
            <w:r w:rsidRPr="17CECF10">
              <w:rPr>
                <w:rFonts w:ascii="Segoe UI" w:hAnsi="Segoe UI" w:cs="Segoe UI"/>
                <w:sz w:val="22"/>
              </w:rPr>
              <w:t>Petition for revival of an abandoned application for a patent, for the delayed payment of the fee for issuing each patent, or for the delayed response by the patent owner in any reexamination proceeding</w:t>
            </w:r>
          </w:p>
        </w:tc>
        <w:tc>
          <w:tcPr>
            <w:tcW w:w="1320" w:type="dxa"/>
            <w:shd w:val="clear" w:color="auto" w:fill="auto"/>
            <w:noWrap/>
            <w:vAlign w:val="center"/>
            <w:hideMark/>
          </w:tcPr>
          <w:p w14:paraId="006AD0C8" w14:textId="23E93F1F"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$270</w:t>
            </w:r>
          </w:p>
        </w:tc>
        <w:tc>
          <w:tcPr>
            <w:tcW w:w="1320" w:type="dxa"/>
            <w:shd w:val="clear" w:color="auto" w:fill="auto"/>
            <w:noWrap/>
            <w:vAlign w:val="center"/>
            <w:hideMark/>
          </w:tcPr>
          <w:p w14:paraId="1CD84BA5" w14:textId="6B5965C0"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$281</w:t>
            </w:r>
          </w:p>
        </w:tc>
        <w:tc>
          <w:tcPr>
            <w:tcW w:w="1320" w:type="dxa"/>
            <w:shd w:val="clear" w:color="auto" w:fill="auto"/>
            <w:noWrap/>
            <w:vAlign w:val="center"/>
            <w:hideMark/>
          </w:tcPr>
          <w:p w14:paraId="30DABB41" w14:textId="4EB0F3BB"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$376</w:t>
            </w:r>
          </w:p>
        </w:tc>
      </w:tr>
      <w:tr w:rsidR="00764B90" w:rsidRPr="0063157A" w14:paraId="7C3D233D" w14:textId="77777777" w:rsidTr="17CECF10">
        <w:trPr>
          <w:trHeight w:val="302"/>
          <w:jc w:val="center"/>
        </w:trPr>
        <w:tc>
          <w:tcPr>
            <w:tcW w:w="5485" w:type="dxa"/>
            <w:shd w:val="clear" w:color="auto" w:fill="auto"/>
            <w:vAlign w:val="center"/>
            <w:hideMark/>
          </w:tcPr>
          <w:p w14:paraId="29D50E63" w14:textId="458153EF" w:rsidR="00764B90" w:rsidRPr="007F7D60" w:rsidRDefault="354ECD6A" w:rsidP="17CECF10">
            <w:pPr>
              <w:spacing w:line="240" w:lineRule="auto"/>
              <w:rPr>
                <w:rFonts w:ascii="Segoe UI" w:eastAsia="Times New Roman" w:hAnsi="Segoe UI" w:cs="Segoe UI"/>
                <w:color w:val="000000"/>
                <w:szCs w:val="24"/>
              </w:rPr>
            </w:pPr>
            <w:r w:rsidRPr="17CECF10">
              <w:rPr>
                <w:rFonts w:ascii="Segoe UI" w:hAnsi="Segoe UI" w:cs="Segoe UI"/>
                <w:sz w:val="22"/>
              </w:rPr>
              <w:t>Petition for the delayed submission of a priority or benefit claim</w:t>
            </w:r>
          </w:p>
        </w:tc>
        <w:tc>
          <w:tcPr>
            <w:tcW w:w="1320" w:type="dxa"/>
            <w:shd w:val="clear" w:color="auto" w:fill="auto"/>
            <w:noWrap/>
            <w:vAlign w:val="center"/>
            <w:hideMark/>
          </w:tcPr>
          <w:p w14:paraId="23C4392D" w14:textId="5D3A6664"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$270</w:t>
            </w:r>
          </w:p>
        </w:tc>
        <w:tc>
          <w:tcPr>
            <w:tcW w:w="1320" w:type="dxa"/>
            <w:shd w:val="clear" w:color="auto" w:fill="auto"/>
            <w:noWrap/>
            <w:vAlign w:val="center"/>
            <w:hideMark/>
          </w:tcPr>
          <w:p w14:paraId="39D23FB3" w14:textId="0044557D"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$281</w:t>
            </w:r>
          </w:p>
        </w:tc>
        <w:tc>
          <w:tcPr>
            <w:tcW w:w="1320" w:type="dxa"/>
            <w:shd w:val="clear" w:color="auto" w:fill="auto"/>
            <w:noWrap/>
            <w:vAlign w:val="center"/>
            <w:hideMark/>
          </w:tcPr>
          <w:p w14:paraId="51E29363" w14:textId="305EAB48"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$376</w:t>
            </w:r>
          </w:p>
        </w:tc>
      </w:tr>
      <w:tr w:rsidR="00764B90" w:rsidRPr="0063157A" w14:paraId="40CC3C01" w14:textId="77777777" w:rsidTr="17CECF10">
        <w:trPr>
          <w:trHeight w:val="302"/>
          <w:jc w:val="center"/>
        </w:trPr>
        <w:tc>
          <w:tcPr>
            <w:tcW w:w="5485" w:type="dxa"/>
            <w:shd w:val="clear" w:color="auto" w:fill="auto"/>
            <w:vAlign w:val="center"/>
            <w:hideMark/>
          </w:tcPr>
          <w:p w14:paraId="507DD90A" w14:textId="0552EE0F" w:rsidR="00764B90" w:rsidRPr="007F7D60" w:rsidRDefault="0F5DDC9B" w:rsidP="17CECF10">
            <w:pPr>
              <w:spacing w:line="240" w:lineRule="auto"/>
              <w:rPr>
                <w:rFonts w:ascii="Segoe UI" w:eastAsia="Times New Roman" w:hAnsi="Segoe UI" w:cs="Segoe UI"/>
                <w:color w:val="000000"/>
                <w:szCs w:val="24"/>
              </w:rPr>
            </w:pPr>
            <w:r w:rsidRPr="17CECF10">
              <w:rPr>
                <w:rFonts w:ascii="Segoe UI" w:hAnsi="Segoe UI" w:cs="Segoe UI"/>
                <w:sz w:val="22"/>
              </w:rPr>
              <w:t xml:space="preserve">Filing an application for patent term adjustment </w:t>
            </w:r>
          </w:p>
        </w:tc>
        <w:tc>
          <w:tcPr>
            <w:tcW w:w="1320" w:type="dxa"/>
            <w:shd w:val="clear" w:color="auto" w:fill="auto"/>
            <w:noWrap/>
            <w:vAlign w:val="center"/>
            <w:hideMark/>
          </w:tcPr>
          <w:p w14:paraId="14759F49" w14:textId="5775A25D"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$102</w:t>
            </w:r>
          </w:p>
        </w:tc>
        <w:tc>
          <w:tcPr>
            <w:tcW w:w="1320" w:type="dxa"/>
            <w:shd w:val="clear" w:color="auto" w:fill="auto"/>
            <w:noWrap/>
            <w:vAlign w:val="center"/>
            <w:hideMark/>
          </w:tcPr>
          <w:p w14:paraId="7F6C7621" w14:textId="511C093F"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$94</w:t>
            </w:r>
          </w:p>
        </w:tc>
        <w:tc>
          <w:tcPr>
            <w:tcW w:w="1320" w:type="dxa"/>
            <w:shd w:val="clear" w:color="auto" w:fill="auto"/>
            <w:noWrap/>
            <w:vAlign w:val="center"/>
            <w:hideMark/>
          </w:tcPr>
          <w:p w14:paraId="7EFCBC2E" w14:textId="59E8841D"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$745</w:t>
            </w:r>
          </w:p>
        </w:tc>
      </w:tr>
      <w:tr w:rsidR="00764B90" w:rsidRPr="0063157A" w14:paraId="4011E945" w14:textId="77777777" w:rsidTr="17CECF10">
        <w:trPr>
          <w:trHeight w:val="302"/>
          <w:jc w:val="center"/>
        </w:trPr>
        <w:tc>
          <w:tcPr>
            <w:tcW w:w="5485" w:type="dxa"/>
            <w:shd w:val="clear" w:color="auto" w:fill="auto"/>
            <w:vAlign w:val="center"/>
            <w:hideMark/>
          </w:tcPr>
          <w:p w14:paraId="7626BF9D" w14:textId="00844A91" w:rsidR="00764B90" w:rsidRPr="007F7D60" w:rsidRDefault="0F5DDC9B" w:rsidP="17CECF10">
            <w:pPr>
              <w:spacing w:line="240" w:lineRule="auto"/>
              <w:rPr>
                <w:rFonts w:ascii="Segoe UI" w:hAnsi="Segoe UI" w:cs="Segoe UI"/>
                <w:szCs w:val="24"/>
              </w:rPr>
            </w:pPr>
            <w:r w:rsidRPr="17CECF10">
              <w:rPr>
                <w:rFonts w:ascii="Segoe UI" w:hAnsi="Segoe UI" w:cs="Segoe UI"/>
                <w:sz w:val="22"/>
              </w:rPr>
              <w:t>Request for reinstatement of term reduced</w:t>
            </w:r>
          </w:p>
        </w:tc>
        <w:tc>
          <w:tcPr>
            <w:tcW w:w="1320" w:type="dxa"/>
            <w:shd w:val="clear" w:color="auto" w:fill="auto"/>
            <w:noWrap/>
            <w:vAlign w:val="center"/>
            <w:hideMark/>
          </w:tcPr>
          <w:p w14:paraId="3FA3C839" w14:textId="311D0ABD"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$102</w:t>
            </w:r>
          </w:p>
        </w:tc>
        <w:tc>
          <w:tcPr>
            <w:tcW w:w="1320" w:type="dxa"/>
            <w:shd w:val="clear" w:color="auto" w:fill="auto"/>
            <w:noWrap/>
            <w:vAlign w:val="center"/>
            <w:hideMark/>
          </w:tcPr>
          <w:p w14:paraId="0944F64C" w14:textId="095092C2"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$94</w:t>
            </w:r>
          </w:p>
        </w:tc>
        <w:tc>
          <w:tcPr>
            <w:tcW w:w="1320" w:type="dxa"/>
            <w:shd w:val="clear" w:color="auto" w:fill="auto"/>
            <w:noWrap/>
            <w:vAlign w:val="center"/>
            <w:hideMark/>
          </w:tcPr>
          <w:p w14:paraId="35A96EF1" w14:textId="65190749"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$161</w:t>
            </w:r>
          </w:p>
        </w:tc>
      </w:tr>
      <w:tr w:rsidR="00764B90" w:rsidRPr="0063157A" w14:paraId="11F32E98" w14:textId="77777777" w:rsidTr="17CECF10">
        <w:trPr>
          <w:trHeight w:val="302"/>
          <w:jc w:val="center"/>
        </w:trPr>
        <w:tc>
          <w:tcPr>
            <w:tcW w:w="5485" w:type="dxa"/>
            <w:shd w:val="clear" w:color="auto" w:fill="auto"/>
            <w:vAlign w:val="center"/>
            <w:hideMark/>
          </w:tcPr>
          <w:p w14:paraId="0A2ECE1E" w14:textId="6719F530" w:rsidR="00764B90" w:rsidRPr="007F7D60" w:rsidRDefault="0F5DDC9B" w:rsidP="17CECF10">
            <w:pPr>
              <w:spacing w:line="240" w:lineRule="auto"/>
              <w:rPr>
                <w:rFonts w:ascii="Segoe UI" w:hAnsi="Segoe UI" w:cs="Segoe UI"/>
                <w:szCs w:val="24"/>
              </w:rPr>
            </w:pPr>
            <w:r w:rsidRPr="17CECF10">
              <w:rPr>
                <w:rFonts w:ascii="Segoe UI" w:hAnsi="Segoe UI" w:cs="Segoe UI"/>
                <w:sz w:val="22"/>
              </w:rPr>
              <w:t>Extension of term of patent</w:t>
            </w:r>
          </w:p>
        </w:tc>
        <w:tc>
          <w:tcPr>
            <w:tcW w:w="1320" w:type="dxa"/>
            <w:shd w:val="clear" w:color="auto" w:fill="auto"/>
            <w:noWrap/>
            <w:vAlign w:val="center"/>
            <w:hideMark/>
          </w:tcPr>
          <w:p w14:paraId="3C03C367" w14:textId="2632E705"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$102</w:t>
            </w:r>
          </w:p>
        </w:tc>
        <w:tc>
          <w:tcPr>
            <w:tcW w:w="1320" w:type="dxa"/>
            <w:shd w:val="clear" w:color="auto" w:fill="auto"/>
            <w:noWrap/>
            <w:vAlign w:val="center"/>
            <w:hideMark/>
          </w:tcPr>
          <w:p w14:paraId="776C140A" w14:textId="5AE265A8"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$926</w:t>
            </w:r>
          </w:p>
        </w:tc>
        <w:tc>
          <w:tcPr>
            <w:tcW w:w="1320" w:type="dxa"/>
            <w:shd w:val="clear" w:color="auto" w:fill="auto"/>
            <w:noWrap/>
            <w:vAlign w:val="center"/>
            <w:hideMark/>
          </w:tcPr>
          <w:p w14:paraId="0849CABB" w14:textId="7A00A2FD"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$2,581</w:t>
            </w:r>
          </w:p>
        </w:tc>
      </w:tr>
      <w:tr w:rsidR="00764B90" w:rsidRPr="0063157A" w14:paraId="71260CE9" w14:textId="77777777" w:rsidTr="17CECF10">
        <w:trPr>
          <w:trHeight w:val="302"/>
          <w:jc w:val="center"/>
        </w:trPr>
        <w:tc>
          <w:tcPr>
            <w:tcW w:w="5485" w:type="dxa"/>
            <w:shd w:val="clear" w:color="auto" w:fill="auto"/>
            <w:vAlign w:val="center"/>
            <w:hideMark/>
          </w:tcPr>
          <w:p w14:paraId="394F3BB6" w14:textId="72986F20" w:rsidR="00764B90" w:rsidRPr="007F7D60" w:rsidRDefault="23B0A727" w:rsidP="17CECF10">
            <w:pPr>
              <w:spacing w:line="240" w:lineRule="auto"/>
              <w:rPr>
                <w:rFonts w:ascii="Segoe UI" w:hAnsi="Segoe UI" w:cs="Segoe UI"/>
                <w:szCs w:val="24"/>
              </w:rPr>
            </w:pPr>
            <w:r w:rsidRPr="17CECF10">
              <w:rPr>
                <w:rFonts w:ascii="Segoe UI" w:hAnsi="Segoe UI" w:cs="Segoe UI"/>
                <w:sz w:val="22"/>
              </w:rPr>
              <w:t>Initial application for interim extension (</w:t>
            </w:r>
            <w:r w:rsidRPr="17CECF10">
              <w:rPr>
                <w:rFonts w:ascii="Segoe UI" w:hAnsi="Segoe UI" w:cs="Segoe UI"/>
                <w:i/>
                <w:iCs/>
                <w:sz w:val="22"/>
              </w:rPr>
              <w:t>see</w:t>
            </w:r>
            <w:r w:rsidRPr="17CECF10">
              <w:rPr>
                <w:rFonts w:ascii="Segoe UI" w:hAnsi="Segoe UI" w:cs="Segoe UI"/>
                <w:sz w:val="22"/>
              </w:rPr>
              <w:t xml:space="preserve"> 37 CFR 1.790)</w:t>
            </w:r>
          </w:p>
        </w:tc>
        <w:tc>
          <w:tcPr>
            <w:tcW w:w="1320" w:type="dxa"/>
            <w:shd w:val="clear" w:color="auto" w:fill="auto"/>
            <w:noWrap/>
            <w:vAlign w:val="center"/>
            <w:hideMark/>
          </w:tcPr>
          <w:p w14:paraId="6D32008F" w14:textId="31B6DEA3"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$102</w:t>
            </w:r>
          </w:p>
        </w:tc>
        <w:tc>
          <w:tcPr>
            <w:tcW w:w="1320" w:type="dxa"/>
            <w:shd w:val="clear" w:color="auto" w:fill="auto"/>
            <w:noWrap/>
            <w:vAlign w:val="center"/>
            <w:hideMark/>
          </w:tcPr>
          <w:p w14:paraId="324C4CE2" w14:textId="2A1460FD"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$512</w:t>
            </w:r>
          </w:p>
        </w:tc>
        <w:tc>
          <w:tcPr>
            <w:tcW w:w="1320" w:type="dxa"/>
            <w:shd w:val="clear" w:color="auto" w:fill="auto"/>
            <w:noWrap/>
            <w:vAlign w:val="center"/>
            <w:hideMark/>
          </w:tcPr>
          <w:p w14:paraId="342E5956" w14:textId="3632FF0D"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$2,347</w:t>
            </w:r>
          </w:p>
        </w:tc>
      </w:tr>
      <w:tr w:rsidR="00764B90" w:rsidRPr="0063157A" w14:paraId="222DE903" w14:textId="77777777" w:rsidTr="17CECF10">
        <w:trPr>
          <w:trHeight w:val="302"/>
          <w:jc w:val="center"/>
        </w:trPr>
        <w:tc>
          <w:tcPr>
            <w:tcW w:w="5485" w:type="dxa"/>
            <w:shd w:val="clear" w:color="auto" w:fill="auto"/>
            <w:vAlign w:val="center"/>
            <w:hideMark/>
          </w:tcPr>
          <w:p w14:paraId="5BCA2A39" w14:textId="0CDD0710" w:rsidR="00764B90" w:rsidRPr="007F7D60" w:rsidRDefault="23B0A727" w:rsidP="17CECF10">
            <w:pPr>
              <w:spacing w:line="240" w:lineRule="auto"/>
              <w:rPr>
                <w:rFonts w:ascii="Segoe UI" w:hAnsi="Segoe UI" w:cs="Segoe UI"/>
                <w:szCs w:val="24"/>
              </w:rPr>
            </w:pPr>
            <w:r w:rsidRPr="17CECF10">
              <w:rPr>
                <w:rFonts w:ascii="Segoe UI" w:hAnsi="Segoe UI" w:cs="Segoe UI"/>
                <w:sz w:val="22"/>
              </w:rPr>
              <w:t>Subsequent application for interim extension (</w:t>
            </w:r>
            <w:r w:rsidRPr="17CECF10">
              <w:rPr>
                <w:rFonts w:ascii="Segoe UI" w:hAnsi="Segoe UI" w:cs="Segoe UI"/>
                <w:i/>
                <w:iCs/>
                <w:sz w:val="22"/>
              </w:rPr>
              <w:t>see</w:t>
            </w:r>
            <w:r w:rsidRPr="17CECF10">
              <w:rPr>
                <w:rFonts w:ascii="Segoe UI" w:hAnsi="Segoe UI" w:cs="Segoe UI"/>
                <w:sz w:val="22"/>
              </w:rPr>
              <w:t xml:space="preserve"> 37 CFR 1.790)</w:t>
            </w:r>
          </w:p>
        </w:tc>
        <w:tc>
          <w:tcPr>
            <w:tcW w:w="1320" w:type="dxa"/>
            <w:shd w:val="clear" w:color="auto" w:fill="auto"/>
            <w:noWrap/>
            <w:vAlign w:val="center"/>
            <w:hideMark/>
          </w:tcPr>
          <w:p w14:paraId="49CC3FE4" w14:textId="391966E2"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$102</w:t>
            </w:r>
          </w:p>
        </w:tc>
        <w:tc>
          <w:tcPr>
            <w:tcW w:w="1320" w:type="dxa"/>
            <w:shd w:val="clear" w:color="auto" w:fill="auto"/>
            <w:noWrap/>
            <w:vAlign w:val="center"/>
            <w:hideMark/>
          </w:tcPr>
          <w:p w14:paraId="3BBBE246" w14:textId="18285085"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$512</w:t>
            </w:r>
          </w:p>
        </w:tc>
        <w:tc>
          <w:tcPr>
            <w:tcW w:w="1320" w:type="dxa"/>
            <w:shd w:val="clear" w:color="auto" w:fill="auto"/>
            <w:noWrap/>
            <w:vAlign w:val="center"/>
            <w:hideMark/>
          </w:tcPr>
          <w:p w14:paraId="31E4661B" w14:textId="3BA4E7C2"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$2,347</w:t>
            </w:r>
          </w:p>
        </w:tc>
      </w:tr>
      <w:tr w:rsidR="00764B90" w:rsidRPr="0063157A" w14:paraId="4C8EF14E" w14:textId="77777777" w:rsidTr="17CECF10">
        <w:trPr>
          <w:trHeight w:val="302"/>
          <w:jc w:val="center"/>
        </w:trPr>
        <w:tc>
          <w:tcPr>
            <w:tcW w:w="5485" w:type="dxa"/>
            <w:shd w:val="clear" w:color="auto" w:fill="auto"/>
            <w:vAlign w:val="center"/>
            <w:hideMark/>
          </w:tcPr>
          <w:p w14:paraId="5650CB57" w14:textId="7FA0E752" w:rsidR="00764B90" w:rsidRPr="007F7D60" w:rsidRDefault="36BFBD1E" w:rsidP="17CECF10">
            <w:pPr>
              <w:spacing w:line="240" w:lineRule="auto"/>
              <w:rPr>
                <w:rFonts w:ascii="Segoe UI" w:eastAsia="Times New Roman" w:hAnsi="Segoe UI" w:cs="Segoe UI"/>
                <w:color w:val="000000"/>
                <w:szCs w:val="24"/>
              </w:rPr>
            </w:pPr>
            <w:r w:rsidRPr="17CECF10">
              <w:rPr>
                <w:rFonts w:ascii="Segoe UI" w:hAnsi="Segoe UI" w:cs="Segoe UI"/>
                <w:sz w:val="22"/>
              </w:rPr>
              <w:t xml:space="preserve">Basic </w:t>
            </w:r>
            <w:r w:rsidR="731FB0E5" w:rsidRPr="17CECF10">
              <w:rPr>
                <w:rFonts w:ascii="Segoe UI" w:hAnsi="Segoe UI" w:cs="Segoe UI"/>
                <w:sz w:val="22"/>
              </w:rPr>
              <w:t>n</w:t>
            </w:r>
            <w:r w:rsidRPr="17CECF10">
              <w:rPr>
                <w:rFonts w:ascii="Segoe UI" w:hAnsi="Segoe UI" w:cs="Segoe UI"/>
                <w:sz w:val="22"/>
              </w:rPr>
              <w:t xml:space="preserve">ational </w:t>
            </w:r>
            <w:r w:rsidR="5AE615DD" w:rsidRPr="17CECF10">
              <w:rPr>
                <w:rFonts w:ascii="Segoe UI" w:hAnsi="Segoe UI" w:cs="Segoe UI"/>
                <w:sz w:val="22"/>
              </w:rPr>
              <w:t>s</w:t>
            </w:r>
            <w:r w:rsidRPr="17CECF10">
              <w:rPr>
                <w:rFonts w:ascii="Segoe UI" w:hAnsi="Segoe UI" w:cs="Segoe UI"/>
                <w:sz w:val="22"/>
              </w:rPr>
              <w:t xml:space="preserve">tage </w:t>
            </w:r>
            <w:r w:rsidR="4F0D8468" w:rsidRPr="17CECF10">
              <w:rPr>
                <w:rFonts w:ascii="Segoe UI" w:hAnsi="Segoe UI" w:cs="Segoe UI"/>
                <w:sz w:val="22"/>
              </w:rPr>
              <w:t>f</w:t>
            </w:r>
            <w:r w:rsidRPr="17CECF10">
              <w:rPr>
                <w:rFonts w:ascii="Segoe UI" w:hAnsi="Segoe UI" w:cs="Segoe UI"/>
                <w:sz w:val="22"/>
              </w:rPr>
              <w:t>ee</w:t>
            </w:r>
          </w:p>
        </w:tc>
        <w:tc>
          <w:tcPr>
            <w:tcW w:w="1320" w:type="dxa"/>
            <w:shd w:val="clear" w:color="auto" w:fill="auto"/>
            <w:noWrap/>
            <w:vAlign w:val="center"/>
            <w:hideMark/>
          </w:tcPr>
          <w:p w14:paraId="2CEA310D" w14:textId="274E6F87"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$317</w:t>
            </w:r>
          </w:p>
        </w:tc>
        <w:tc>
          <w:tcPr>
            <w:tcW w:w="1320" w:type="dxa"/>
            <w:shd w:val="clear" w:color="auto" w:fill="auto"/>
            <w:noWrap/>
            <w:vAlign w:val="center"/>
            <w:hideMark/>
          </w:tcPr>
          <w:p w14:paraId="2F688CFA" w14:textId="70F305F7"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$325</w:t>
            </w:r>
          </w:p>
        </w:tc>
        <w:tc>
          <w:tcPr>
            <w:tcW w:w="1320" w:type="dxa"/>
            <w:shd w:val="clear" w:color="auto" w:fill="auto"/>
            <w:noWrap/>
            <w:vAlign w:val="center"/>
            <w:hideMark/>
          </w:tcPr>
          <w:p w14:paraId="58F510B6" w14:textId="3C8A2F5E"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$343</w:t>
            </w:r>
          </w:p>
        </w:tc>
      </w:tr>
      <w:tr w:rsidR="00764B90" w:rsidRPr="0063157A" w14:paraId="5680E9D2" w14:textId="77777777" w:rsidTr="17CECF10">
        <w:trPr>
          <w:trHeight w:val="302"/>
          <w:jc w:val="center"/>
        </w:trPr>
        <w:tc>
          <w:tcPr>
            <w:tcW w:w="5485" w:type="dxa"/>
            <w:shd w:val="clear" w:color="auto" w:fill="auto"/>
            <w:vAlign w:val="center"/>
            <w:hideMark/>
          </w:tcPr>
          <w:p w14:paraId="22CC195A" w14:textId="18F069EC" w:rsidR="00764B90" w:rsidRPr="007F7D60" w:rsidRDefault="27A1D2C5" w:rsidP="17CECF10">
            <w:pPr>
              <w:spacing w:line="240" w:lineRule="auto"/>
              <w:rPr>
                <w:rFonts w:ascii="Segoe UI" w:hAnsi="Segoe UI" w:cs="Segoe UI"/>
                <w:szCs w:val="24"/>
              </w:rPr>
            </w:pPr>
            <w:r w:rsidRPr="17CECF10">
              <w:rPr>
                <w:rFonts w:ascii="Segoe UI" w:hAnsi="Segoe UI" w:cs="Segoe UI"/>
                <w:sz w:val="22"/>
              </w:rPr>
              <w:t xml:space="preserve">National </w:t>
            </w:r>
            <w:r w:rsidR="6BAADF4A" w:rsidRPr="17CECF10">
              <w:rPr>
                <w:rFonts w:ascii="Segoe UI" w:hAnsi="Segoe UI" w:cs="Segoe UI"/>
                <w:sz w:val="22"/>
              </w:rPr>
              <w:t>s</w:t>
            </w:r>
            <w:r w:rsidRPr="17CECF10">
              <w:rPr>
                <w:rFonts w:ascii="Segoe UI" w:hAnsi="Segoe UI" w:cs="Segoe UI"/>
                <w:sz w:val="22"/>
              </w:rPr>
              <w:t xml:space="preserve">tage </w:t>
            </w:r>
            <w:r w:rsidR="30FDBA81" w:rsidRPr="17CECF10">
              <w:rPr>
                <w:rFonts w:ascii="Segoe UI" w:hAnsi="Segoe UI" w:cs="Segoe UI"/>
                <w:sz w:val="22"/>
              </w:rPr>
              <w:t>s</w:t>
            </w:r>
            <w:r w:rsidRPr="17CECF10">
              <w:rPr>
                <w:rFonts w:ascii="Segoe UI" w:hAnsi="Segoe UI" w:cs="Segoe UI"/>
                <w:sz w:val="22"/>
              </w:rPr>
              <w:t xml:space="preserve">earch </w:t>
            </w:r>
            <w:r w:rsidR="006EC522" w:rsidRPr="17CECF10">
              <w:rPr>
                <w:rFonts w:ascii="Segoe UI" w:hAnsi="Segoe UI" w:cs="Segoe UI"/>
                <w:sz w:val="22"/>
              </w:rPr>
              <w:t>f</w:t>
            </w:r>
            <w:r w:rsidRPr="17CECF10">
              <w:rPr>
                <w:rFonts w:ascii="Segoe UI" w:hAnsi="Segoe UI" w:cs="Segoe UI"/>
                <w:sz w:val="22"/>
              </w:rPr>
              <w:t>ee - U.S. was the ISA</w:t>
            </w:r>
          </w:p>
        </w:tc>
        <w:tc>
          <w:tcPr>
            <w:tcW w:w="1320" w:type="dxa"/>
            <w:shd w:val="clear" w:color="auto" w:fill="auto"/>
            <w:noWrap/>
            <w:vAlign w:val="center"/>
            <w:hideMark/>
          </w:tcPr>
          <w:p w14:paraId="7EBBF708" w14:textId="1FBA45C5"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$403</w:t>
            </w:r>
          </w:p>
        </w:tc>
        <w:tc>
          <w:tcPr>
            <w:tcW w:w="1320" w:type="dxa"/>
            <w:shd w:val="clear" w:color="auto" w:fill="auto"/>
            <w:noWrap/>
            <w:vAlign w:val="center"/>
            <w:hideMark/>
          </w:tcPr>
          <w:p w14:paraId="0C00ED5D" w14:textId="2AA71028"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$440</w:t>
            </w:r>
          </w:p>
        </w:tc>
        <w:tc>
          <w:tcPr>
            <w:tcW w:w="1320" w:type="dxa"/>
            <w:shd w:val="clear" w:color="auto" w:fill="auto"/>
            <w:noWrap/>
            <w:vAlign w:val="center"/>
            <w:hideMark/>
          </w:tcPr>
          <w:p w14:paraId="1A9EBB37" w14:textId="7E27D6E6"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$449</w:t>
            </w:r>
          </w:p>
        </w:tc>
      </w:tr>
      <w:tr w:rsidR="00764B90" w:rsidRPr="0063157A" w14:paraId="34F940DF" w14:textId="77777777" w:rsidTr="17CECF10">
        <w:trPr>
          <w:trHeight w:val="302"/>
          <w:jc w:val="center"/>
        </w:trPr>
        <w:tc>
          <w:tcPr>
            <w:tcW w:w="5485" w:type="dxa"/>
            <w:shd w:val="clear" w:color="auto" w:fill="auto"/>
            <w:vAlign w:val="center"/>
            <w:hideMark/>
          </w:tcPr>
          <w:p w14:paraId="2A970A03" w14:textId="36DE6E66" w:rsidR="00764B90" w:rsidRPr="007F7D60" w:rsidRDefault="27A1D2C5" w:rsidP="17CECF10">
            <w:pPr>
              <w:spacing w:line="240" w:lineRule="auto"/>
              <w:rPr>
                <w:rFonts w:ascii="Segoe UI" w:eastAsia="Times New Roman" w:hAnsi="Segoe UI" w:cs="Segoe UI"/>
                <w:color w:val="000000"/>
                <w:szCs w:val="24"/>
              </w:rPr>
            </w:pPr>
            <w:r w:rsidRPr="17CECF10">
              <w:rPr>
                <w:rFonts w:ascii="Segoe UI" w:hAnsi="Segoe UI" w:cs="Segoe UI"/>
                <w:sz w:val="22"/>
              </w:rPr>
              <w:t>N</w:t>
            </w:r>
            <w:r w:rsidR="00CA9768" w:rsidRPr="17CECF10">
              <w:rPr>
                <w:rFonts w:ascii="Segoe UI" w:hAnsi="Segoe UI" w:cs="Segoe UI"/>
                <w:sz w:val="22"/>
              </w:rPr>
              <w:t>ational stage search fee</w:t>
            </w:r>
            <w:r w:rsidRPr="17CECF10">
              <w:rPr>
                <w:rFonts w:ascii="Segoe UI" w:hAnsi="Segoe UI" w:cs="Segoe UI"/>
                <w:sz w:val="22"/>
              </w:rPr>
              <w:t xml:space="preserve"> - search report prepared and provided to USPTO</w:t>
            </w:r>
          </w:p>
        </w:tc>
        <w:tc>
          <w:tcPr>
            <w:tcW w:w="1320" w:type="dxa"/>
            <w:shd w:val="clear" w:color="auto" w:fill="auto"/>
            <w:noWrap/>
            <w:vAlign w:val="center"/>
            <w:hideMark/>
          </w:tcPr>
          <w:p w14:paraId="4EBF2F3B" w14:textId="73D74886"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$2,276</w:t>
            </w:r>
          </w:p>
        </w:tc>
        <w:tc>
          <w:tcPr>
            <w:tcW w:w="1320" w:type="dxa"/>
            <w:shd w:val="clear" w:color="auto" w:fill="auto"/>
            <w:noWrap/>
            <w:vAlign w:val="center"/>
            <w:hideMark/>
          </w:tcPr>
          <w:p w14:paraId="1783CA6B" w14:textId="76E82F0F"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$2,457</w:t>
            </w:r>
          </w:p>
        </w:tc>
        <w:tc>
          <w:tcPr>
            <w:tcW w:w="1320" w:type="dxa"/>
            <w:shd w:val="clear" w:color="auto" w:fill="auto"/>
            <w:noWrap/>
            <w:vAlign w:val="center"/>
            <w:hideMark/>
          </w:tcPr>
          <w:p w14:paraId="35F9387F" w14:textId="095D55C3"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$2,430</w:t>
            </w:r>
          </w:p>
        </w:tc>
      </w:tr>
      <w:tr w:rsidR="00764B90" w:rsidRPr="0063157A" w14:paraId="699BDFDE" w14:textId="77777777" w:rsidTr="17CECF10">
        <w:trPr>
          <w:trHeight w:val="302"/>
          <w:jc w:val="center"/>
        </w:trPr>
        <w:tc>
          <w:tcPr>
            <w:tcW w:w="5485" w:type="dxa"/>
            <w:shd w:val="clear" w:color="auto" w:fill="auto"/>
            <w:vAlign w:val="center"/>
            <w:hideMark/>
          </w:tcPr>
          <w:p w14:paraId="593A7198" w14:textId="122D4F2A" w:rsidR="00764B90" w:rsidRPr="007F7D60" w:rsidRDefault="27A1D2C5" w:rsidP="17CECF10">
            <w:pPr>
              <w:spacing w:line="240" w:lineRule="auto"/>
              <w:rPr>
                <w:rFonts w:ascii="Segoe UI" w:eastAsia="Times New Roman" w:hAnsi="Segoe UI" w:cs="Segoe UI"/>
                <w:color w:val="000000"/>
                <w:szCs w:val="24"/>
              </w:rPr>
            </w:pPr>
            <w:r w:rsidRPr="17CECF10">
              <w:rPr>
                <w:rFonts w:ascii="Segoe UI" w:hAnsi="Segoe UI" w:cs="Segoe UI"/>
                <w:sz w:val="22"/>
              </w:rPr>
              <w:t>N</w:t>
            </w:r>
            <w:r w:rsidR="63F1161F" w:rsidRPr="17CECF10">
              <w:rPr>
                <w:rFonts w:ascii="Segoe UI" w:hAnsi="Segoe UI" w:cs="Segoe UI"/>
                <w:sz w:val="22"/>
              </w:rPr>
              <w:t xml:space="preserve">ational stage search fee </w:t>
            </w:r>
            <w:r w:rsidRPr="17CECF10">
              <w:rPr>
                <w:rFonts w:ascii="Segoe UI" w:hAnsi="Segoe UI" w:cs="Segoe UI"/>
                <w:sz w:val="22"/>
              </w:rPr>
              <w:t>- all other situations</w:t>
            </w:r>
          </w:p>
        </w:tc>
        <w:tc>
          <w:tcPr>
            <w:tcW w:w="1320" w:type="dxa"/>
            <w:shd w:val="clear" w:color="auto" w:fill="auto"/>
            <w:noWrap/>
            <w:vAlign w:val="center"/>
            <w:hideMark/>
          </w:tcPr>
          <w:p w14:paraId="44D18023" w14:textId="260F38BF"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$2,276</w:t>
            </w:r>
          </w:p>
        </w:tc>
        <w:tc>
          <w:tcPr>
            <w:tcW w:w="1320" w:type="dxa"/>
            <w:shd w:val="clear" w:color="auto" w:fill="auto"/>
            <w:noWrap/>
            <w:vAlign w:val="center"/>
            <w:hideMark/>
          </w:tcPr>
          <w:p w14:paraId="342D9FBF" w14:textId="01B8F12F"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$2,457</w:t>
            </w:r>
          </w:p>
        </w:tc>
        <w:tc>
          <w:tcPr>
            <w:tcW w:w="1320" w:type="dxa"/>
            <w:shd w:val="clear" w:color="auto" w:fill="auto"/>
            <w:noWrap/>
            <w:vAlign w:val="center"/>
            <w:hideMark/>
          </w:tcPr>
          <w:p w14:paraId="555644D7" w14:textId="149E1B23"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$2,430</w:t>
            </w:r>
          </w:p>
        </w:tc>
      </w:tr>
      <w:tr w:rsidR="00764B90" w:rsidRPr="0063157A" w14:paraId="15A3B253" w14:textId="77777777" w:rsidTr="17CECF10">
        <w:trPr>
          <w:trHeight w:val="302"/>
          <w:jc w:val="center"/>
        </w:trPr>
        <w:tc>
          <w:tcPr>
            <w:tcW w:w="5485" w:type="dxa"/>
            <w:shd w:val="clear" w:color="auto" w:fill="auto"/>
            <w:vAlign w:val="center"/>
            <w:hideMark/>
          </w:tcPr>
          <w:p w14:paraId="1BE839D7" w14:textId="11DBF3DA" w:rsidR="00764B90" w:rsidRPr="007F7D60" w:rsidRDefault="27A1D2C5" w:rsidP="17CECF10">
            <w:pPr>
              <w:spacing w:line="240" w:lineRule="auto"/>
              <w:rPr>
                <w:rFonts w:ascii="Segoe UI" w:eastAsia="Times New Roman" w:hAnsi="Segoe UI" w:cs="Segoe UI"/>
                <w:color w:val="000000"/>
                <w:szCs w:val="24"/>
              </w:rPr>
            </w:pPr>
            <w:r w:rsidRPr="17CECF10">
              <w:rPr>
                <w:rFonts w:ascii="Segoe UI" w:hAnsi="Segoe UI" w:cs="Segoe UI"/>
                <w:sz w:val="22"/>
              </w:rPr>
              <w:t xml:space="preserve">National </w:t>
            </w:r>
            <w:r w:rsidR="2393D577" w:rsidRPr="17CECF10">
              <w:rPr>
                <w:rFonts w:ascii="Segoe UI" w:hAnsi="Segoe UI" w:cs="Segoe UI"/>
                <w:sz w:val="22"/>
              </w:rPr>
              <w:t>s</w:t>
            </w:r>
            <w:r w:rsidRPr="17CECF10">
              <w:rPr>
                <w:rFonts w:ascii="Segoe UI" w:hAnsi="Segoe UI" w:cs="Segoe UI"/>
                <w:sz w:val="22"/>
              </w:rPr>
              <w:t xml:space="preserve">tage </w:t>
            </w:r>
            <w:r w:rsidR="0017BF32" w:rsidRPr="17CECF10">
              <w:rPr>
                <w:rFonts w:ascii="Segoe UI" w:hAnsi="Segoe UI" w:cs="Segoe UI"/>
                <w:sz w:val="22"/>
              </w:rPr>
              <w:t>e</w:t>
            </w:r>
            <w:r w:rsidRPr="17CECF10">
              <w:rPr>
                <w:rFonts w:ascii="Segoe UI" w:hAnsi="Segoe UI" w:cs="Segoe UI"/>
                <w:sz w:val="22"/>
              </w:rPr>
              <w:t xml:space="preserve">xamination </w:t>
            </w:r>
            <w:r w:rsidR="2FED4EFC" w:rsidRPr="17CECF10">
              <w:rPr>
                <w:rFonts w:ascii="Segoe UI" w:hAnsi="Segoe UI" w:cs="Segoe UI"/>
                <w:sz w:val="22"/>
              </w:rPr>
              <w:t>f</w:t>
            </w:r>
            <w:r w:rsidRPr="17CECF10">
              <w:rPr>
                <w:rFonts w:ascii="Segoe UI" w:hAnsi="Segoe UI" w:cs="Segoe UI"/>
                <w:sz w:val="22"/>
              </w:rPr>
              <w:t>ee - all other situations</w:t>
            </w:r>
          </w:p>
        </w:tc>
        <w:tc>
          <w:tcPr>
            <w:tcW w:w="1320" w:type="dxa"/>
            <w:shd w:val="clear" w:color="auto" w:fill="auto"/>
            <w:noWrap/>
            <w:vAlign w:val="center"/>
            <w:hideMark/>
          </w:tcPr>
          <w:p w14:paraId="0C778F7D" w14:textId="5CED0D37"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$2,877</w:t>
            </w:r>
          </w:p>
        </w:tc>
        <w:tc>
          <w:tcPr>
            <w:tcW w:w="1320" w:type="dxa"/>
            <w:shd w:val="clear" w:color="auto" w:fill="auto"/>
            <w:noWrap/>
            <w:vAlign w:val="center"/>
            <w:hideMark/>
          </w:tcPr>
          <w:p w14:paraId="61C85CF0" w14:textId="4278B19D"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$3,144</w:t>
            </w:r>
          </w:p>
        </w:tc>
        <w:tc>
          <w:tcPr>
            <w:tcW w:w="1320" w:type="dxa"/>
            <w:shd w:val="clear" w:color="auto" w:fill="auto"/>
            <w:noWrap/>
            <w:vAlign w:val="center"/>
            <w:hideMark/>
          </w:tcPr>
          <w:p w14:paraId="5EA25BAC" w14:textId="350D1EF7"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$3,100</w:t>
            </w:r>
          </w:p>
        </w:tc>
      </w:tr>
      <w:tr w:rsidR="00764B90" w:rsidRPr="0063157A" w14:paraId="3C9F9D88" w14:textId="77777777" w:rsidTr="17CECF10">
        <w:trPr>
          <w:trHeight w:val="302"/>
          <w:jc w:val="center"/>
        </w:trPr>
        <w:tc>
          <w:tcPr>
            <w:tcW w:w="5485" w:type="dxa"/>
            <w:shd w:val="clear" w:color="auto" w:fill="auto"/>
            <w:vAlign w:val="center"/>
            <w:hideMark/>
          </w:tcPr>
          <w:p w14:paraId="43FCCFA7" w14:textId="1B750A3B" w:rsidR="00764B90" w:rsidRPr="007F7D60" w:rsidRDefault="354ECD6A" w:rsidP="17CECF10">
            <w:pPr>
              <w:spacing w:line="240" w:lineRule="auto"/>
              <w:rPr>
                <w:rFonts w:ascii="Segoe UI" w:eastAsia="Times New Roman" w:hAnsi="Segoe UI" w:cs="Segoe UI"/>
                <w:color w:val="000000"/>
                <w:szCs w:val="24"/>
              </w:rPr>
            </w:pPr>
            <w:r w:rsidRPr="17CECF10">
              <w:rPr>
                <w:rFonts w:ascii="Segoe UI" w:hAnsi="Segoe UI" w:cs="Segoe UI"/>
                <w:sz w:val="22"/>
              </w:rPr>
              <w:t>Transmittal fee</w:t>
            </w:r>
          </w:p>
        </w:tc>
        <w:tc>
          <w:tcPr>
            <w:tcW w:w="1320" w:type="dxa"/>
            <w:shd w:val="clear" w:color="auto" w:fill="auto"/>
            <w:noWrap/>
            <w:vAlign w:val="center"/>
            <w:hideMark/>
          </w:tcPr>
          <w:p w14:paraId="0CAE0856" w14:textId="1F882F8C"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$323</w:t>
            </w:r>
          </w:p>
        </w:tc>
        <w:tc>
          <w:tcPr>
            <w:tcW w:w="1320" w:type="dxa"/>
            <w:shd w:val="clear" w:color="auto" w:fill="auto"/>
            <w:noWrap/>
            <w:vAlign w:val="center"/>
            <w:hideMark/>
          </w:tcPr>
          <w:p w14:paraId="0B827D39" w14:textId="53B892B0"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$328</w:t>
            </w:r>
          </w:p>
        </w:tc>
        <w:tc>
          <w:tcPr>
            <w:tcW w:w="1320" w:type="dxa"/>
            <w:shd w:val="clear" w:color="auto" w:fill="auto"/>
            <w:noWrap/>
            <w:vAlign w:val="center"/>
            <w:hideMark/>
          </w:tcPr>
          <w:p w14:paraId="280AAD1B" w14:textId="3C385110"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$320</w:t>
            </w:r>
          </w:p>
        </w:tc>
      </w:tr>
      <w:tr w:rsidR="00764B90" w:rsidRPr="0063157A" w14:paraId="114A95F9" w14:textId="77777777" w:rsidTr="17CECF10">
        <w:trPr>
          <w:trHeight w:val="302"/>
          <w:jc w:val="center"/>
        </w:trPr>
        <w:tc>
          <w:tcPr>
            <w:tcW w:w="5485" w:type="dxa"/>
            <w:shd w:val="clear" w:color="auto" w:fill="auto"/>
            <w:vAlign w:val="center"/>
            <w:hideMark/>
          </w:tcPr>
          <w:p w14:paraId="526B3123" w14:textId="691B3702" w:rsidR="00764B90" w:rsidRPr="007F7D60" w:rsidRDefault="23B0A727" w:rsidP="17CECF10">
            <w:pPr>
              <w:spacing w:line="240" w:lineRule="auto"/>
              <w:rPr>
                <w:rFonts w:ascii="Segoe UI" w:eastAsia="Times New Roman" w:hAnsi="Segoe UI" w:cs="Segoe UI"/>
                <w:color w:val="000000"/>
                <w:szCs w:val="24"/>
              </w:rPr>
            </w:pPr>
            <w:r w:rsidRPr="17CECF10">
              <w:rPr>
                <w:rFonts w:ascii="Segoe UI" w:hAnsi="Segoe UI" w:cs="Segoe UI"/>
                <w:sz w:val="22"/>
              </w:rPr>
              <w:lastRenderedPageBreak/>
              <w:t>Search fee - regardless of whether there is a corresponding application (</w:t>
            </w:r>
            <w:r w:rsidRPr="17CECF10">
              <w:rPr>
                <w:rFonts w:ascii="Segoe UI" w:hAnsi="Segoe UI" w:cs="Segoe UI"/>
                <w:i/>
                <w:iCs/>
                <w:sz w:val="22"/>
              </w:rPr>
              <w:t>see</w:t>
            </w:r>
            <w:r w:rsidRPr="17CECF10">
              <w:rPr>
                <w:rFonts w:ascii="Segoe UI" w:hAnsi="Segoe UI" w:cs="Segoe UI"/>
                <w:sz w:val="22"/>
              </w:rPr>
              <w:t xml:space="preserve"> 35 U.S.C. 361(d) and PCT Rule 16)</w:t>
            </w:r>
          </w:p>
        </w:tc>
        <w:tc>
          <w:tcPr>
            <w:tcW w:w="1320" w:type="dxa"/>
            <w:shd w:val="clear" w:color="auto" w:fill="auto"/>
            <w:noWrap/>
            <w:vAlign w:val="center"/>
            <w:hideMark/>
          </w:tcPr>
          <w:p w14:paraId="0B4D2B39" w14:textId="14A9F086"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$1,867</w:t>
            </w:r>
          </w:p>
        </w:tc>
        <w:tc>
          <w:tcPr>
            <w:tcW w:w="1320" w:type="dxa"/>
            <w:shd w:val="clear" w:color="auto" w:fill="auto"/>
            <w:noWrap/>
            <w:vAlign w:val="center"/>
            <w:hideMark/>
          </w:tcPr>
          <w:p w14:paraId="2A7FE547" w14:textId="129C6FF7"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$1,944</w:t>
            </w:r>
          </w:p>
        </w:tc>
        <w:tc>
          <w:tcPr>
            <w:tcW w:w="1320" w:type="dxa"/>
            <w:shd w:val="clear" w:color="auto" w:fill="auto"/>
            <w:noWrap/>
            <w:vAlign w:val="center"/>
            <w:hideMark/>
          </w:tcPr>
          <w:p w14:paraId="078B97C8" w14:textId="4B928837"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$1,731</w:t>
            </w:r>
          </w:p>
        </w:tc>
      </w:tr>
      <w:tr w:rsidR="00764B90" w:rsidRPr="0063157A" w14:paraId="6BEE8917" w14:textId="77777777" w:rsidTr="17CECF10">
        <w:trPr>
          <w:trHeight w:val="302"/>
          <w:jc w:val="center"/>
        </w:trPr>
        <w:tc>
          <w:tcPr>
            <w:tcW w:w="5485" w:type="dxa"/>
            <w:shd w:val="clear" w:color="auto" w:fill="auto"/>
            <w:vAlign w:val="center"/>
            <w:hideMark/>
          </w:tcPr>
          <w:p w14:paraId="75681B6A" w14:textId="213CCF7B" w:rsidR="00764B90" w:rsidRPr="007F7D60" w:rsidRDefault="0F5DDC9B" w:rsidP="17CECF10">
            <w:pPr>
              <w:spacing w:line="240" w:lineRule="auto"/>
              <w:rPr>
                <w:rFonts w:ascii="Segoe UI" w:hAnsi="Segoe UI" w:cs="Segoe UI"/>
                <w:szCs w:val="24"/>
              </w:rPr>
            </w:pPr>
            <w:r w:rsidRPr="17CECF10">
              <w:rPr>
                <w:rFonts w:ascii="Segoe UI" w:hAnsi="Segoe UI" w:cs="Segoe UI"/>
                <w:sz w:val="22"/>
              </w:rPr>
              <w:t>Supplemental search fee when required, per additional invention</w:t>
            </w:r>
          </w:p>
        </w:tc>
        <w:tc>
          <w:tcPr>
            <w:tcW w:w="1320" w:type="dxa"/>
            <w:shd w:val="clear" w:color="auto" w:fill="auto"/>
            <w:noWrap/>
            <w:vAlign w:val="center"/>
            <w:hideMark/>
          </w:tcPr>
          <w:p w14:paraId="6C40777C" w14:textId="64AF53AE"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$1,867</w:t>
            </w:r>
          </w:p>
        </w:tc>
        <w:tc>
          <w:tcPr>
            <w:tcW w:w="1320" w:type="dxa"/>
            <w:shd w:val="clear" w:color="auto" w:fill="auto"/>
            <w:noWrap/>
            <w:vAlign w:val="center"/>
            <w:hideMark/>
          </w:tcPr>
          <w:p w14:paraId="0034C264" w14:textId="2E551A19"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$1,944</w:t>
            </w:r>
          </w:p>
        </w:tc>
        <w:tc>
          <w:tcPr>
            <w:tcW w:w="1320" w:type="dxa"/>
            <w:shd w:val="clear" w:color="auto" w:fill="auto"/>
            <w:noWrap/>
            <w:vAlign w:val="center"/>
            <w:hideMark/>
          </w:tcPr>
          <w:p w14:paraId="03123100" w14:textId="7F18F071"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$1,731</w:t>
            </w:r>
          </w:p>
        </w:tc>
      </w:tr>
      <w:tr w:rsidR="00764B90" w:rsidRPr="0063157A" w14:paraId="384A6292" w14:textId="77777777" w:rsidTr="17CECF10">
        <w:trPr>
          <w:trHeight w:val="302"/>
          <w:jc w:val="center"/>
        </w:trPr>
        <w:tc>
          <w:tcPr>
            <w:tcW w:w="5485" w:type="dxa"/>
            <w:shd w:val="clear" w:color="auto" w:fill="auto"/>
            <w:vAlign w:val="center"/>
            <w:hideMark/>
          </w:tcPr>
          <w:p w14:paraId="390E397F" w14:textId="28E1A19F" w:rsidR="00764B90" w:rsidRPr="007F7D60" w:rsidRDefault="354ECD6A" w:rsidP="17CECF10">
            <w:pPr>
              <w:spacing w:line="240" w:lineRule="auto"/>
              <w:rPr>
                <w:rFonts w:ascii="Segoe UI" w:eastAsia="Times New Roman" w:hAnsi="Segoe UI" w:cs="Segoe UI"/>
                <w:color w:val="000000"/>
                <w:szCs w:val="24"/>
              </w:rPr>
            </w:pPr>
            <w:r w:rsidRPr="17CECF10">
              <w:rPr>
                <w:rFonts w:ascii="Segoe UI" w:hAnsi="Segoe UI" w:cs="Segoe UI"/>
                <w:sz w:val="22"/>
              </w:rPr>
              <w:t>Transmitting application to Intl. Bureau to act as receiving office</w:t>
            </w:r>
          </w:p>
        </w:tc>
        <w:tc>
          <w:tcPr>
            <w:tcW w:w="1320" w:type="dxa"/>
            <w:shd w:val="clear" w:color="auto" w:fill="auto"/>
            <w:noWrap/>
            <w:vAlign w:val="center"/>
            <w:hideMark/>
          </w:tcPr>
          <w:p w14:paraId="01A3E692" w14:textId="1A2DF0CB"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$5</w:t>
            </w:r>
          </w:p>
        </w:tc>
        <w:tc>
          <w:tcPr>
            <w:tcW w:w="1320" w:type="dxa"/>
            <w:shd w:val="clear" w:color="auto" w:fill="auto"/>
            <w:noWrap/>
            <w:vAlign w:val="center"/>
            <w:hideMark/>
          </w:tcPr>
          <w:p w14:paraId="07D1146F" w14:textId="6D2FDA9D"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$5</w:t>
            </w:r>
          </w:p>
        </w:tc>
        <w:tc>
          <w:tcPr>
            <w:tcW w:w="1320" w:type="dxa"/>
            <w:shd w:val="clear" w:color="auto" w:fill="auto"/>
            <w:noWrap/>
            <w:vAlign w:val="center"/>
            <w:hideMark/>
          </w:tcPr>
          <w:p w14:paraId="7B098BF0" w14:textId="131AE243"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w:t>
            </w:r>
          </w:p>
        </w:tc>
      </w:tr>
      <w:tr w:rsidR="00764B90" w:rsidRPr="0063157A" w14:paraId="1EE6B385" w14:textId="77777777" w:rsidTr="17CECF10">
        <w:trPr>
          <w:trHeight w:val="302"/>
          <w:jc w:val="center"/>
        </w:trPr>
        <w:tc>
          <w:tcPr>
            <w:tcW w:w="5485" w:type="dxa"/>
            <w:shd w:val="clear" w:color="auto" w:fill="auto"/>
            <w:vAlign w:val="center"/>
            <w:hideMark/>
          </w:tcPr>
          <w:p w14:paraId="18B45E52" w14:textId="7556E96F" w:rsidR="00764B90" w:rsidRPr="007F7D60" w:rsidRDefault="0F5DDC9B" w:rsidP="17CECF10">
            <w:pPr>
              <w:spacing w:line="240" w:lineRule="auto"/>
              <w:rPr>
                <w:rFonts w:ascii="Segoe UI" w:eastAsia="Times New Roman" w:hAnsi="Segoe UI" w:cs="Segoe UI"/>
                <w:color w:val="000000"/>
                <w:szCs w:val="24"/>
              </w:rPr>
            </w:pPr>
            <w:r w:rsidRPr="17CECF10">
              <w:rPr>
                <w:rFonts w:ascii="Segoe UI" w:hAnsi="Segoe UI" w:cs="Segoe UI"/>
                <w:sz w:val="22"/>
              </w:rPr>
              <w:t>Preliminary examination fee - U.S. was the ISA</w:t>
            </w:r>
          </w:p>
        </w:tc>
        <w:tc>
          <w:tcPr>
            <w:tcW w:w="1320" w:type="dxa"/>
            <w:shd w:val="clear" w:color="auto" w:fill="auto"/>
            <w:noWrap/>
            <w:vAlign w:val="center"/>
            <w:hideMark/>
          </w:tcPr>
          <w:p w14:paraId="5D9C6CC2" w14:textId="0F12D77B"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$1,067</w:t>
            </w:r>
          </w:p>
        </w:tc>
        <w:tc>
          <w:tcPr>
            <w:tcW w:w="1320" w:type="dxa"/>
            <w:shd w:val="clear" w:color="auto" w:fill="auto"/>
            <w:noWrap/>
            <w:vAlign w:val="center"/>
            <w:hideMark/>
          </w:tcPr>
          <w:p w14:paraId="5505258B" w14:textId="3E838215"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$1,144</w:t>
            </w:r>
          </w:p>
        </w:tc>
        <w:tc>
          <w:tcPr>
            <w:tcW w:w="1320" w:type="dxa"/>
            <w:shd w:val="clear" w:color="auto" w:fill="auto"/>
            <w:noWrap/>
            <w:vAlign w:val="center"/>
            <w:hideMark/>
          </w:tcPr>
          <w:p w14:paraId="417E21E2" w14:textId="771DE3A1"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$1,222</w:t>
            </w:r>
          </w:p>
        </w:tc>
      </w:tr>
      <w:tr w:rsidR="00764B90" w:rsidRPr="0063157A" w14:paraId="7C4FAABC" w14:textId="77777777" w:rsidTr="17CECF10">
        <w:trPr>
          <w:trHeight w:val="302"/>
          <w:jc w:val="center"/>
        </w:trPr>
        <w:tc>
          <w:tcPr>
            <w:tcW w:w="5485" w:type="dxa"/>
            <w:shd w:val="clear" w:color="auto" w:fill="auto"/>
            <w:vAlign w:val="center"/>
            <w:hideMark/>
          </w:tcPr>
          <w:p w14:paraId="1381B5AF" w14:textId="2928D21C" w:rsidR="00764B90" w:rsidRPr="007F7D60" w:rsidRDefault="0F5DDC9B" w:rsidP="17CECF10">
            <w:pPr>
              <w:spacing w:line="240" w:lineRule="auto"/>
              <w:rPr>
                <w:rFonts w:ascii="Segoe UI" w:eastAsia="Times New Roman" w:hAnsi="Segoe UI" w:cs="Segoe UI"/>
                <w:color w:val="000000"/>
                <w:szCs w:val="24"/>
              </w:rPr>
            </w:pPr>
            <w:r w:rsidRPr="17CECF10">
              <w:rPr>
                <w:rFonts w:ascii="Segoe UI" w:hAnsi="Segoe UI" w:cs="Segoe UI"/>
                <w:sz w:val="22"/>
              </w:rPr>
              <w:t>Preliminary examination fee - U.S. was not the ISA</w:t>
            </w:r>
          </w:p>
        </w:tc>
        <w:tc>
          <w:tcPr>
            <w:tcW w:w="1320" w:type="dxa"/>
            <w:shd w:val="clear" w:color="auto" w:fill="auto"/>
            <w:noWrap/>
            <w:vAlign w:val="center"/>
            <w:hideMark/>
          </w:tcPr>
          <w:p w14:paraId="5E041874" w14:textId="2BDC513E"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$1,067</w:t>
            </w:r>
          </w:p>
        </w:tc>
        <w:tc>
          <w:tcPr>
            <w:tcW w:w="1320" w:type="dxa"/>
            <w:shd w:val="clear" w:color="auto" w:fill="auto"/>
            <w:noWrap/>
            <w:vAlign w:val="center"/>
            <w:hideMark/>
          </w:tcPr>
          <w:p w14:paraId="5E2B0284" w14:textId="3DEE0082"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$1,144</w:t>
            </w:r>
          </w:p>
        </w:tc>
        <w:tc>
          <w:tcPr>
            <w:tcW w:w="1320" w:type="dxa"/>
            <w:shd w:val="clear" w:color="auto" w:fill="auto"/>
            <w:noWrap/>
            <w:vAlign w:val="center"/>
            <w:hideMark/>
          </w:tcPr>
          <w:p w14:paraId="330C5CC4" w14:textId="15C37BF3"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$1,222</w:t>
            </w:r>
          </w:p>
        </w:tc>
      </w:tr>
      <w:tr w:rsidR="00764B90" w:rsidRPr="0063157A" w14:paraId="1FD4D0CC" w14:textId="77777777" w:rsidTr="17CECF10">
        <w:trPr>
          <w:trHeight w:val="302"/>
          <w:jc w:val="center"/>
        </w:trPr>
        <w:tc>
          <w:tcPr>
            <w:tcW w:w="5485" w:type="dxa"/>
            <w:shd w:val="clear" w:color="auto" w:fill="auto"/>
            <w:vAlign w:val="center"/>
            <w:hideMark/>
          </w:tcPr>
          <w:p w14:paraId="1755DED8" w14:textId="74858F2D" w:rsidR="00764B90" w:rsidRPr="007F7D60" w:rsidRDefault="354ECD6A" w:rsidP="17CECF10">
            <w:pPr>
              <w:spacing w:line="240" w:lineRule="auto"/>
              <w:rPr>
                <w:rFonts w:ascii="Segoe UI" w:eastAsia="Times New Roman" w:hAnsi="Segoe UI" w:cs="Segoe UI"/>
                <w:color w:val="000000"/>
                <w:szCs w:val="24"/>
              </w:rPr>
            </w:pPr>
            <w:r w:rsidRPr="17CECF10">
              <w:rPr>
                <w:rFonts w:ascii="Segoe UI" w:hAnsi="Segoe UI" w:cs="Segoe UI"/>
                <w:sz w:val="22"/>
              </w:rPr>
              <w:t>Supplemental examination fee per additional invention</w:t>
            </w:r>
          </w:p>
        </w:tc>
        <w:tc>
          <w:tcPr>
            <w:tcW w:w="1320" w:type="dxa"/>
            <w:shd w:val="clear" w:color="auto" w:fill="auto"/>
            <w:noWrap/>
            <w:vAlign w:val="center"/>
            <w:hideMark/>
          </w:tcPr>
          <w:p w14:paraId="036A9BF8" w14:textId="4FEB17E6"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$1,067</w:t>
            </w:r>
          </w:p>
        </w:tc>
        <w:tc>
          <w:tcPr>
            <w:tcW w:w="1320" w:type="dxa"/>
            <w:shd w:val="clear" w:color="auto" w:fill="auto"/>
            <w:noWrap/>
            <w:vAlign w:val="center"/>
            <w:hideMark/>
          </w:tcPr>
          <w:p w14:paraId="2BEE3D81" w14:textId="7B04C34C"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$1,144</w:t>
            </w:r>
          </w:p>
        </w:tc>
        <w:tc>
          <w:tcPr>
            <w:tcW w:w="1320" w:type="dxa"/>
            <w:shd w:val="clear" w:color="auto" w:fill="auto"/>
            <w:noWrap/>
            <w:vAlign w:val="center"/>
            <w:hideMark/>
          </w:tcPr>
          <w:p w14:paraId="6DBA517B" w14:textId="2A3A2634"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$1,222</w:t>
            </w:r>
          </w:p>
        </w:tc>
      </w:tr>
      <w:tr w:rsidR="00764B90" w:rsidRPr="0063157A" w14:paraId="7B9B1D75" w14:textId="77777777" w:rsidTr="17CECF10">
        <w:trPr>
          <w:trHeight w:val="302"/>
          <w:jc w:val="center"/>
        </w:trPr>
        <w:tc>
          <w:tcPr>
            <w:tcW w:w="5485" w:type="dxa"/>
            <w:shd w:val="clear" w:color="auto" w:fill="auto"/>
            <w:vAlign w:val="center"/>
            <w:hideMark/>
          </w:tcPr>
          <w:p w14:paraId="425AF85A" w14:textId="5284AFDE" w:rsidR="00764B90" w:rsidRPr="007F7D60" w:rsidRDefault="0F5DDC9B" w:rsidP="17CECF10">
            <w:pPr>
              <w:spacing w:line="240" w:lineRule="auto"/>
              <w:rPr>
                <w:rFonts w:ascii="Segoe UI" w:eastAsia="Times New Roman" w:hAnsi="Segoe UI" w:cs="Segoe UI"/>
                <w:color w:val="000000"/>
                <w:szCs w:val="24"/>
              </w:rPr>
            </w:pPr>
            <w:r w:rsidRPr="17CECF10">
              <w:rPr>
                <w:rFonts w:ascii="Segoe UI" w:hAnsi="Segoe UI" w:cs="Segoe UI"/>
                <w:sz w:val="22"/>
              </w:rPr>
              <w:t>Application fee (non-refundable)</w:t>
            </w:r>
          </w:p>
        </w:tc>
        <w:tc>
          <w:tcPr>
            <w:tcW w:w="1320" w:type="dxa"/>
            <w:shd w:val="clear" w:color="auto" w:fill="auto"/>
            <w:noWrap/>
            <w:vAlign w:val="center"/>
            <w:hideMark/>
          </w:tcPr>
          <w:p w14:paraId="275FEAEB" w14:textId="775AFE67"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$419</w:t>
            </w:r>
          </w:p>
        </w:tc>
        <w:tc>
          <w:tcPr>
            <w:tcW w:w="1320" w:type="dxa"/>
            <w:shd w:val="clear" w:color="auto" w:fill="auto"/>
            <w:noWrap/>
            <w:vAlign w:val="center"/>
            <w:hideMark/>
          </w:tcPr>
          <w:p w14:paraId="25C3F59E" w14:textId="0F38B123"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$341</w:t>
            </w:r>
          </w:p>
        </w:tc>
        <w:tc>
          <w:tcPr>
            <w:tcW w:w="1320" w:type="dxa"/>
            <w:shd w:val="clear" w:color="auto" w:fill="auto"/>
            <w:noWrap/>
            <w:vAlign w:val="center"/>
            <w:hideMark/>
          </w:tcPr>
          <w:p w14:paraId="69B2635F" w14:textId="75F4A0A5"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$362</w:t>
            </w:r>
          </w:p>
        </w:tc>
      </w:tr>
      <w:tr w:rsidR="00764B90" w:rsidRPr="0063157A" w14:paraId="45A0AE9D" w14:textId="77777777" w:rsidTr="17CECF10">
        <w:trPr>
          <w:trHeight w:val="302"/>
          <w:jc w:val="center"/>
        </w:trPr>
        <w:tc>
          <w:tcPr>
            <w:tcW w:w="5485" w:type="dxa"/>
            <w:shd w:val="clear" w:color="auto" w:fill="auto"/>
            <w:vAlign w:val="center"/>
            <w:hideMark/>
          </w:tcPr>
          <w:p w14:paraId="08C60B91" w14:textId="271EE001" w:rsidR="00764B90" w:rsidRPr="007F7D60" w:rsidRDefault="354ECD6A" w:rsidP="17CECF10">
            <w:pPr>
              <w:spacing w:line="240" w:lineRule="auto"/>
              <w:rPr>
                <w:rFonts w:ascii="Segoe UI" w:eastAsia="Times New Roman" w:hAnsi="Segoe UI" w:cs="Segoe UI"/>
                <w:color w:val="000000"/>
                <w:szCs w:val="24"/>
              </w:rPr>
            </w:pPr>
            <w:r w:rsidRPr="17CECF10">
              <w:rPr>
                <w:rFonts w:ascii="Segoe UI" w:hAnsi="Segoe UI" w:cs="Segoe UI"/>
                <w:sz w:val="22"/>
              </w:rPr>
              <w:t xml:space="preserve">On registration to practice under §11.6 or On grant of limited recognition under §11.9(b) </w:t>
            </w:r>
          </w:p>
        </w:tc>
        <w:tc>
          <w:tcPr>
            <w:tcW w:w="1320" w:type="dxa"/>
            <w:shd w:val="clear" w:color="auto" w:fill="auto"/>
            <w:noWrap/>
            <w:vAlign w:val="center"/>
            <w:hideMark/>
          </w:tcPr>
          <w:p w14:paraId="60EB09D2" w14:textId="47B8F2F1"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$776</w:t>
            </w:r>
          </w:p>
        </w:tc>
        <w:tc>
          <w:tcPr>
            <w:tcW w:w="1320" w:type="dxa"/>
            <w:shd w:val="clear" w:color="auto" w:fill="auto"/>
            <w:noWrap/>
            <w:vAlign w:val="center"/>
            <w:hideMark/>
          </w:tcPr>
          <w:p w14:paraId="33E4B566" w14:textId="277E4160"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$622</w:t>
            </w:r>
          </w:p>
        </w:tc>
        <w:tc>
          <w:tcPr>
            <w:tcW w:w="1320" w:type="dxa"/>
            <w:shd w:val="clear" w:color="auto" w:fill="auto"/>
            <w:noWrap/>
            <w:vAlign w:val="center"/>
            <w:hideMark/>
          </w:tcPr>
          <w:p w14:paraId="680FEA69" w14:textId="339D8F7A"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$652</w:t>
            </w:r>
          </w:p>
        </w:tc>
      </w:tr>
      <w:tr w:rsidR="00764B90" w:rsidRPr="0063157A" w14:paraId="48F22248" w14:textId="77777777" w:rsidTr="17CECF10">
        <w:trPr>
          <w:trHeight w:val="302"/>
          <w:jc w:val="center"/>
        </w:trPr>
        <w:tc>
          <w:tcPr>
            <w:tcW w:w="5485" w:type="dxa"/>
            <w:shd w:val="clear" w:color="auto" w:fill="auto"/>
            <w:vAlign w:val="center"/>
            <w:hideMark/>
          </w:tcPr>
          <w:p w14:paraId="4057892A" w14:textId="1BEAD7C5" w:rsidR="00764B90" w:rsidRPr="007F7D60" w:rsidRDefault="354ECD6A" w:rsidP="17CECF10">
            <w:pPr>
              <w:spacing w:line="240" w:lineRule="auto"/>
              <w:rPr>
                <w:rFonts w:ascii="Segoe UI" w:eastAsia="Times New Roman" w:hAnsi="Segoe UI" w:cs="Segoe UI"/>
                <w:color w:val="000000"/>
                <w:szCs w:val="24"/>
              </w:rPr>
            </w:pPr>
            <w:r w:rsidRPr="17CECF10">
              <w:rPr>
                <w:rFonts w:ascii="Segoe UI" w:hAnsi="Segoe UI" w:cs="Segoe UI"/>
                <w:sz w:val="22"/>
              </w:rPr>
              <w:t>Certificate of good standing as an attorney or agent, standard</w:t>
            </w:r>
          </w:p>
        </w:tc>
        <w:tc>
          <w:tcPr>
            <w:tcW w:w="1320" w:type="dxa"/>
            <w:shd w:val="clear" w:color="auto" w:fill="auto"/>
            <w:noWrap/>
            <w:vAlign w:val="center"/>
            <w:hideMark/>
          </w:tcPr>
          <w:p w14:paraId="21C7B0C2" w14:textId="653E9468"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$70</w:t>
            </w:r>
          </w:p>
        </w:tc>
        <w:tc>
          <w:tcPr>
            <w:tcW w:w="1320" w:type="dxa"/>
            <w:shd w:val="clear" w:color="auto" w:fill="auto"/>
            <w:noWrap/>
            <w:vAlign w:val="center"/>
            <w:hideMark/>
          </w:tcPr>
          <w:p w14:paraId="04D4D906" w14:textId="4C9532B3"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$56</w:t>
            </w:r>
          </w:p>
        </w:tc>
        <w:tc>
          <w:tcPr>
            <w:tcW w:w="1320" w:type="dxa"/>
            <w:shd w:val="clear" w:color="auto" w:fill="auto"/>
            <w:noWrap/>
            <w:vAlign w:val="center"/>
            <w:hideMark/>
          </w:tcPr>
          <w:p w14:paraId="749666C9" w14:textId="6EF1CE0E"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$60</w:t>
            </w:r>
          </w:p>
        </w:tc>
      </w:tr>
      <w:tr w:rsidR="00764B90" w:rsidRPr="0063157A" w14:paraId="116B2EFD" w14:textId="77777777" w:rsidTr="17CECF10">
        <w:trPr>
          <w:trHeight w:val="302"/>
          <w:jc w:val="center"/>
        </w:trPr>
        <w:tc>
          <w:tcPr>
            <w:tcW w:w="5485" w:type="dxa"/>
            <w:shd w:val="clear" w:color="auto" w:fill="auto"/>
            <w:vAlign w:val="center"/>
            <w:hideMark/>
          </w:tcPr>
          <w:p w14:paraId="0C1A0857" w14:textId="7C9485BB" w:rsidR="00764B90" w:rsidRPr="007F7D60" w:rsidRDefault="354ECD6A" w:rsidP="17CECF10">
            <w:pPr>
              <w:spacing w:line="240" w:lineRule="auto"/>
              <w:rPr>
                <w:rFonts w:ascii="Segoe UI" w:eastAsia="Times New Roman" w:hAnsi="Segoe UI" w:cs="Segoe UI"/>
                <w:color w:val="000000"/>
                <w:szCs w:val="24"/>
              </w:rPr>
            </w:pPr>
            <w:r w:rsidRPr="17CECF10">
              <w:rPr>
                <w:rFonts w:ascii="Segoe UI" w:hAnsi="Segoe UI" w:cs="Segoe UI"/>
                <w:sz w:val="22"/>
              </w:rPr>
              <w:t>Certificate of good standing as an attorney or agent, suitable for framing</w:t>
            </w:r>
          </w:p>
        </w:tc>
        <w:tc>
          <w:tcPr>
            <w:tcW w:w="1320" w:type="dxa"/>
            <w:shd w:val="clear" w:color="auto" w:fill="auto"/>
            <w:noWrap/>
            <w:vAlign w:val="center"/>
            <w:hideMark/>
          </w:tcPr>
          <w:p w14:paraId="74F851FF" w14:textId="4E2D6670"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$84</w:t>
            </w:r>
          </w:p>
        </w:tc>
        <w:tc>
          <w:tcPr>
            <w:tcW w:w="1320" w:type="dxa"/>
            <w:shd w:val="clear" w:color="auto" w:fill="auto"/>
            <w:noWrap/>
            <w:vAlign w:val="center"/>
            <w:hideMark/>
          </w:tcPr>
          <w:p w14:paraId="756EA58F" w14:textId="5C652B62"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$67</w:t>
            </w:r>
          </w:p>
        </w:tc>
        <w:tc>
          <w:tcPr>
            <w:tcW w:w="1320" w:type="dxa"/>
            <w:shd w:val="clear" w:color="auto" w:fill="auto"/>
            <w:noWrap/>
            <w:vAlign w:val="center"/>
            <w:hideMark/>
          </w:tcPr>
          <w:p w14:paraId="30D25DF4" w14:textId="5F0C2168"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$71</w:t>
            </w:r>
          </w:p>
        </w:tc>
      </w:tr>
      <w:tr w:rsidR="00764B90" w:rsidRPr="0063157A" w14:paraId="6328F5FD" w14:textId="77777777" w:rsidTr="17CECF10">
        <w:trPr>
          <w:trHeight w:val="302"/>
          <w:jc w:val="center"/>
        </w:trPr>
        <w:tc>
          <w:tcPr>
            <w:tcW w:w="5485" w:type="dxa"/>
            <w:shd w:val="clear" w:color="auto" w:fill="auto"/>
            <w:vAlign w:val="center"/>
            <w:hideMark/>
          </w:tcPr>
          <w:p w14:paraId="57F64F1D" w14:textId="62BE8B72" w:rsidR="00764B90" w:rsidRPr="007F7D60" w:rsidRDefault="354ECD6A" w:rsidP="17CECF10">
            <w:pPr>
              <w:spacing w:line="240" w:lineRule="auto"/>
              <w:rPr>
                <w:rFonts w:ascii="Segoe UI" w:eastAsia="Times New Roman" w:hAnsi="Segoe UI" w:cs="Segoe UI"/>
                <w:color w:val="000000"/>
                <w:szCs w:val="24"/>
              </w:rPr>
            </w:pPr>
            <w:r w:rsidRPr="17CECF10">
              <w:rPr>
                <w:rFonts w:ascii="Segoe UI" w:hAnsi="Segoe UI" w:cs="Segoe UI"/>
                <w:sz w:val="22"/>
              </w:rPr>
              <w:t>For test administration by commercial entity</w:t>
            </w:r>
          </w:p>
        </w:tc>
        <w:tc>
          <w:tcPr>
            <w:tcW w:w="1320" w:type="dxa"/>
            <w:shd w:val="clear" w:color="auto" w:fill="auto"/>
            <w:noWrap/>
            <w:vAlign w:val="center"/>
            <w:hideMark/>
          </w:tcPr>
          <w:p w14:paraId="59FB88D6" w14:textId="71A1B64C"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$769</w:t>
            </w:r>
          </w:p>
        </w:tc>
        <w:tc>
          <w:tcPr>
            <w:tcW w:w="1320" w:type="dxa"/>
            <w:shd w:val="clear" w:color="auto" w:fill="auto"/>
            <w:noWrap/>
            <w:vAlign w:val="center"/>
            <w:hideMark/>
          </w:tcPr>
          <w:p w14:paraId="21BD58FA" w14:textId="7418FC73"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$649</w:t>
            </w:r>
          </w:p>
        </w:tc>
        <w:tc>
          <w:tcPr>
            <w:tcW w:w="1320" w:type="dxa"/>
            <w:shd w:val="clear" w:color="auto" w:fill="auto"/>
            <w:noWrap/>
            <w:vAlign w:val="center"/>
            <w:hideMark/>
          </w:tcPr>
          <w:p w14:paraId="780B437C" w14:textId="0CE4F92D"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$718</w:t>
            </w:r>
          </w:p>
        </w:tc>
      </w:tr>
      <w:tr w:rsidR="00764B90" w:rsidRPr="0063157A" w14:paraId="0F3C5B60" w14:textId="77777777" w:rsidTr="17CECF10">
        <w:trPr>
          <w:trHeight w:val="302"/>
          <w:jc w:val="center"/>
        </w:trPr>
        <w:tc>
          <w:tcPr>
            <w:tcW w:w="5485" w:type="dxa"/>
            <w:shd w:val="clear" w:color="auto" w:fill="auto"/>
            <w:vAlign w:val="center"/>
            <w:hideMark/>
          </w:tcPr>
          <w:p w14:paraId="3571D42F" w14:textId="48036E4A" w:rsidR="00764B90" w:rsidRPr="007F7D60" w:rsidRDefault="354ECD6A" w:rsidP="17CECF10">
            <w:pPr>
              <w:spacing w:line="240" w:lineRule="auto"/>
              <w:rPr>
                <w:rFonts w:ascii="Segoe UI" w:eastAsia="Times New Roman" w:hAnsi="Segoe UI" w:cs="Segoe UI"/>
                <w:color w:val="000000"/>
                <w:szCs w:val="24"/>
              </w:rPr>
            </w:pPr>
            <w:r w:rsidRPr="17CECF10">
              <w:rPr>
                <w:rFonts w:ascii="Segoe UI" w:hAnsi="Segoe UI" w:cs="Segoe UI"/>
                <w:sz w:val="22"/>
              </w:rPr>
              <w:t>Review of decision by the Director of Enrollment and Discipline under § 11.2(c)</w:t>
            </w:r>
          </w:p>
        </w:tc>
        <w:tc>
          <w:tcPr>
            <w:tcW w:w="1320" w:type="dxa"/>
            <w:shd w:val="clear" w:color="auto" w:fill="auto"/>
            <w:noWrap/>
            <w:vAlign w:val="center"/>
            <w:hideMark/>
          </w:tcPr>
          <w:p w14:paraId="1252FD1B" w14:textId="619202BE"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$3,114</w:t>
            </w:r>
          </w:p>
        </w:tc>
        <w:tc>
          <w:tcPr>
            <w:tcW w:w="1320" w:type="dxa"/>
            <w:shd w:val="clear" w:color="auto" w:fill="auto"/>
            <w:noWrap/>
            <w:vAlign w:val="center"/>
            <w:hideMark/>
          </w:tcPr>
          <w:p w14:paraId="14C49D33" w14:textId="01D8FC2F"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$2,500</w:t>
            </w:r>
          </w:p>
        </w:tc>
        <w:tc>
          <w:tcPr>
            <w:tcW w:w="1320" w:type="dxa"/>
            <w:shd w:val="clear" w:color="auto" w:fill="auto"/>
            <w:noWrap/>
            <w:vAlign w:val="center"/>
            <w:hideMark/>
          </w:tcPr>
          <w:p w14:paraId="55CF5D55" w14:textId="083F5CA9"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$2,608</w:t>
            </w:r>
          </w:p>
        </w:tc>
      </w:tr>
      <w:tr w:rsidR="00764B90" w:rsidRPr="0063157A" w14:paraId="2E625842" w14:textId="77777777" w:rsidTr="17CECF10">
        <w:trPr>
          <w:trHeight w:val="302"/>
          <w:jc w:val="center"/>
        </w:trPr>
        <w:tc>
          <w:tcPr>
            <w:tcW w:w="5485" w:type="dxa"/>
            <w:shd w:val="clear" w:color="auto" w:fill="auto"/>
            <w:vAlign w:val="center"/>
            <w:hideMark/>
          </w:tcPr>
          <w:p w14:paraId="198A2F05" w14:textId="01C1645C" w:rsidR="00764B90" w:rsidRPr="007F7D60" w:rsidRDefault="354ECD6A" w:rsidP="17CECF10">
            <w:pPr>
              <w:spacing w:line="240" w:lineRule="auto"/>
              <w:rPr>
                <w:rFonts w:ascii="Segoe UI" w:eastAsia="Times New Roman" w:hAnsi="Segoe UI" w:cs="Segoe UI"/>
                <w:color w:val="000000"/>
                <w:szCs w:val="24"/>
              </w:rPr>
            </w:pPr>
            <w:r w:rsidRPr="17CECF10">
              <w:rPr>
                <w:rFonts w:ascii="Segoe UI" w:hAnsi="Segoe UI" w:cs="Segoe UI"/>
                <w:sz w:val="22"/>
              </w:rPr>
              <w:t>Review of decision of the Director of Enrollment and Discipline under § 11.2(d)</w:t>
            </w:r>
          </w:p>
        </w:tc>
        <w:tc>
          <w:tcPr>
            <w:tcW w:w="1320" w:type="dxa"/>
            <w:shd w:val="clear" w:color="auto" w:fill="auto"/>
            <w:noWrap/>
            <w:vAlign w:val="center"/>
            <w:hideMark/>
          </w:tcPr>
          <w:p w14:paraId="1280AE70" w14:textId="1ADDB17C"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$2,980</w:t>
            </w:r>
          </w:p>
        </w:tc>
        <w:tc>
          <w:tcPr>
            <w:tcW w:w="1320" w:type="dxa"/>
            <w:shd w:val="clear" w:color="auto" w:fill="auto"/>
            <w:noWrap/>
            <w:vAlign w:val="center"/>
            <w:hideMark/>
          </w:tcPr>
          <w:p w14:paraId="6DB0B083" w14:textId="6C6C8D0A"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$2,398</w:t>
            </w:r>
          </w:p>
        </w:tc>
        <w:tc>
          <w:tcPr>
            <w:tcW w:w="1320" w:type="dxa"/>
            <w:shd w:val="clear" w:color="auto" w:fill="auto"/>
            <w:noWrap/>
            <w:vAlign w:val="center"/>
            <w:hideMark/>
          </w:tcPr>
          <w:p w14:paraId="2E7089C7" w14:textId="0CFB0E60"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$2,510</w:t>
            </w:r>
          </w:p>
        </w:tc>
      </w:tr>
      <w:tr w:rsidR="00764B90" w:rsidRPr="0063157A" w14:paraId="6F1C8149" w14:textId="77777777" w:rsidTr="17CECF10">
        <w:trPr>
          <w:trHeight w:val="302"/>
          <w:jc w:val="center"/>
        </w:trPr>
        <w:tc>
          <w:tcPr>
            <w:tcW w:w="5485" w:type="dxa"/>
            <w:shd w:val="clear" w:color="auto" w:fill="auto"/>
            <w:vAlign w:val="center"/>
            <w:hideMark/>
          </w:tcPr>
          <w:p w14:paraId="0DE0A1F7" w14:textId="43452B46" w:rsidR="00764B90" w:rsidRPr="007F7D60" w:rsidRDefault="0F5DDC9B" w:rsidP="17CECF10">
            <w:pPr>
              <w:spacing w:line="240" w:lineRule="auto"/>
              <w:rPr>
                <w:rFonts w:ascii="Segoe UI" w:eastAsia="Times New Roman" w:hAnsi="Segoe UI" w:cs="Segoe UI"/>
                <w:color w:val="000000"/>
                <w:szCs w:val="24"/>
              </w:rPr>
            </w:pPr>
            <w:r w:rsidRPr="17CECF10">
              <w:rPr>
                <w:rFonts w:ascii="Segoe UI" w:hAnsi="Segoe UI" w:cs="Segoe UI"/>
                <w:sz w:val="22"/>
              </w:rPr>
              <w:t>On petition for reinstatement by a person excluded or suspended on ethical grounds, or excluded on consent from practice before the Office</w:t>
            </w:r>
          </w:p>
        </w:tc>
        <w:tc>
          <w:tcPr>
            <w:tcW w:w="1320" w:type="dxa"/>
            <w:shd w:val="clear" w:color="auto" w:fill="auto"/>
            <w:noWrap/>
            <w:vAlign w:val="center"/>
            <w:hideMark/>
          </w:tcPr>
          <w:p w14:paraId="3689FDF2" w14:textId="11815620"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$5,368</w:t>
            </w:r>
          </w:p>
        </w:tc>
        <w:tc>
          <w:tcPr>
            <w:tcW w:w="1320" w:type="dxa"/>
            <w:shd w:val="clear" w:color="auto" w:fill="auto"/>
            <w:noWrap/>
            <w:vAlign w:val="center"/>
            <w:hideMark/>
          </w:tcPr>
          <w:p w14:paraId="66E00AF2" w14:textId="716C9C4B"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$4,357</w:t>
            </w:r>
          </w:p>
        </w:tc>
        <w:tc>
          <w:tcPr>
            <w:tcW w:w="1320" w:type="dxa"/>
            <w:shd w:val="clear" w:color="auto" w:fill="auto"/>
            <w:noWrap/>
            <w:vAlign w:val="center"/>
            <w:hideMark/>
          </w:tcPr>
          <w:p w14:paraId="3C10E48B" w14:textId="2903056D"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$4,599</w:t>
            </w:r>
          </w:p>
        </w:tc>
      </w:tr>
      <w:tr w:rsidR="00764B90" w:rsidRPr="0063157A" w14:paraId="330D207C" w14:textId="77777777" w:rsidTr="17CECF10">
        <w:trPr>
          <w:trHeight w:val="302"/>
          <w:jc w:val="center"/>
        </w:trPr>
        <w:tc>
          <w:tcPr>
            <w:tcW w:w="5485" w:type="dxa"/>
            <w:shd w:val="clear" w:color="auto" w:fill="auto"/>
            <w:vAlign w:val="center"/>
            <w:hideMark/>
          </w:tcPr>
          <w:p w14:paraId="3398B0BA" w14:textId="704936CF" w:rsidR="00764B90" w:rsidRPr="007F7D60" w:rsidRDefault="354ECD6A" w:rsidP="17CECF10">
            <w:pPr>
              <w:spacing w:line="240" w:lineRule="auto"/>
              <w:rPr>
                <w:rFonts w:ascii="Segoe UI" w:eastAsia="Times New Roman" w:hAnsi="Segoe UI" w:cs="Segoe UI"/>
                <w:color w:val="000000"/>
                <w:szCs w:val="24"/>
              </w:rPr>
            </w:pPr>
            <w:r w:rsidRPr="17CECF10">
              <w:rPr>
                <w:rFonts w:ascii="Segoe UI" w:hAnsi="Segoe UI" w:cs="Segoe UI"/>
                <w:sz w:val="22"/>
              </w:rPr>
              <w:t>Administrative reinstatement fee</w:t>
            </w:r>
          </w:p>
        </w:tc>
        <w:tc>
          <w:tcPr>
            <w:tcW w:w="1320" w:type="dxa"/>
            <w:shd w:val="clear" w:color="auto" w:fill="auto"/>
            <w:noWrap/>
            <w:vAlign w:val="center"/>
            <w:hideMark/>
          </w:tcPr>
          <w:p w14:paraId="0E449472" w14:textId="5FB02792"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$1,445</w:t>
            </w:r>
          </w:p>
        </w:tc>
        <w:tc>
          <w:tcPr>
            <w:tcW w:w="1320" w:type="dxa"/>
            <w:shd w:val="clear" w:color="auto" w:fill="auto"/>
            <w:noWrap/>
            <w:vAlign w:val="center"/>
            <w:hideMark/>
          </w:tcPr>
          <w:p w14:paraId="77FF89BD" w14:textId="68C354E7"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$1,161</w:t>
            </w:r>
          </w:p>
        </w:tc>
        <w:tc>
          <w:tcPr>
            <w:tcW w:w="1320" w:type="dxa"/>
            <w:shd w:val="clear" w:color="auto" w:fill="auto"/>
            <w:noWrap/>
            <w:vAlign w:val="center"/>
            <w:hideMark/>
          </w:tcPr>
          <w:p w14:paraId="21541DEF" w14:textId="2E415BCC"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$1,212</w:t>
            </w:r>
          </w:p>
        </w:tc>
      </w:tr>
      <w:tr w:rsidR="00764B90" w:rsidRPr="0063157A" w14:paraId="1CA90C4F" w14:textId="77777777" w:rsidTr="17CECF10">
        <w:trPr>
          <w:trHeight w:val="302"/>
          <w:jc w:val="center"/>
        </w:trPr>
        <w:tc>
          <w:tcPr>
            <w:tcW w:w="5485" w:type="dxa"/>
            <w:shd w:val="clear" w:color="auto" w:fill="auto"/>
            <w:vAlign w:val="center"/>
            <w:hideMark/>
          </w:tcPr>
          <w:p w14:paraId="19A3F38A" w14:textId="6269CD2C" w:rsidR="00764B90" w:rsidRPr="007F7D60" w:rsidRDefault="354ECD6A" w:rsidP="17CECF10">
            <w:pPr>
              <w:spacing w:line="240" w:lineRule="auto"/>
              <w:rPr>
                <w:rFonts w:ascii="Segoe UI" w:eastAsia="Times New Roman" w:hAnsi="Segoe UI" w:cs="Segoe UI"/>
                <w:color w:val="000000"/>
                <w:szCs w:val="24"/>
              </w:rPr>
            </w:pPr>
            <w:r w:rsidRPr="17CECF10">
              <w:rPr>
                <w:rFonts w:ascii="Segoe UI" w:hAnsi="Segoe UI" w:cs="Segoe UI"/>
                <w:sz w:val="22"/>
              </w:rPr>
              <w:t>Delinquency fee</w:t>
            </w:r>
          </w:p>
        </w:tc>
        <w:tc>
          <w:tcPr>
            <w:tcW w:w="1320" w:type="dxa"/>
            <w:shd w:val="clear" w:color="auto" w:fill="auto"/>
            <w:noWrap/>
            <w:vAlign w:val="center"/>
            <w:hideMark/>
          </w:tcPr>
          <w:p w14:paraId="6699DA03" w14:textId="11B6CD69"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$415</w:t>
            </w:r>
          </w:p>
        </w:tc>
        <w:tc>
          <w:tcPr>
            <w:tcW w:w="1320" w:type="dxa"/>
            <w:shd w:val="clear" w:color="auto" w:fill="auto"/>
            <w:noWrap/>
            <w:vAlign w:val="center"/>
            <w:hideMark/>
          </w:tcPr>
          <w:p w14:paraId="374D8406" w14:textId="00904DE2"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$333</w:t>
            </w:r>
          </w:p>
        </w:tc>
        <w:tc>
          <w:tcPr>
            <w:tcW w:w="1320" w:type="dxa"/>
            <w:shd w:val="clear" w:color="auto" w:fill="auto"/>
            <w:noWrap/>
            <w:vAlign w:val="center"/>
            <w:hideMark/>
          </w:tcPr>
          <w:p w14:paraId="33CEB957" w14:textId="5071702E"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$353</w:t>
            </w:r>
          </w:p>
        </w:tc>
      </w:tr>
      <w:tr w:rsidR="00764B90" w:rsidRPr="0063157A" w14:paraId="044B725C" w14:textId="77777777" w:rsidTr="17CECF10">
        <w:trPr>
          <w:trHeight w:val="302"/>
          <w:jc w:val="center"/>
        </w:trPr>
        <w:tc>
          <w:tcPr>
            <w:tcW w:w="5485" w:type="dxa"/>
            <w:shd w:val="clear" w:color="auto" w:fill="auto"/>
            <w:vAlign w:val="center"/>
            <w:hideMark/>
          </w:tcPr>
          <w:p w14:paraId="1C49F40A" w14:textId="5B53A596" w:rsidR="00764B90" w:rsidRPr="007F7D60" w:rsidRDefault="354ECD6A" w:rsidP="17CECF10">
            <w:pPr>
              <w:spacing w:line="240" w:lineRule="auto"/>
              <w:rPr>
                <w:rFonts w:ascii="Segoe UI" w:eastAsia="Times New Roman" w:hAnsi="Segoe UI" w:cs="Segoe UI"/>
                <w:color w:val="000000"/>
                <w:szCs w:val="24"/>
              </w:rPr>
            </w:pPr>
            <w:r w:rsidRPr="17CECF10">
              <w:rPr>
                <w:rFonts w:ascii="Segoe UI" w:hAnsi="Segoe UI" w:cs="Segoe UI"/>
                <w:sz w:val="22"/>
              </w:rPr>
              <w:t>Unspecified other services, excluding labor</w:t>
            </w:r>
          </w:p>
        </w:tc>
        <w:tc>
          <w:tcPr>
            <w:tcW w:w="1320" w:type="dxa"/>
            <w:shd w:val="clear" w:color="auto" w:fill="auto"/>
            <w:noWrap/>
            <w:vAlign w:val="center"/>
            <w:hideMark/>
          </w:tcPr>
          <w:p w14:paraId="683F04FA" w14:textId="2A8A3300"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n/a</w:t>
            </w:r>
          </w:p>
        </w:tc>
        <w:tc>
          <w:tcPr>
            <w:tcW w:w="1320" w:type="dxa"/>
            <w:shd w:val="clear" w:color="auto" w:fill="auto"/>
            <w:noWrap/>
            <w:vAlign w:val="center"/>
            <w:hideMark/>
          </w:tcPr>
          <w:p w14:paraId="54AED7FD" w14:textId="4F6E09D9"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n/a</w:t>
            </w:r>
          </w:p>
        </w:tc>
        <w:tc>
          <w:tcPr>
            <w:tcW w:w="1320" w:type="dxa"/>
            <w:shd w:val="clear" w:color="auto" w:fill="auto"/>
            <w:noWrap/>
            <w:vAlign w:val="center"/>
            <w:hideMark/>
          </w:tcPr>
          <w:p w14:paraId="52A0F7B3" w14:textId="0B3D6584"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n/a</w:t>
            </w:r>
          </w:p>
        </w:tc>
      </w:tr>
      <w:tr w:rsidR="00764B90" w:rsidRPr="0063157A" w14:paraId="0943A28E" w14:textId="77777777" w:rsidTr="17CECF10">
        <w:trPr>
          <w:trHeight w:val="302"/>
          <w:jc w:val="center"/>
        </w:trPr>
        <w:tc>
          <w:tcPr>
            <w:tcW w:w="5485" w:type="dxa"/>
            <w:shd w:val="clear" w:color="auto" w:fill="auto"/>
            <w:vAlign w:val="center"/>
            <w:hideMark/>
          </w:tcPr>
          <w:p w14:paraId="5D6EEF37" w14:textId="4C3BAF40" w:rsidR="00764B90" w:rsidRPr="007F7D60" w:rsidRDefault="354ECD6A" w:rsidP="17CECF10">
            <w:pPr>
              <w:spacing w:line="240" w:lineRule="auto"/>
              <w:rPr>
                <w:rFonts w:ascii="Segoe UI" w:eastAsia="Times New Roman" w:hAnsi="Segoe UI" w:cs="Segoe UI"/>
                <w:color w:val="000000"/>
                <w:szCs w:val="24"/>
              </w:rPr>
            </w:pPr>
            <w:r w:rsidRPr="17CECF10">
              <w:rPr>
                <w:rFonts w:ascii="Segoe UI" w:hAnsi="Segoe UI" w:cs="Segoe UI"/>
                <w:sz w:val="22"/>
              </w:rPr>
              <w:t>On change of registration from agent to attorney</w:t>
            </w:r>
          </w:p>
        </w:tc>
        <w:tc>
          <w:tcPr>
            <w:tcW w:w="1320" w:type="dxa"/>
            <w:shd w:val="clear" w:color="auto" w:fill="auto"/>
            <w:noWrap/>
            <w:vAlign w:val="center"/>
            <w:hideMark/>
          </w:tcPr>
          <w:p w14:paraId="26818F53" w14:textId="4D632FC1"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$143</w:t>
            </w:r>
          </w:p>
        </w:tc>
        <w:tc>
          <w:tcPr>
            <w:tcW w:w="1320" w:type="dxa"/>
            <w:shd w:val="clear" w:color="auto" w:fill="auto"/>
            <w:noWrap/>
            <w:vAlign w:val="center"/>
            <w:hideMark/>
          </w:tcPr>
          <w:p w14:paraId="53643499" w14:textId="3B0390BE"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$115</w:t>
            </w:r>
          </w:p>
        </w:tc>
        <w:tc>
          <w:tcPr>
            <w:tcW w:w="1320" w:type="dxa"/>
            <w:shd w:val="clear" w:color="auto" w:fill="auto"/>
            <w:noWrap/>
            <w:vAlign w:val="center"/>
            <w:hideMark/>
          </w:tcPr>
          <w:p w14:paraId="4642BC6E" w14:textId="02B24760"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$122</w:t>
            </w:r>
          </w:p>
        </w:tc>
      </w:tr>
      <w:tr w:rsidR="00764B90" w:rsidRPr="0063157A" w14:paraId="7FA5E33E" w14:textId="77777777" w:rsidTr="17CECF10">
        <w:trPr>
          <w:trHeight w:val="302"/>
          <w:jc w:val="center"/>
        </w:trPr>
        <w:tc>
          <w:tcPr>
            <w:tcW w:w="5485" w:type="dxa"/>
            <w:shd w:val="clear" w:color="auto" w:fill="auto"/>
            <w:vAlign w:val="center"/>
            <w:hideMark/>
          </w:tcPr>
          <w:p w14:paraId="02BFC5DB" w14:textId="3B9548A2" w:rsidR="00764B90" w:rsidRPr="007F7D60" w:rsidRDefault="0DC93BE6" w:rsidP="17CECF10">
            <w:pPr>
              <w:spacing w:line="240" w:lineRule="auto"/>
              <w:rPr>
                <w:rFonts w:ascii="Segoe UI" w:eastAsia="Times New Roman" w:hAnsi="Segoe UI" w:cs="Segoe UI"/>
                <w:color w:val="000000"/>
                <w:szCs w:val="24"/>
              </w:rPr>
            </w:pPr>
            <w:r w:rsidRPr="17CECF10">
              <w:rPr>
                <w:rFonts w:ascii="Segoe UI" w:hAnsi="Segoe UI" w:cs="Segoe UI"/>
                <w:sz w:val="22"/>
              </w:rPr>
              <w:t>For USPTO-assisted change of address within the Office of Enrollment and Discipline Information System</w:t>
            </w:r>
          </w:p>
        </w:tc>
        <w:tc>
          <w:tcPr>
            <w:tcW w:w="1320" w:type="dxa"/>
            <w:shd w:val="clear" w:color="auto" w:fill="auto"/>
            <w:noWrap/>
            <w:vAlign w:val="center"/>
            <w:hideMark/>
          </w:tcPr>
          <w:p w14:paraId="73D9AEA2" w14:textId="6640B091"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$24</w:t>
            </w:r>
          </w:p>
        </w:tc>
        <w:tc>
          <w:tcPr>
            <w:tcW w:w="1320" w:type="dxa"/>
            <w:shd w:val="clear" w:color="auto" w:fill="auto"/>
            <w:noWrap/>
            <w:vAlign w:val="center"/>
            <w:hideMark/>
          </w:tcPr>
          <w:p w14:paraId="010D62C2" w14:textId="77E339C3"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$19</w:t>
            </w:r>
          </w:p>
        </w:tc>
        <w:tc>
          <w:tcPr>
            <w:tcW w:w="1320" w:type="dxa"/>
            <w:shd w:val="clear" w:color="auto" w:fill="auto"/>
            <w:noWrap/>
            <w:vAlign w:val="center"/>
            <w:hideMark/>
          </w:tcPr>
          <w:p w14:paraId="79926126" w14:textId="26D693A4"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$20</w:t>
            </w:r>
          </w:p>
        </w:tc>
      </w:tr>
      <w:tr w:rsidR="00764B90" w:rsidRPr="0063157A" w14:paraId="51AE3E27" w14:textId="77777777" w:rsidTr="17CECF10">
        <w:trPr>
          <w:trHeight w:val="302"/>
          <w:jc w:val="center"/>
        </w:trPr>
        <w:tc>
          <w:tcPr>
            <w:tcW w:w="5485" w:type="dxa"/>
            <w:shd w:val="clear" w:color="auto" w:fill="auto"/>
            <w:vAlign w:val="center"/>
            <w:hideMark/>
          </w:tcPr>
          <w:p w14:paraId="1A0BB13F" w14:textId="1735347A" w:rsidR="00764B90" w:rsidRPr="007F7D60" w:rsidRDefault="354ECD6A" w:rsidP="17CECF10">
            <w:pPr>
              <w:spacing w:line="240" w:lineRule="auto"/>
              <w:rPr>
                <w:rFonts w:ascii="Segoe UI" w:eastAsia="Times New Roman" w:hAnsi="Segoe UI" w:cs="Segoe UI"/>
                <w:color w:val="000000"/>
                <w:szCs w:val="24"/>
              </w:rPr>
            </w:pPr>
            <w:r w:rsidRPr="17CECF10">
              <w:rPr>
                <w:rFonts w:ascii="Segoe UI" w:hAnsi="Segoe UI" w:cs="Segoe UI"/>
                <w:sz w:val="22"/>
              </w:rPr>
              <w:t>For USPTO-administered review of registration examination</w:t>
            </w:r>
          </w:p>
        </w:tc>
        <w:tc>
          <w:tcPr>
            <w:tcW w:w="1320" w:type="dxa"/>
            <w:shd w:val="clear" w:color="auto" w:fill="auto"/>
            <w:noWrap/>
            <w:vAlign w:val="center"/>
            <w:hideMark/>
          </w:tcPr>
          <w:p w14:paraId="5E5BD9D6" w14:textId="17EB13F3"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$834</w:t>
            </w:r>
          </w:p>
        </w:tc>
        <w:tc>
          <w:tcPr>
            <w:tcW w:w="1320" w:type="dxa"/>
            <w:shd w:val="clear" w:color="auto" w:fill="auto"/>
            <w:noWrap/>
            <w:vAlign w:val="center"/>
            <w:hideMark/>
          </w:tcPr>
          <w:p w14:paraId="04C0D185" w14:textId="4C044274"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$703</w:t>
            </w:r>
          </w:p>
        </w:tc>
        <w:tc>
          <w:tcPr>
            <w:tcW w:w="1320" w:type="dxa"/>
            <w:shd w:val="clear" w:color="auto" w:fill="auto"/>
            <w:noWrap/>
            <w:vAlign w:val="center"/>
            <w:hideMark/>
          </w:tcPr>
          <w:p w14:paraId="74328892" w14:textId="021EC596" w:rsidR="00764B90" w:rsidRPr="007F7D60" w:rsidRDefault="68642F3A" w:rsidP="17CECF10">
            <w:pPr>
              <w:spacing w:line="240" w:lineRule="auto"/>
              <w:jc w:val="right"/>
              <w:rPr>
                <w:rFonts w:ascii="Segoe UI" w:eastAsia="Times New Roman" w:hAnsi="Segoe UI" w:cs="Segoe UI"/>
                <w:color w:val="000000"/>
                <w:szCs w:val="24"/>
              </w:rPr>
            </w:pPr>
            <w:r w:rsidRPr="17CECF10">
              <w:rPr>
                <w:rFonts w:ascii="Segoe UI" w:hAnsi="Segoe UI" w:cs="Segoe UI"/>
                <w:sz w:val="22"/>
              </w:rPr>
              <w:t>$777</w:t>
            </w:r>
          </w:p>
        </w:tc>
      </w:tr>
    </w:tbl>
    <w:p w14:paraId="550314CA" w14:textId="77777777" w:rsidR="00873D48" w:rsidRPr="009008DD" w:rsidRDefault="00873D48" w:rsidP="17CECF10">
      <w:pPr>
        <w:pStyle w:val="BottomofTableSpacing"/>
        <w:spacing w:line="360" w:lineRule="auto"/>
        <w:rPr>
          <w:rFonts w:ascii="Segoe UI" w:hAnsi="Segoe UI" w:cs="Segoe UI"/>
          <w:szCs w:val="24"/>
        </w:rPr>
      </w:pPr>
    </w:p>
    <w:p w14:paraId="53629E0A" w14:textId="112FEA38" w:rsidR="00873D48" w:rsidRPr="00777046" w:rsidRDefault="6CD5E677" w:rsidP="17CECF10">
      <w:pPr>
        <w:spacing w:line="360" w:lineRule="auto"/>
        <w:ind w:firstLine="450"/>
        <w:rPr>
          <w:rFonts w:ascii="Segoe UI" w:hAnsi="Segoe UI" w:cs="Segoe UI"/>
          <w:szCs w:val="24"/>
        </w:rPr>
      </w:pPr>
      <w:r w:rsidRPr="009008DD">
        <w:rPr>
          <w:rFonts w:ascii="Segoe UI" w:hAnsi="Segoe UI" w:cs="Segoe UI"/>
          <w:szCs w:val="24"/>
        </w:rPr>
        <w:lastRenderedPageBreak/>
        <w:t>Al</w:t>
      </w:r>
      <w:r w:rsidR="7B2C7AC6" w:rsidRPr="00777046">
        <w:rPr>
          <w:rFonts w:ascii="Segoe UI" w:hAnsi="Segoe UI" w:cs="Segoe UI"/>
          <w:szCs w:val="24"/>
        </w:rPr>
        <w:t>t</w:t>
      </w:r>
      <w:r w:rsidR="2E4711A1" w:rsidRPr="00777046">
        <w:rPr>
          <w:rFonts w:ascii="Segoe UI" w:hAnsi="Segoe UI" w:cs="Segoe UI"/>
          <w:szCs w:val="24"/>
        </w:rPr>
        <w:t xml:space="preserve">hough </w:t>
      </w:r>
      <w:r w:rsidR="3A5CC982" w:rsidRPr="00777046">
        <w:rPr>
          <w:rFonts w:ascii="Segoe UI" w:hAnsi="Segoe UI" w:cs="Segoe UI"/>
          <w:szCs w:val="24"/>
        </w:rPr>
        <w:t>th</w:t>
      </w:r>
      <w:r w:rsidRPr="00777046">
        <w:rPr>
          <w:rFonts w:ascii="Segoe UI" w:hAnsi="Segoe UI" w:cs="Segoe UI"/>
          <w:szCs w:val="24"/>
        </w:rPr>
        <w:t>e Unit Cost Recovery</w:t>
      </w:r>
      <w:r w:rsidR="3A5CC982" w:rsidRPr="00777046">
        <w:rPr>
          <w:rFonts w:ascii="Segoe UI" w:hAnsi="Segoe UI" w:cs="Segoe UI"/>
          <w:szCs w:val="24"/>
        </w:rPr>
        <w:t xml:space="preserve"> alternative provides sufficient aggregate revenue to </w:t>
      </w:r>
      <w:r w:rsidR="75036D7A" w:rsidRPr="00777046">
        <w:rPr>
          <w:rFonts w:ascii="Segoe UI" w:hAnsi="Segoe UI" w:cs="Segoe UI"/>
          <w:szCs w:val="24"/>
        </w:rPr>
        <w:t>re</w:t>
      </w:r>
      <w:r w:rsidR="3A5CC982" w:rsidRPr="00777046">
        <w:rPr>
          <w:rFonts w:ascii="Segoe UI" w:hAnsi="Segoe UI" w:cs="Segoe UI"/>
          <w:szCs w:val="24"/>
        </w:rPr>
        <w:t xml:space="preserve">cover aggregate costs, </w:t>
      </w:r>
      <w:r w:rsidR="41C8D348" w:rsidRPr="00777046">
        <w:rPr>
          <w:rFonts w:ascii="Segoe UI" w:hAnsi="Segoe UI" w:cs="Segoe UI"/>
          <w:szCs w:val="24"/>
        </w:rPr>
        <w:t>it</w:t>
      </w:r>
      <w:r w:rsidR="3A5CC982" w:rsidRPr="00777046">
        <w:rPr>
          <w:rFonts w:ascii="Segoe UI" w:hAnsi="Segoe UI" w:cs="Segoe UI"/>
          <w:szCs w:val="24"/>
        </w:rPr>
        <w:t xml:space="preserve"> reverses the </w:t>
      </w:r>
      <w:r w:rsidRPr="00777046">
        <w:rPr>
          <w:rFonts w:ascii="Segoe UI" w:hAnsi="Segoe UI" w:cs="Segoe UI"/>
          <w:szCs w:val="24"/>
        </w:rPr>
        <w:t xml:space="preserve">USPTO’s longstanding </w:t>
      </w:r>
      <w:r w:rsidR="3A5CC982" w:rsidRPr="00777046">
        <w:rPr>
          <w:rFonts w:ascii="Segoe UI" w:hAnsi="Segoe UI" w:cs="Segoe UI"/>
          <w:szCs w:val="24"/>
        </w:rPr>
        <w:t xml:space="preserve">policy of </w:t>
      </w:r>
      <w:r w:rsidR="2E4711A1" w:rsidRPr="00777046">
        <w:rPr>
          <w:rFonts w:ascii="Segoe UI" w:hAnsi="Segoe UI" w:cs="Segoe UI"/>
          <w:szCs w:val="24"/>
        </w:rPr>
        <w:t xml:space="preserve">promoting </w:t>
      </w:r>
      <w:r w:rsidR="3A5CC982" w:rsidRPr="00777046">
        <w:rPr>
          <w:rFonts w:ascii="Segoe UI" w:hAnsi="Segoe UI" w:cs="Segoe UI"/>
          <w:szCs w:val="24"/>
        </w:rPr>
        <w:t>innovation</w:t>
      </w:r>
      <w:r w:rsidR="2E4711A1" w:rsidRPr="00777046">
        <w:rPr>
          <w:rFonts w:ascii="Segoe UI" w:hAnsi="Segoe UI" w:cs="Segoe UI"/>
          <w:szCs w:val="24"/>
        </w:rPr>
        <w:t xml:space="preserve"> </w:t>
      </w:r>
      <w:r w:rsidR="3A5CC982" w:rsidRPr="00777046">
        <w:rPr>
          <w:rFonts w:ascii="Segoe UI" w:hAnsi="Segoe UI" w:cs="Segoe UI"/>
          <w:szCs w:val="24"/>
        </w:rPr>
        <w:t>via lower front-end fees.</w:t>
      </w:r>
      <w:r w:rsidR="75DDF123" w:rsidRPr="00777046">
        <w:rPr>
          <w:rFonts w:ascii="Segoe UI" w:hAnsi="Segoe UI" w:cs="Segoe UI"/>
          <w:szCs w:val="24"/>
        </w:rPr>
        <w:t xml:space="preserve"> </w:t>
      </w:r>
      <w:r w:rsidR="0EF4A7FE" w:rsidRPr="00777046">
        <w:rPr>
          <w:rFonts w:ascii="Segoe UI" w:hAnsi="Segoe UI" w:cs="Segoe UI"/>
          <w:szCs w:val="24"/>
        </w:rPr>
        <w:t>This</w:t>
      </w:r>
      <w:r w:rsidR="3A5CC982" w:rsidRPr="00777046">
        <w:rPr>
          <w:rFonts w:ascii="Segoe UI" w:hAnsi="Segoe UI" w:cs="Segoe UI"/>
          <w:szCs w:val="24"/>
        </w:rPr>
        <w:t xml:space="preserve"> alternative</w:t>
      </w:r>
      <w:r w:rsidR="0EF4A7FE" w:rsidRPr="00777046">
        <w:rPr>
          <w:rFonts w:ascii="Segoe UI" w:hAnsi="Segoe UI" w:cs="Segoe UI"/>
          <w:szCs w:val="24"/>
        </w:rPr>
        <w:t xml:space="preserve"> produces</w:t>
      </w:r>
      <w:r w:rsidR="3A5CC982" w:rsidRPr="00777046">
        <w:rPr>
          <w:rFonts w:ascii="Segoe UI" w:hAnsi="Segoe UI" w:cs="Segoe UI"/>
          <w:szCs w:val="24"/>
        </w:rPr>
        <w:t xml:space="preserve"> the </w:t>
      </w:r>
      <w:r w:rsidR="0EF4A7FE" w:rsidRPr="00777046">
        <w:rPr>
          <w:rFonts w:ascii="Segoe UI" w:hAnsi="Segoe UI" w:cs="Segoe UI"/>
          <w:szCs w:val="24"/>
        </w:rPr>
        <w:t xml:space="preserve">largest </w:t>
      </w:r>
      <w:r w:rsidR="3A5CC982" w:rsidRPr="00777046">
        <w:rPr>
          <w:rFonts w:ascii="Segoe UI" w:hAnsi="Segoe UI" w:cs="Segoe UI"/>
          <w:szCs w:val="24"/>
        </w:rPr>
        <w:t>increase in front-end fees of any alternative considered</w:t>
      </w:r>
      <w:r w:rsidR="7DBC0BE6" w:rsidRPr="00777046">
        <w:rPr>
          <w:rFonts w:ascii="Segoe UI" w:hAnsi="Segoe UI" w:cs="Segoe UI"/>
          <w:szCs w:val="24"/>
        </w:rPr>
        <w:t xml:space="preserve"> by the agency</w:t>
      </w:r>
      <w:r w:rsidR="3A5CC982" w:rsidRPr="00777046">
        <w:rPr>
          <w:rFonts w:ascii="Segoe UI" w:hAnsi="Segoe UI" w:cs="Segoe UI"/>
          <w:szCs w:val="24"/>
        </w:rPr>
        <w:t>.</w:t>
      </w:r>
    </w:p>
    <w:p w14:paraId="5945D1C9" w14:textId="46227F91" w:rsidR="004271C6" w:rsidRPr="00777046" w:rsidRDefault="3A5CC982" w:rsidP="17CECF10">
      <w:pPr>
        <w:spacing w:line="360" w:lineRule="auto"/>
        <w:ind w:firstLine="450"/>
        <w:rPr>
          <w:rFonts w:ascii="Segoe UI" w:hAnsi="Segoe UI" w:cs="Segoe UI"/>
          <w:szCs w:val="24"/>
        </w:rPr>
      </w:pPr>
      <w:r w:rsidRPr="00777046">
        <w:rPr>
          <w:rFonts w:ascii="Segoe UI" w:hAnsi="Segoe UI" w:cs="Segoe UI"/>
          <w:szCs w:val="24"/>
        </w:rPr>
        <w:t>Table 4-</w:t>
      </w:r>
      <w:r w:rsidR="4A189F35" w:rsidRPr="00777046">
        <w:rPr>
          <w:rFonts w:ascii="Segoe UI" w:hAnsi="Segoe UI" w:cs="Segoe UI"/>
          <w:szCs w:val="24"/>
        </w:rPr>
        <w:t>8</w:t>
      </w:r>
      <w:r w:rsidRPr="00777046">
        <w:rPr>
          <w:rFonts w:ascii="Segoe UI" w:hAnsi="Segoe UI" w:cs="Segoe UI"/>
          <w:szCs w:val="24"/>
        </w:rPr>
        <w:t xml:space="preserve"> presents the fee changes between the Baseline and</w:t>
      </w:r>
      <w:r w:rsidR="4556B236" w:rsidRPr="00777046">
        <w:rPr>
          <w:rFonts w:ascii="Segoe UI" w:hAnsi="Segoe UI" w:cs="Segoe UI"/>
          <w:szCs w:val="24"/>
        </w:rPr>
        <w:t xml:space="preserve"> the</w:t>
      </w:r>
      <w:r w:rsidR="7DBC0BE6" w:rsidRPr="00777046">
        <w:rPr>
          <w:rFonts w:ascii="Segoe UI" w:hAnsi="Segoe UI" w:cs="Segoe UI"/>
          <w:szCs w:val="24"/>
        </w:rPr>
        <w:t xml:space="preserve"> Unit Cost Recovery a</w:t>
      </w:r>
      <w:r w:rsidRPr="00777046">
        <w:rPr>
          <w:rFonts w:ascii="Segoe UI" w:hAnsi="Segoe UI" w:cs="Segoe UI"/>
          <w:szCs w:val="24"/>
        </w:rPr>
        <w:t>lternative</w:t>
      </w:r>
      <w:r w:rsidR="384EBD53" w:rsidRPr="00777046">
        <w:rPr>
          <w:rFonts w:ascii="Segoe UI" w:hAnsi="Segoe UI" w:cs="Segoe UI"/>
          <w:szCs w:val="24"/>
        </w:rPr>
        <w:t xml:space="preserve"> for the same fees shown in Table 4-4</w:t>
      </w:r>
      <w:r w:rsidRPr="00777046">
        <w:rPr>
          <w:rFonts w:ascii="Segoe UI" w:hAnsi="Segoe UI" w:cs="Segoe UI"/>
          <w:szCs w:val="24"/>
        </w:rPr>
        <w:t>.</w:t>
      </w:r>
      <w:r w:rsidR="75DDF123" w:rsidRPr="00777046">
        <w:rPr>
          <w:rFonts w:ascii="Segoe UI" w:hAnsi="Segoe UI" w:cs="Segoe UI"/>
          <w:szCs w:val="24"/>
        </w:rPr>
        <w:t xml:space="preserve"> </w:t>
      </w:r>
      <w:r w:rsidRPr="00777046">
        <w:rPr>
          <w:rFonts w:ascii="Segoe UI" w:hAnsi="Segoe UI" w:cs="Segoe UI"/>
          <w:szCs w:val="24"/>
        </w:rPr>
        <w:t xml:space="preserve">A complete list of fee changes for </w:t>
      </w:r>
      <w:r w:rsidR="797E0ABB" w:rsidRPr="00777046">
        <w:rPr>
          <w:rFonts w:ascii="Segoe UI" w:hAnsi="Segoe UI" w:cs="Segoe UI"/>
          <w:szCs w:val="24"/>
        </w:rPr>
        <w:t>the Unit Cost Recovery a</w:t>
      </w:r>
      <w:r w:rsidRPr="00777046">
        <w:rPr>
          <w:rFonts w:ascii="Segoe UI" w:hAnsi="Segoe UI" w:cs="Segoe UI"/>
          <w:szCs w:val="24"/>
        </w:rPr>
        <w:t xml:space="preserve">lternative </w:t>
      </w:r>
      <w:r w:rsidR="797E0ABB" w:rsidRPr="00777046">
        <w:rPr>
          <w:rFonts w:ascii="Segoe UI" w:hAnsi="Segoe UI" w:cs="Segoe UI"/>
          <w:szCs w:val="24"/>
        </w:rPr>
        <w:t xml:space="preserve">is </w:t>
      </w:r>
      <w:r w:rsidRPr="00777046">
        <w:rPr>
          <w:rFonts w:ascii="Segoe UI" w:hAnsi="Segoe UI" w:cs="Segoe UI"/>
          <w:szCs w:val="24"/>
        </w:rPr>
        <w:t xml:space="preserve">available </w:t>
      </w:r>
      <w:r w:rsidR="0D484710" w:rsidRPr="00777046">
        <w:rPr>
          <w:rFonts w:ascii="Segoe UI" w:hAnsi="Segoe UI" w:cs="Segoe UI"/>
          <w:szCs w:val="24"/>
        </w:rPr>
        <w:t xml:space="preserve">on the </w:t>
      </w:r>
      <w:hyperlink r:id="rId39">
        <w:r w:rsidR="0D484710" w:rsidRPr="009008DD">
          <w:rPr>
            <w:rStyle w:val="Hyperlink"/>
            <w:rFonts w:ascii="Segoe UI" w:hAnsi="Segoe UI" w:cs="Segoe UI"/>
            <w:szCs w:val="24"/>
          </w:rPr>
          <w:t>fee setting section of the USPTO website</w:t>
        </w:r>
      </w:hyperlink>
      <w:r w:rsidR="0D484710" w:rsidRPr="009008DD">
        <w:rPr>
          <w:rFonts w:ascii="Segoe UI" w:hAnsi="Segoe UI" w:cs="Segoe UI"/>
          <w:szCs w:val="24"/>
        </w:rPr>
        <w:t xml:space="preserve"> </w:t>
      </w:r>
      <w:r w:rsidRPr="00777046">
        <w:rPr>
          <w:rFonts w:ascii="Segoe UI" w:hAnsi="Segoe UI" w:cs="Segoe UI"/>
          <w:szCs w:val="24"/>
        </w:rPr>
        <w:t>in the document titled “</w:t>
      </w:r>
      <w:r w:rsidR="7B22CD8A" w:rsidRPr="00777046">
        <w:rPr>
          <w:rFonts w:ascii="Segoe UI" w:hAnsi="Segoe UI" w:cs="Segoe UI"/>
          <w:szCs w:val="24"/>
        </w:rPr>
        <w:t>Initial</w:t>
      </w:r>
      <w:r w:rsidR="6D88C5AC" w:rsidRPr="00777046">
        <w:rPr>
          <w:rFonts w:ascii="Segoe UI" w:hAnsi="Segoe UI" w:cs="Segoe UI"/>
          <w:szCs w:val="24"/>
        </w:rPr>
        <w:t xml:space="preserve"> </w:t>
      </w:r>
      <w:r w:rsidR="6A1EC54F" w:rsidRPr="00777046">
        <w:rPr>
          <w:rFonts w:ascii="Segoe UI" w:hAnsi="Segoe UI" w:cs="Segoe UI"/>
          <w:szCs w:val="24"/>
        </w:rPr>
        <w:t>R</w:t>
      </w:r>
      <w:r w:rsidR="6D88C5AC" w:rsidRPr="00777046">
        <w:rPr>
          <w:rFonts w:ascii="Segoe UI" w:hAnsi="Segoe UI" w:cs="Segoe UI"/>
          <w:szCs w:val="24"/>
        </w:rPr>
        <w:t xml:space="preserve">egulatory </w:t>
      </w:r>
      <w:r w:rsidR="6A1EC54F" w:rsidRPr="00777046">
        <w:rPr>
          <w:rFonts w:ascii="Segoe UI" w:hAnsi="Segoe UI" w:cs="Segoe UI"/>
          <w:szCs w:val="24"/>
        </w:rPr>
        <w:t>F</w:t>
      </w:r>
      <w:r w:rsidR="6D88C5AC" w:rsidRPr="00777046">
        <w:rPr>
          <w:rFonts w:ascii="Segoe UI" w:hAnsi="Segoe UI" w:cs="Segoe UI"/>
          <w:szCs w:val="24"/>
        </w:rPr>
        <w:t xml:space="preserve">lexibility </w:t>
      </w:r>
      <w:r w:rsidR="6A1EC54F" w:rsidRPr="00777046">
        <w:rPr>
          <w:rFonts w:ascii="Segoe UI" w:hAnsi="Segoe UI" w:cs="Segoe UI"/>
          <w:szCs w:val="24"/>
        </w:rPr>
        <w:t>A</w:t>
      </w:r>
      <w:r w:rsidR="6D88C5AC" w:rsidRPr="00777046">
        <w:rPr>
          <w:rFonts w:ascii="Segoe UI" w:hAnsi="Segoe UI" w:cs="Segoe UI"/>
          <w:szCs w:val="24"/>
        </w:rPr>
        <w:t>nalysis</w:t>
      </w:r>
      <w:r w:rsidR="6A1EC54F" w:rsidRPr="00777046">
        <w:rPr>
          <w:rFonts w:ascii="Segoe UI" w:hAnsi="Segoe UI" w:cs="Segoe UI"/>
          <w:szCs w:val="24"/>
        </w:rPr>
        <w:t xml:space="preserve"> Tables</w:t>
      </w:r>
      <w:r w:rsidRPr="00777046">
        <w:rPr>
          <w:rFonts w:ascii="Segoe UI" w:hAnsi="Segoe UI" w:cs="Segoe UI"/>
          <w:szCs w:val="24"/>
        </w:rPr>
        <w:t>.”</w:t>
      </w:r>
    </w:p>
    <w:p w14:paraId="3A94C17E" w14:textId="7C12106C" w:rsidR="00873D48" w:rsidRDefault="4CF21051" w:rsidP="17CECF10">
      <w:pPr>
        <w:pStyle w:val="Caption"/>
        <w:keepNext/>
        <w:spacing w:line="360" w:lineRule="auto"/>
        <w:rPr>
          <w:rFonts w:ascii="Segoe UI" w:hAnsi="Segoe UI" w:cs="Segoe UI"/>
          <w:sz w:val="24"/>
          <w:szCs w:val="24"/>
        </w:rPr>
      </w:pPr>
      <w:r w:rsidRPr="17CECF10">
        <w:rPr>
          <w:rFonts w:ascii="Segoe UI" w:hAnsi="Segoe UI" w:cs="Segoe UI"/>
          <w:sz w:val="24"/>
          <w:szCs w:val="24"/>
        </w:rPr>
        <w:t>Table 4</w:t>
      </w:r>
      <w:r w:rsidR="25B41C02" w:rsidRPr="17CECF10">
        <w:rPr>
          <w:rFonts w:ascii="Segoe UI" w:hAnsi="Segoe UI" w:cs="Segoe UI"/>
          <w:sz w:val="24"/>
          <w:szCs w:val="24"/>
        </w:rPr>
        <w:t>-</w:t>
      </w:r>
      <w:r w:rsidR="6BF3A32F" w:rsidRPr="17CECF10">
        <w:rPr>
          <w:rFonts w:ascii="Segoe UI" w:hAnsi="Segoe UI" w:cs="Segoe UI"/>
          <w:sz w:val="24"/>
          <w:szCs w:val="24"/>
        </w:rPr>
        <w:t>8</w:t>
      </w:r>
    </w:p>
    <w:tbl>
      <w:tblPr>
        <w:tblW w:w="9821" w:type="dxa"/>
        <w:tblInd w:w="-113" w:type="dxa"/>
        <w:tblLook w:val="04A0" w:firstRow="1" w:lastRow="0" w:firstColumn="1" w:lastColumn="0" w:noHBand="0" w:noVBand="1"/>
      </w:tblPr>
      <w:tblGrid>
        <w:gridCol w:w="3645"/>
        <w:gridCol w:w="1651"/>
        <w:gridCol w:w="1507"/>
        <w:gridCol w:w="1511"/>
        <w:gridCol w:w="1507"/>
      </w:tblGrid>
      <w:tr w:rsidR="005A4C9B" w:rsidRPr="001A037D" w14:paraId="41676F5E" w14:textId="77777777" w:rsidTr="17CECF10">
        <w:trPr>
          <w:trHeight w:val="288"/>
        </w:trPr>
        <w:tc>
          <w:tcPr>
            <w:tcW w:w="9821" w:type="dxa"/>
            <w:gridSpan w:val="5"/>
            <w:tcBorders>
              <w:top w:val="single" w:sz="4" w:space="0" w:color="auto"/>
              <w:left w:val="single" w:sz="4" w:space="0" w:color="auto"/>
              <w:bottom w:val="nil"/>
              <w:right w:val="single" w:sz="4" w:space="0" w:color="000000" w:themeColor="text1"/>
            </w:tcBorders>
            <w:shd w:val="clear" w:color="auto" w:fill="FFFFFF" w:themeFill="background1"/>
            <w:vAlign w:val="center"/>
            <w:hideMark/>
          </w:tcPr>
          <w:p w14:paraId="2AB01D79" w14:textId="7BC59BDB" w:rsidR="001A037D" w:rsidRPr="001A037D" w:rsidRDefault="41AE8376" w:rsidP="17CECF10">
            <w:pPr>
              <w:spacing w:line="240" w:lineRule="auto"/>
              <w:jc w:val="center"/>
              <w:rPr>
                <w:rFonts w:ascii="Segoe UI" w:eastAsia="Segoe UI" w:hAnsi="Segoe UI" w:cs="Segoe UI"/>
                <w:b/>
                <w:bCs/>
                <w:color w:val="000000"/>
                <w:szCs w:val="24"/>
              </w:rPr>
            </w:pPr>
            <w:r w:rsidRPr="17CECF10">
              <w:rPr>
                <w:rFonts w:ascii="Segoe UI" w:eastAsia="Segoe UI" w:hAnsi="Segoe UI" w:cs="Segoe UI"/>
                <w:b/>
                <w:bCs/>
                <w:color w:val="000000" w:themeColor="text1"/>
                <w:sz w:val="22"/>
              </w:rPr>
              <w:t>Unit Cost Recovery</w:t>
            </w:r>
            <w:r w:rsidR="517EA057" w:rsidRPr="17CECF10">
              <w:rPr>
                <w:rFonts w:ascii="Segoe UI" w:eastAsia="Segoe UI" w:hAnsi="Segoe UI" w:cs="Segoe UI"/>
                <w:b/>
                <w:bCs/>
                <w:color w:val="000000" w:themeColor="text1"/>
                <w:sz w:val="22"/>
              </w:rPr>
              <w:t xml:space="preserve"> (Alternative 2)</w:t>
            </w:r>
          </w:p>
        </w:tc>
      </w:tr>
      <w:tr w:rsidR="005A4C9B" w:rsidRPr="001A037D" w14:paraId="7AB02050" w14:textId="77777777" w:rsidTr="17CECF10">
        <w:trPr>
          <w:trHeight w:val="288"/>
        </w:trPr>
        <w:tc>
          <w:tcPr>
            <w:tcW w:w="9821" w:type="dxa"/>
            <w:gridSpan w:val="5"/>
            <w:tcBorders>
              <w:top w:val="nil"/>
              <w:left w:val="single" w:sz="4" w:space="0" w:color="auto"/>
              <w:bottom w:val="single" w:sz="4" w:space="0" w:color="auto"/>
              <w:right w:val="single" w:sz="4" w:space="0" w:color="000000" w:themeColor="text1"/>
            </w:tcBorders>
            <w:shd w:val="clear" w:color="auto" w:fill="FFFFFF" w:themeFill="background1"/>
            <w:vAlign w:val="center"/>
            <w:hideMark/>
          </w:tcPr>
          <w:p w14:paraId="38283CC5" w14:textId="79FE42AA" w:rsidR="001A037D" w:rsidRPr="001A037D" w:rsidRDefault="33404D6B" w:rsidP="17CECF10">
            <w:pPr>
              <w:spacing w:line="240" w:lineRule="auto"/>
              <w:jc w:val="center"/>
              <w:rPr>
                <w:rFonts w:ascii="Segoe UI" w:eastAsia="Segoe UI" w:hAnsi="Segoe UI" w:cs="Segoe UI"/>
                <w:b/>
                <w:bCs/>
                <w:color w:val="000000"/>
                <w:szCs w:val="24"/>
              </w:rPr>
            </w:pPr>
            <w:r w:rsidRPr="17CECF10">
              <w:rPr>
                <w:rFonts w:ascii="Segoe UI" w:eastAsia="Segoe UI" w:hAnsi="Segoe UI" w:cs="Segoe UI"/>
                <w:b/>
                <w:bCs/>
                <w:color w:val="000000" w:themeColor="text1"/>
                <w:sz w:val="22"/>
              </w:rPr>
              <w:t xml:space="preserve">Select </w:t>
            </w:r>
            <w:r w:rsidR="41AE8376" w:rsidRPr="17CECF10">
              <w:rPr>
                <w:rFonts w:ascii="Segoe UI" w:eastAsia="Segoe UI" w:hAnsi="Segoe UI" w:cs="Segoe UI"/>
                <w:b/>
                <w:bCs/>
                <w:color w:val="000000" w:themeColor="text1"/>
                <w:sz w:val="22"/>
              </w:rPr>
              <w:t xml:space="preserve">Current and </w:t>
            </w:r>
            <w:r w:rsidR="497A267A" w:rsidRPr="17CECF10">
              <w:rPr>
                <w:rFonts w:ascii="Segoe UI" w:eastAsia="Segoe UI" w:hAnsi="Segoe UI" w:cs="Segoe UI"/>
                <w:b/>
                <w:bCs/>
                <w:color w:val="000000" w:themeColor="text1"/>
                <w:sz w:val="22"/>
              </w:rPr>
              <w:t>Final</w:t>
            </w:r>
            <w:r w:rsidR="41AE8376" w:rsidRPr="17CECF10">
              <w:rPr>
                <w:rFonts w:ascii="Segoe UI" w:eastAsia="Segoe UI" w:hAnsi="Segoe UI" w:cs="Segoe UI"/>
                <w:b/>
                <w:bCs/>
                <w:color w:val="000000" w:themeColor="text1"/>
                <w:sz w:val="22"/>
              </w:rPr>
              <w:t xml:space="preserve"> Fees</w:t>
            </w:r>
          </w:p>
        </w:tc>
      </w:tr>
      <w:tr w:rsidR="00B005AA" w:rsidRPr="001A037D" w14:paraId="1C965D48" w14:textId="77777777" w:rsidTr="17CECF10">
        <w:trPr>
          <w:trHeight w:val="792"/>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1D49998" w14:textId="77777777" w:rsidR="001A037D" w:rsidRPr="001A037D" w:rsidRDefault="41AE8376" w:rsidP="17CECF10">
            <w:pPr>
              <w:spacing w:line="240" w:lineRule="auto"/>
              <w:jc w:val="center"/>
              <w:rPr>
                <w:rFonts w:ascii="Segoe UI" w:eastAsia="Segoe UI" w:hAnsi="Segoe UI" w:cs="Segoe UI"/>
                <w:b/>
                <w:bCs/>
                <w:szCs w:val="24"/>
              </w:rPr>
            </w:pPr>
            <w:r w:rsidRPr="17CECF10">
              <w:rPr>
                <w:rFonts w:ascii="Segoe UI" w:eastAsia="Segoe UI" w:hAnsi="Segoe UI" w:cs="Segoe UI"/>
                <w:b/>
                <w:bCs/>
                <w:sz w:val="22"/>
              </w:rPr>
              <w:t>Description</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641531DC" w14:textId="420F30B5" w:rsidR="001A037D" w:rsidRPr="001A037D" w:rsidRDefault="41AE8376" w:rsidP="17CECF10">
            <w:pPr>
              <w:spacing w:line="240" w:lineRule="auto"/>
              <w:jc w:val="center"/>
              <w:rPr>
                <w:rFonts w:ascii="Segoe UI" w:eastAsia="Segoe UI" w:hAnsi="Segoe UI" w:cs="Segoe UI"/>
                <w:b/>
                <w:bCs/>
                <w:szCs w:val="24"/>
              </w:rPr>
            </w:pPr>
            <w:r w:rsidRPr="17CECF10">
              <w:rPr>
                <w:rFonts w:ascii="Segoe UI" w:eastAsia="Segoe UI" w:hAnsi="Segoe UI" w:cs="Segoe UI"/>
                <w:b/>
                <w:bCs/>
                <w:sz w:val="22"/>
              </w:rPr>
              <w:t xml:space="preserve">Entity </w:t>
            </w:r>
            <w:r w:rsidR="6F5D19C0" w:rsidRPr="17CECF10">
              <w:rPr>
                <w:rFonts w:ascii="Segoe UI" w:eastAsia="Segoe UI" w:hAnsi="Segoe UI" w:cs="Segoe UI"/>
                <w:b/>
                <w:bCs/>
                <w:sz w:val="22"/>
              </w:rPr>
              <w:t>t</w:t>
            </w:r>
            <w:r w:rsidRPr="17CECF10">
              <w:rPr>
                <w:rFonts w:ascii="Segoe UI" w:eastAsia="Segoe UI" w:hAnsi="Segoe UI" w:cs="Segoe UI"/>
                <w:b/>
                <w:bCs/>
                <w:sz w:val="22"/>
              </w:rPr>
              <w:t>ype</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1C26B65E" w14:textId="3857F273" w:rsidR="001A037D" w:rsidRPr="001A037D" w:rsidRDefault="41AE8376" w:rsidP="17CECF10">
            <w:pPr>
              <w:spacing w:line="240" w:lineRule="auto"/>
              <w:jc w:val="center"/>
              <w:rPr>
                <w:rFonts w:ascii="Segoe UI" w:eastAsia="Segoe UI" w:hAnsi="Segoe UI" w:cs="Segoe UI"/>
                <w:b/>
                <w:bCs/>
                <w:szCs w:val="24"/>
              </w:rPr>
            </w:pPr>
            <w:r w:rsidRPr="17CECF10">
              <w:rPr>
                <w:rFonts w:ascii="Segoe UI" w:eastAsia="Segoe UI" w:hAnsi="Segoe UI" w:cs="Segoe UI"/>
                <w:b/>
                <w:bCs/>
                <w:sz w:val="22"/>
              </w:rPr>
              <w:t>Current fee</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142EE7C7" w14:textId="69D6E90C" w:rsidR="001A037D" w:rsidRPr="001A037D" w:rsidRDefault="497A267A" w:rsidP="17CECF10">
            <w:pPr>
              <w:spacing w:line="240" w:lineRule="auto"/>
              <w:jc w:val="center"/>
              <w:rPr>
                <w:rFonts w:ascii="Segoe UI" w:eastAsia="Segoe UI" w:hAnsi="Segoe UI" w:cs="Segoe UI"/>
                <w:b/>
                <w:bCs/>
                <w:szCs w:val="24"/>
              </w:rPr>
            </w:pPr>
            <w:r w:rsidRPr="17CECF10">
              <w:rPr>
                <w:rFonts w:ascii="Segoe UI" w:eastAsia="Segoe UI" w:hAnsi="Segoe UI" w:cs="Segoe UI"/>
                <w:b/>
                <w:bCs/>
                <w:sz w:val="22"/>
              </w:rPr>
              <w:t>Final</w:t>
            </w:r>
            <w:r w:rsidR="41AE8376" w:rsidRPr="17CECF10">
              <w:rPr>
                <w:rFonts w:ascii="Segoe UI" w:eastAsia="Segoe UI" w:hAnsi="Segoe UI" w:cs="Segoe UI"/>
                <w:b/>
                <w:bCs/>
                <w:sz w:val="22"/>
              </w:rPr>
              <w:t xml:space="preserve"> fee</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667E7689" w14:textId="6E42A448" w:rsidR="001A037D" w:rsidRPr="001A037D" w:rsidRDefault="41AE8376" w:rsidP="17CECF10">
            <w:pPr>
              <w:spacing w:line="240" w:lineRule="auto"/>
              <w:jc w:val="center"/>
              <w:rPr>
                <w:rFonts w:ascii="Segoe UI" w:eastAsia="Segoe UI" w:hAnsi="Segoe UI" w:cs="Segoe UI"/>
                <w:b/>
                <w:bCs/>
                <w:szCs w:val="24"/>
              </w:rPr>
            </w:pPr>
            <w:r w:rsidRPr="17CECF10">
              <w:rPr>
                <w:rFonts w:ascii="Segoe UI" w:eastAsia="Segoe UI" w:hAnsi="Segoe UI" w:cs="Segoe UI"/>
                <w:b/>
                <w:bCs/>
                <w:sz w:val="22"/>
              </w:rPr>
              <w:t xml:space="preserve">Fee </w:t>
            </w:r>
            <w:r w:rsidR="22FBFBA0" w:rsidRPr="17CECF10">
              <w:rPr>
                <w:rFonts w:ascii="Segoe UI" w:eastAsia="Segoe UI" w:hAnsi="Segoe UI" w:cs="Segoe UI"/>
                <w:b/>
                <w:bCs/>
                <w:sz w:val="22"/>
              </w:rPr>
              <w:t>c</w:t>
            </w:r>
            <w:r w:rsidRPr="17CECF10">
              <w:rPr>
                <w:rFonts w:ascii="Segoe UI" w:eastAsia="Segoe UI" w:hAnsi="Segoe UI" w:cs="Segoe UI"/>
                <w:b/>
                <w:bCs/>
                <w:sz w:val="22"/>
              </w:rPr>
              <w:t>hange (%)</w:t>
            </w:r>
          </w:p>
        </w:tc>
      </w:tr>
      <w:tr w:rsidR="00B005AA" w:rsidRPr="001A037D" w14:paraId="4A533BA5" w14:textId="77777777" w:rsidTr="00B64020">
        <w:trPr>
          <w:trHeight w:val="528"/>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F856221" w14:textId="3F73E2E0"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Basic filing fee - Utility (paper filing also requires non-electronic filing fee under 1.16(t))</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4B12770F"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1E6E69F2" w14:textId="0E327D2C"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$320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0CE3272F" w14:textId="41F8BC07"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$250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162E762"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-22%</w:t>
            </w:r>
          </w:p>
        </w:tc>
      </w:tr>
      <w:tr w:rsidR="00B005AA" w:rsidRPr="001A037D" w14:paraId="4DFFB966" w14:textId="77777777" w:rsidTr="00B64020">
        <w:trPr>
          <w:trHeight w:val="528"/>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62406C0" w14:textId="372CF771"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 xml:space="preserve">Basic filing fee - </w:t>
            </w:r>
            <w:r w:rsidR="0D3F52C7" w:rsidRPr="17CECF10">
              <w:rPr>
                <w:rFonts w:ascii="Segoe UI" w:eastAsia="Segoe UI" w:hAnsi="Segoe UI" w:cs="Segoe UI"/>
                <w:sz w:val="22"/>
              </w:rPr>
              <w:t>U</w:t>
            </w:r>
            <w:r w:rsidRPr="17CECF10">
              <w:rPr>
                <w:rFonts w:ascii="Segoe UI" w:eastAsia="Segoe UI" w:hAnsi="Segoe UI" w:cs="Segoe UI"/>
                <w:sz w:val="22"/>
              </w:rPr>
              <w:t>tility (paper filing also requires non-electronic filing fee under 1.16(t))</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5F23E8F0"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7FAC1C52" w14:textId="7E523779"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$128</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08C76D87" w14:textId="3327227B"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$100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65C191B5"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-22%</w:t>
            </w:r>
          </w:p>
        </w:tc>
      </w:tr>
      <w:tr w:rsidR="00B005AA" w:rsidRPr="001A037D" w14:paraId="5B7633DB" w14:textId="77777777" w:rsidTr="00B64020">
        <w:trPr>
          <w:trHeight w:val="528"/>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678666E" w14:textId="2AA1C0EB"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Basic filing fee - Utility (paper filing also requires non-electronic filing fee under 1.16(t))</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33FE64C6"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416CDF77" w14:textId="7F629688"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$64</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08C5A26A" w14:textId="0435D50C"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$50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0F4693E"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-22%</w:t>
            </w:r>
          </w:p>
        </w:tc>
      </w:tr>
      <w:tr w:rsidR="00B005AA" w:rsidRPr="001A037D" w14:paraId="730955FF" w14:textId="77777777" w:rsidTr="00B64020">
        <w:trPr>
          <w:trHeight w:val="528"/>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0B04B92" w14:textId="234B2E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 xml:space="preserve">Basic filing fee - </w:t>
            </w:r>
            <w:r w:rsidR="13D83A67" w:rsidRPr="17CECF10">
              <w:rPr>
                <w:rFonts w:ascii="Segoe UI" w:eastAsia="Segoe UI" w:hAnsi="Segoe UI" w:cs="Segoe UI"/>
                <w:sz w:val="22"/>
              </w:rPr>
              <w:t>U</w:t>
            </w:r>
            <w:r w:rsidRPr="17CECF10">
              <w:rPr>
                <w:rFonts w:ascii="Segoe UI" w:eastAsia="Segoe UI" w:hAnsi="Segoe UI" w:cs="Segoe UI"/>
                <w:sz w:val="22"/>
              </w:rPr>
              <w:t>tility (electronic filing for small entities)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66501945"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9E66839" w14:textId="203AE7BB"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$64</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07392BBA" w14:textId="0ED8B785"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$50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74F29F4"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-22%</w:t>
            </w:r>
          </w:p>
        </w:tc>
      </w:tr>
      <w:tr w:rsidR="00B005AA" w:rsidRPr="001A037D" w14:paraId="21E4E011" w14:textId="77777777" w:rsidTr="00B64020">
        <w:trPr>
          <w:trHeight w:val="264"/>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835081B"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Each claim in excess of 20</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3584C003"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40C70284" w14:textId="2B0520D7"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$100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2DB84A1C" w14:textId="7EC9A26E"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$100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11FFEAF1"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0%</w:t>
            </w:r>
          </w:p>
        </w:tc>
      </w:tr>
      <w:tr w:rsidR="00B005AA" w:rsidRPr="001A037D" w14:paraId="21EBC297" w14:textId="77777777" w:rsidTr="00B64020">
        <w:trPr>
          <w:trHeight w:val="264"/>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474AEB6"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Each claim in excess of 20</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6B5F6158"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45265605" w14:textId="18695D5C"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$40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6ABECAC4" w14:textId="1D2F4E97"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$40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475AFF3"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0%</w:t>
            </w:r>
          </w:p>
        </w:tc>
      </w:tr>
      <w:tr w:rsidR="00B005AA" w:rsidRPr="001A037D" w14:paraId="0C55CFCD" w14:textId="77777777" w:rsidTr="00B64020">
        <w:trPr>
          <w:trHeight w:val="264"/>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C94CF01"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Each claim in excess of 20</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23D64364"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6DE407B3" w14:textId="3AE6CB3A"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$20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60085CF4" w14:textId="430F37C7"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$20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BE2F174"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0%</w:t>
            </w:r>
          </w:p>
        </w:tc>
      </w:tr>
      <w:tr w:rsidR="00B005AA" w:rsidRPr="001A037D" w14:paraId="4246E6D0" w14:textId="77777777" w:rsidTr="00B64020">
        <w:trPr>
          <w:trHeight w:val="264"/>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311AB16"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Utility search fee</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67DD4CFF"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FDFC2F5" w14:textId="39DBA09D"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$700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3646EF32" w14:textId="39AD8047"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$2,430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5A5321DC"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247%</w:t>
            </w:r>
          </w:p>
        </w:tc>
      </w:tr>
      <w:tr w:rsidR="00B005AA" w:rsidRPr="001A037D" w14:paraId="3F5604C3" w14:textId="77777777" w:rsidTr="00B64020">
        <w:trPr>
          <w:trHeight w:val="264"/>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5119700"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Utility search fee</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7EDAA1E1"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4812E80" w14:textId="501EE415"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$280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0AE19E6C" w14:textId="4C20CDA0"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$972</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C875860"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247%</w:t>
            </w:r>
          </w:p>
        </w:tc>
      </w:tr>
      <w:tr w:rsidR="00B005AA" w:rsidRPr="001A037D" w14:paraId="69457B43" w14:textId="77777777" w:rsidTr="00B64020">
        <w:trPr>
          <w:trHeight w:val="264"/>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20174EB"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Utility search fee</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6CEF5188"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417B968" w14:textId="217D3E5B"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$140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0D308CF2" w14:textId="5CCDEA9F"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$486</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1A9BE24E"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247%</w:t>
            </w:r>
          </w:p>
        </w:tc>
      </w:tr>
      <w:tr w:rsidR="00B005AA" w:rsidRPr="001A037D" w14:paraId="2E23CC4F" w14:textId="77777777" w:rsidTr="00B64020">
        <w:trPr>
          <w:trHeight w:val="264"/>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996AAA2"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Utility examination fee</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141CD4E8"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12089C5" w14:textId="62AEAD20"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$800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48521AF7" w14:textId="62349CE2"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$3,100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10E14BC0"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288%</w:t>
            </w:r>
          </w:p>
        </w:tc>
      </w:tr>
      <w:tr w:rsidR="00B005AA" w:rsidRPr="001A037D" w14:paraId="7ADA4F4D" w14:textId="77777777" w:rsidTr="00B64020">
        <w:trPr>
          <w:trHeight w:val="264"/>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E61B816"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Utility examination fee</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75DFDF1C"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87F1B13" w14:textId="17737866"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$320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2F3E82F1" w14:textId="43DEA2EB"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$1,240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C3225A1"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288%</w:t>
            </w:r>
          </w:p>
        </w:tc>
      </w:tr>
      <w:tr w:rsidR="00B005AA" w:rsidRPr="001A037D" w14:paraId="04B1E98E" w14:textId="77777777" w:rsidTr="00B64020">
        <w:trPr>
          <w:trHeight w:val="264"/>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421378F"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Utility examination fee</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295D22B8"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7509C867" w14:textId="4F1CDE3F"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$160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135A1646" w14:textId="2186FEAA"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$620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21542D7"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288%</w:t>
            </w:r>
          </w:p>
        </w:tc>
      </w:tr>
      <w:tr w:rsidR="00B005AA" w:rsidRPr="001A037D" w14:paraId="4A41D944" w14:textId="77777777" w:rsidTr="00B64020">
        <w:trPr>
          <w:trHeight w:val="264"/>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859AFF3"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Utility issue fee</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63BFD30F"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5110D68B" w14:textId="52E48930"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$1,200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0E036226" w14:textId="246FD094"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$575</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2D90281"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-52%</w:t>
            </w:r>
          </w:p>
        </w:tc>
      </w:tr>
      <w:tr w:rsidR="00B005AA" w:rsidRPr="001A037D" w14:paraId="44266201" w14:textId="77777777" w:rsidTr="00B64020">
        <w:trPr>
          <w:trHeight w:val="264"/>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B38EDB4"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Utility issue fee</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3203F0BA"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5C36DD58" w14:textId="70A184F2"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$480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3FD667A3" w14:textId="7F76272E"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$230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1F52BCEC"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-52%</w:t>
            </w:r>
          </w:p>
        </w:tc>
      </w:tr>
      <w:tr w:rsidR="00B005AA" w:rsidRPr="001A037D" w14:paraId="398C0C68" w14:textId="77777777" w:rsidTr="00B64020">
        <w:trPr>
          <w:trHeight w:val="264"/>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F8AAA04"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lastRenderedPageBreak/>
              <w:t>Utility issue fee</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55A91346"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52554AA2" w14:textId="72CA05DF"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$240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2D1CF967" w14:textId="4B502715"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$115</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4B98A202"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-52%</w:t>
            </w:r>
          </w:p>
        </w:tc>
      </w:tr>
      <w:tr w:rsidR="00B005AA" w:rsidRPr="001A037D" w14:paraId="59187ECF" w14:textId="77777777" w:rsidTr="00B64020">
        <w:trPr>
          <w:trHeight w:val="264"/>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CC4B7EA"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Extension for response within third month</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31D06673"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2F70679" w14:textId="5CF84032"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$1,480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79C00860" w14:textId="3AC3A9C3"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$1,480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570E4276"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0%</w:t>
            </w:r>
          </w:p>
        </w:tc>
      </w:tr>
      <w:tr w:rsidR="00B005AA" w:rsidRPr="001A037D" w14:paraId="6D3CD3E3" w14:textId="77777777" w:rsidTr="00B64020">
        <w:trPr>
          <w:trHeight w:val="264"/>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BC5B227"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Extension for response within third month</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0A504BAD"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4573E697" w14:textId="7F547162"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$592</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0A621848" w14:textId="658EAABF"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$592</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704A4B6F"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0%</w:t>
            </w:r>
          </w:p>
        </w:tc>
      </w:tr>
      <w:tr w:rsidR="00B005AA" w:rsidRPr="001A037D" w14:paraId="5B6C3C98" w14:textId="77777777" w:rsidTr="00B64020">
        <w:trPr>
          <w:trHeight w:val="264"/>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199A154"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Extension for response within third month</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0DCEE2B8"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54DC6018" w14:textId="2D393BD4"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$296</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255F5BDA" w14:textId="07B8F0B6"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$296</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56537995"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0%</w:t>
            </w:r>
          </w:p>
        </w:tc>
      </w:tr>
      <w:tr w:rsidR="0061637C" w:rsidRPr="001A037D" w14:paraId="2E5F8729" w14:textId="77777777" w:rsidTr="00B64020">
        <w:trPr>
          <w:trHeight w:val="528"/>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25D6989" w14:textId="77777777" w:rsidR="0061637C" w:rsidRPr="001A037D" w:rsidRDefault="0061637C" w:rsidP="0061637C">
            <w:pPr>
              <w:spacing w:line="240" w:lineRule="auto"/>
              <w:rPr>
                <w:rFonts w:ascii="Segoe UI" w:eastAsia="Segoe UI" w:hAnsi="Segoe UI" w:cs="Segoe UI"/>
                <w:szCs w:val="24"/>
              </w:rPr>
            </w:pPr>
            <w:r w:rsidRPr="17CECF10">
              <w:rPr>
                <w:rFonts w:ascii="Segoe UI" w:eastAsia="Segoe UI" w:hAnsi="Segoe UI" w:cs="Segoe UI"/>
                <w:sz w:val="22"/>
              </w:rPr>
              <w:t>For maintaining an original or any reissue patent, due at 3.5 years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34A69033" w14:textId="77777777" w:rsidR="0061637C" w:rsidRPr="001A037D" w:rsidRDefault="0061637C" w:rsidP="0061637C">
            <w:pPr>
              <w:spacing w:line="240" w:lineRule="auto"/>
              <w:rPr>
                <w:rFonts w:ascii="Segoe UI" w:eastAsia="Segoe UI" w:hAnsi="Segoe UI" w:cs="Segoe UI"/>
                <w:szCs w:val="24"/>
              </w:rPr>
            </w:pPr>
            <w:r w:rsidRPr="17CECF10">
              <w:rPr>
                <w:rFonts w:ascii="Segoe UI" w:eastAsia="Segoe UI"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74F6CFC9" w14:textId="5CF72E89" w:rsidR="0061637C" w:rsidRPr="001A037D" w:rsidRDefault="0061637C" w:rsidP="0061637C">
            <w:pPr>
              <w:spacing w:line="240" w:lineRule="auto"/>
              <w:jc w:val="right"/>
              <w:rPr>
                <w:rFonts w:ascii="Segoe UI" w:eastAsia="Segoe UI" w:hAnsi="Segoe UI" w:cs="Segoe UI"/>
                <w:szCs w:val="24"/>
              </w:rPr>
            </w:pPr>
            <w:r w:rsidRPr="17CECF10">
              <w:rPr>
                <w:rFonts w:ascii="Segoe UI" w:eastAsia="Segoe UI" w:hAnsi="Segoe UI" w:cs="Segoe UI"/>
                <w:sz w:val="22"/>
              </w:rPr>
              <w:t>$2,000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3B8E5B5D" w14:textId="5C6E9716" w:rsidR="0061637C" w:rsidRPr="00B64020" w:rsidRDefault="0061637C" w:rsidP="0061637C">
            <w:pPr>
              <w:spacing w:line="240" w:lineRule="auto"/>
              <w:jc w:val="right"/>
              <w:rPr>
                <w:rFonts w:ascii="Segoe UI" w:eastAsia="Segoe UI" w:hAnsi="Segoe UI" w:cs="Segoe UI"/>
                <w:sz w:val="22"/>
              </w:rPr>
            </w:pPr>
            <w:r w:rsidRPr="00B64020">
              <w:rPr>
                <w:rFonts w:ascii="Segoe UI" w:hAnsi="Segoe UI" w:cs="Segoe UI"/>
                <w:sz w:val="22"/>
              </w:rPr>
              <w:t xml:space="preserve">$1,770 </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5F53D6AD" w14:textId="19A70C86" w:rsidR="0061637C" w:rsidRPr="00B64020" w:rsidRDefault="0061637C" w:rsidP="0061637C">
            <w:pPr>
              <w:spacing w:line="240" w:lineRule="auto"/>
              <w:jc w:val="right"/>
              <w:rPr>
                <w:rFonts w:ascii="Segoe UI" w:eastAsia="Segoe UI" w:hAnsi="Segoe UI" w:cs="Segoe UI"/>
                <w:sz w:val="22"/>
              </w:rPr>
            </w:pPr>
            <w:r w:rsidRPr="00B64020">
              <w:rPr>
                <w:rFonts w:ascii="Segoe UI" w:hAnsi="Segoe UI" w:cs="Segoe UI"/>
                <w:sz w:val="22"/>
              </w:rPr>
              <w:t>-12%</w:t>
            </w:r>
          </w:p>
        </w:tc>
      </w:tr>
      <w:tr w:rsidR="0061637C" w:rsidRPr="001A037D" w14:paraId="5C12C287" w14:textId="77777777" w:rsidTr="00B64020">
        <w:trPr>
          <w:trHeight w:val="528"/>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1D10158" w14:textId="77777777" w:rsidR="0061637C" w:rsidRPr="001A037D" w:rsidRDefault="0061637C" w:rsidP="0061637C">
            <w:pPr>
              <w:spacing w:line="240" w:lineRule="auto"/>
              <w:rPr>
                <w:rFonts w:ascii="Segoe UI" w:eastAsia="Segoe UI" w:hAnsi="Segoe UI" w:cs="Segoe UI"/>
                <w:szCs w:val="24"/>
              </w:rPr>
            </w:pPr>
            <w:r w:rsidRPr="17CECF10">
              <w:rPr>
                <w:rFonts w:ascii="Segoe UI" w:eastAsia="Segoe UI" w:hAnsi="Segoe UI" w:cs="Segoe UI"/>
                <w:sz w:val="22"/>
              </w:rPr>
              <w:t>For maintaining an original or any reissue patent, due at 3.5 years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6A2D5173" w14:textId="77777777" w:rsidR="0061637C" w:rsidRPr="001A037D" w:rsidRDefault="0061637C" w:rsidP="0061637C">
            <w:pPr>
              <w:spacing w:line="240" w:lineRule="auto"/>
              <w:rPr>
                <w:rFonts w:ascii="Segoe UI" w:eastAsia="Segoe UI" w:hAnsi="Segoe UI" w:cs="Segoe UI"/>
                <w:szCs w:val="24"/>
              </w:rPr>
            </w:pPr>
            <w:r w:rsidRPr="17CECF10">
              <w:rPr>
                <w:rFonts w:ascii="Segoe UI" w:eastAsia="Segoe UI"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679AA9BA" w14:textId="3C28BA00" w:rsidR="0061637C" w:rsidRPr="001A037D" w:rsidRDefault="0061637C" w:rsidP="0061637C">
            <w:pPr>
              <w:spacing w:line="240" w:lineRule="auto"/>
              <w:jc w:val="right"/>
              <w:rPr>
                <w:rFonts w:ascii="Segoe UI" w:eastAsia="Segoe UI" w:hAnsi="Segoe UI" w:cs="Segoe UI"/>
                <w:szCs w:val="24"/>
              </w:rPr>
            </w:pPr>
            <w:r w:rsidRPr="17CECF10">
              <w:rPr>
                <w:rFonts w:ascii="Segoe UI" w:eastAsia="Segoe UI" w:hAnsi="Segoe UI" w:cs="Segoe UI"/>
                <w:sz w:val="22"/>
              </w:rPr>
              <w:t>$800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336E3590" w14:textId="389828E0" w:rsidR="0061637C" w:rsidRPr="00B64020" w:rsidRDefault="0061637C" w:rsidP="0061637C">
            <w:pPr>
              <w:spacing w:line="240" w:lineRule="auto"/>
              <w:jc w:val="right"/>
              <w:rPr>
                <w:rFonts w:ascii="Segoe UI" w:eastAsia="Segoe UI" w:hAnsi="Segoe UI" w:cs="Segoe UI"/>
                <w:sz w:val="22"/>
              </w:rPr>
            </w:pPr>
            <w:r w:rsidRPr="00B64020">
              <w:rPr>
                <w:rFonts w:ascii="Segoe UI" w:hAnsi="Segoe UI" w:cs="Segoe UI"/>
                <w:sz w:val="22"/>
              </w:rPr>
              <w:t xml:space="preserve">$708 </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609ABDB" w14:textId="4064FC0E" w:rsidR="0061637C" w:rsidRPr="00B64020" w:rsidRDefault="0061637C" w:rsidP="0061637C">
            <w:pPr>
              <w:spacing w:line="240" w:lineRule="auto"/>
              <w:jc w:val="right"/>
              <w:rPr>
                <w:rFonts w:ascii="Segoe UI" w:eastAsia="Segoe UI" w:hAnsi="Segoe UI" w:cs="Segoe UI"/>
                <w:sz w:val="22"/>
              </w:rPr>
            </w:pPr>
            <w:r w:rsidRPr="00B64020">
              <w:rPr>
                <w:rFonts w:ascii="Segoe UI" w:hAnsi="Segoe UI" w:cs="Segoe UI"/>
                <w:sz w:val="22"/>
              </w:rPr>
              <w:t>-12%</w:t>
            </w:r>
          </w:p>
        </w:tc>
      </w:tr>
      <w:tr w:rsidR="0061637C" w:rsidRPr="001A037D" w14:paraId="6196DBFD" w14:textId="77777777" w:rsidTr="00B64020">
        <w:trPr>
          <w:trHeight w:val="528"/>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6BDAA4E" w14:textId="77777777" w:rsidR="0061637C" w:rsidRPr="001A037D" w:rsidRDefault="0061637C" w:rsidP="0061637C">
            <w:pPr>
              <w:spacing w:line="240" w:lineRule="auto"/>
              <w:rPr>
                <w:rFonts w:ascii="Segoe UI" w:eastAsia="Segoe UI" w:hAnsi="Segoe UI" w:cs="Segoe UI"/>
                <w:szCs w:val="24"/>
              </w:rPr>
            </w:pPr>
            <w:r w:rsidRPr="17CECF10">
              <w:rPr>
                <w:rFonts w:ascii="Segoe UI" w:eastAsia="Segoe UI" w:hAnsi="Segoe UI" w:cs="Segoe UI"/>
                <w:sz w:val="22"/>
              </w:rPr>
              <w:t>For maintaining an original or any reissue patent, due at 3.5 years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453B5671" w14:textId="77777777" w:rsidR="0061637C" w:rsidRPr="001A037D" w:rsidRDefault="0061637C" w:rsidP="0061637C">
            <w:pPr>
              <w:spacing w:line="240" w:lineRule="auto"/>
              <w:rPr>
                <w:rFonts w:ascii="Segoe UI" w:eastAsia="Segoe UI" w:hAnsi="Segoe UI" w:cs="Segoe UI"/>
                <w:szCs w:val="24"/>
              </w:rPr>
            </w:pPr>
            <w:r w:rsidRPr="17CECF10">
              <w:rPr>
                <w:rFonts w:ascii="Segoe UI" w:eastAsia="Segoe UI"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106FFA4E" w14:textId="6C50F225" w:rsidR="0061637C" w:rsidRPr="001A037D" w:rsidRDefault="0061637C" w:rsidP="0061637C">
            <w:pPr>
              <w:spacing w:line="240" w:lineRule="auto"/>
              <w:jc w:val="right"/>
              <w:rPr>
                <w:rFonts w:ascii="Segoe UI" w:eastAsia="Segoe UI" w:hAnsi="Segoe UI" w:cs="Segoe UI"/>
                <w:szCs w:val="24"/>
              </w:rPr>
            </w:pPr>
            <w:r w:rsidRPr="17CECF10">
              <w:rPr>
                <w:rFonts w:ascii="Segoe UI" w:eastAsia="Segoe UI" w:hAnsi="Segoe UI" w:cs="Segoe UI"/>
                <w:sz w:val="22"/>
              </w:rPr>
              <w:t>$400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32E2403A" w14:textId="7D268763" w:rsidR="0061637C" w:rsidRPr="00B64020" w:rsidRDefault="0061637C" w:rsidP="0061637C">
            <w:pPr>
              <w:spacing w:line="240" w:lineRule="auto"/>
              <w:jc w:val="right"/>
              <w:rPr>
                <w:rFonts w:ascii="Segoe UI" w:eastAsia="Segoe UI" w:hAnsi="Segoe UI" w:cs="Segoe UI"/>
                <w:sz w:val="22"/>
              </w:rPr>
            </w:pPr>
            <w:r w:rsidRPr="00B64020">
              <w:rPr>
                <w:rFonts w:ascii="Segoe UI" w:hAnsi="Segoe UI" w:cs="Segoe UI"/>
                <w:sz w:val="22"/>
              </w:rPr>
              <w:t xml:space="preserve">$354 </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CC6CC42" w14:textId="4A24ED28" w:rsidR="0061637C" w:rsidRPr="00B64020" w:rsidRDefault="0061637C" w:rsidP="0061637C">
            <w:pPr>
              <w:spacing w:line="240" w:lineRule="auto"/>
              <w:jc w:val="right"/>
              <w:rPr>
                <w:rFonts w:ascii="Segoe UI" w:eastAsia="Segoe UI" w:hAnsi="Segoe UI" w:cs="Segoe UI"/>
                <w:sz w:val="22"/>
              </w:rPr>
            </w:pPr>
            <w:r w:rsidRPr="00B64020">
              <w:rPr>
                <w:rFonts w:ascii="Segoe UI" w:hAnsi="Segoe UI" w:cs="Segoe UI"/>
                <w:sz w:val="22"/>
              </w:rPr>
              <w:t>-12%</w:t>
            </w:r>
          </w:p>
        </w:tc>
      </w:tr>
      <w:tr w:rsidR="0061637C" w:rsidRPr="001A037D" w14:paraId="720F829D" w14:textId="77777777" w:rsidTr="00B64020">
        <w:trPr>
          <w:trHeight w:val="528"/>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38254D8" w14:textId="77777777" w:rsidR="0061637C" w:rsidRPr="001A037D" w:rsidRDefault="0061637C" w:rsidP="0061637C">
            <w:pPr>
              <w:spacing w:line="240" w:lineRule="auto"/>
              <w:rPr>
                <w:rFonts w:ascii="Segoe UI" w:eastAsia="Segoe UI" w:hAnsi="Segoe UI" w:cs="Segoe UI"/>
                <w:szCs w:val="24"/>
              </w:rPr>
            </w:pPr>
            <w:r w:rsidRPr="17CECF10">
              <w:rPr>
                <w:rFonts w:ascii="Segoe UI" w:eastAsia="Segoe UI" w:hAnsi="Segoe UI" w:cs="Segoe UI"/>
                <w:sz w:val="22"/>
              </w:rPr>
              <w:t>For maintaining an original or any reissue patent, due at 7.5 years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69FDDDCC" w14:textId="77777777" w:rsidR="0061637C" w:rsidRPr="001A037D" w:rsidRDefault="0061637C" w:rsidP="0061637C">
            <w:pPr>
              <w:spacing w:line="240" w:lineRule="auto"/>
              <w:rPr>
                <w:rFonts w:ascii="Segoe UI" w:eastAsia="Segoe UI" w:hAnsi="Segoe UI" w:cs="Segoe UI"/>
                <w:szCs w:val="24"/>
              </w:rPr>
            </w:pPr>
            <w:r w:rsidRPr="17CECF10">
              <w:rPr>
                <w:rFonts w:ascii="Segoe UI" w:eastAsia="Segoe UI"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4B32DAB6" w14:textId="09132DD3" w:rsidR="0061637C" w:rsidRPr="001A037D" w:rsidRDefault="0061637C" w:rsidP="0061637C">
            <w:pPr>
              <w:spacing w:line="240" w:lineRule="auto"/>
              <w:jc w:val="right"/>
              <w:rPr>
                <w:rFonts w:ascii="Segoe UI" w:eastAsia="Segoe UI" w:hAnsi="Segoe UI" w:cs="Segoe UI"/>
                <w:szCs w:val="24"/>
              </w:rPr>
            </w:pPr>
            <w:r w:rsidRPr="17CECF10">
              <w:rPr>
                <w:rFonts w:ascii="Segoe UI" w:eastAsia="Segoe UI" w:hAnsi="Segoe UI" w:cs="Segoe UI"/>
                <w:sz w:val="22"/>
              </w:rPr>
              <w:t>$3,760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78FD5EC4" w14:textId="05AAEBAE" w:rsidR="0061637C" w:rsidRPr="00B64020" w:rsidRDefault="0061637C" w:rsidP="0061637C">
            <w:pPr>
              <w:spacing w:line="240" w:lineRule="auto"/>
              <w:jc w:val="right"/>
              <w:rPr>
                <w:rFonts w:ascii="Segoe UI" w:eastAsia="Segoe UI" w:hAnsi="Segoe UI" w:cs="Segoe UI"/>
                <w:sz w:val="22"/>
              </w:rPr>
            </w:pPr>
            <w:r w:rsidRPr="00B64020">
              <w:rPr>
                <w:rFonts w:ascii="Segoe UI" w:hAnsi="Segoe UI" w:cs="Segoe UI"/>
                <w:sz w:val="22"/>
              </w:rPr>
              <w:t xml:space="preserve">$3,330 </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B297F90" w14:textId="09202504" w:rsidR="0061637C" w:rsidRPr="00B64020" w:rsidRDefault="0061637C" w:rsidP="0061637C">
            <w:pPr>
              <w:spacing w:line="240" w:lineRule="auto"/>
              <w:jc w:val="right"/>
              <w:rPr>
                <w:rFonts w:ascii="Segoe UI" w:eastAsia="Segoe UI" w:hAnsi="Segoe UI" w:cs="Segoe UI"/>
                <w:sz w:val="22"/>
              </w:rPr>
            </w:pPr>
            <w:r w:rsidRPr="00B64020">
              <w:rPr>
                <w:rFonts w:ascii="Segoe UI" w:hAnsi="Segoe UI" w:cs="Segoe UI"/>
                <w:sz w:val="22"/>
              </w:rPr>
              <w:t>-11%</w:t>
            </w:r>
          </w:p>
        </w:tc>
      </w:tr>
      <w:tr w:rsidR="0061637C" w:rsidRPr="001A037D" w14:paraId="2CD14717" w14:textId="77777777" w:rsidTr="00B64020">
        <w:trPr>
          <w:trHeight w:val="528"/>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812AFEE" w14:textId="77777777" w:rsidR="0061637C" w:rsidRPr="001A037D" w:rsidRDefault="0061637C" w:rsidP="0061637C">
            <w:pPr>
              <w:spacing w:line="240" w:lineRule="auto"/>
              <w:rPr>
                <w:rFonts w:ascii="Segoe UI" w:eastAsia="Segoe UI" w:hAnsi="Segoe UI" w:cs="Segoe UI"/>
                <w:szCs w:val="24"/>
              </w:rPr>
            </w:pPr>
            <w:r w:rsidRPr="17CECF10">
              <w:rPr>
                <w:rFonts w:ascii="Segoe UI" w:eastAsia="Segoe UI" w:hAnsi="Segoe UI" w:cs="Segoe UI"/>
                <w:sz w:val="22"/>
              </w:rPr>
              <w:t>For maintaining an original or any reissue patent, due at 7.5 years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5FF410B4" w14:textId="77777777" w:rsidR="0061637C" w:rsidRPr="001A037D" w:rsidRDefault="0061637C" w:rsidP="0061637C">
            <w:pPr>
              <w:spacing w:line="240" w:lineRule="auto"/>
              <w:rPr>
                <w:rFonts w:ascii="Segoe UI" w:eastAsia="Segoe UI" w:hAnsi="Segoe UI" w:cs="Segoe UI"/>
                <w:szCs w:val="24"/>
              </w:rPr>
            </w:pPr>
            <w:r w:rsidRPr="17CECF10">
              <w:rPr>
                <w:rFonts w:ascii="Segoe UI" w:eastAsia="Segoe UI"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131C207" w14:textId="6CBDFEB5" w:rsidR="0061637C" w:rsidRPr="001A037D" w:rsidRDefault="0061637C" w:rsidP="0061637C">
            <w:pPr>
              <w:spacing w:line="240" w:lineRule="auto"/>
              <w:jc w:val="right"/>
              <w:rPr>
                <w:rFonts w:ascii="Segoe UI" w:eastAsia="Segoe UI" w:hAnsi="Segoe UI" w:cs="Segoe UI"/>
                <w:szCs w:val="24"/>
              </w:rPr>
            </w:pPr>
            <w:r w:rsidRPr="17CECF10">
              <w:rPr>
                <w:rFonts w:ascii="Segoe UI" w:eastAsia="Segoe UI" w:hAnsi="Segoe UI" w:cs="Segoe UI"/>
                <w:sz w:val="22"/>
              </w:rPr>
              <w:t>$1,504</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5CED4AF3" w14:textId="3138C3C6" w:rsidR="0061637C" w:rsidRPr="00B64020" w:rsidRDefault="0061637C" w:rsidP="0061637C">
            <w:pPr>
              <w:spacing w:line="240" w:lineRule="auto"/>
              <w:jc w:val="right"/>
              <w:rPr>
                <w:rFonts w:ascii="Segoe UI" w:eastAsia="Segoe UI" w:hAnsi="Segoe UI" w:cs="Segoe UI"/>
                <w:sz w:val="22"/>
              </w:rPr>
            </w:pPr>
            <w:r w:rsidRPr="00B64020">
              <w:rPr>
                <w:rFonts w:ascii="Segoe UI" w:hAnsi="Segoe UI" w:cs="Segoe UI"/>
                <w:sz w:val="22"/>
              </w:rPr>
              <w:t xml:space="preserve">$1,332 </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16614643" w14:textId="69BB5B0B" w:rsidR="0061637C" w:rsidRPr="00B64020" w:rsidRDefault="0061637C" w:rsidP="0061637C">
            <w:pPr>
              <w:spacing w:line="240" w:lineRule="auto"/>
              <w:jc w:val="right"/>
              <w:rPr>
                <w:rFonts w:ascii="Segoe UI" w:eastAsia="Segoe UI" w:hAnsi="Segoe UI" w:cs="Segoe UI"/>
                <w:sz w:val="22"/>
              </w:rPr>
            </w:pPr>
            <w:r w:rsidRPr="00B64020">
              <w:rPr>
                <w:rFonts w:ascii="Segoe UI" w:hAnsi="Segoe UI" w:cs="Segoe UI"/>
                <w:sz w:val="22"/>
              </w:rPr>
              <w:t>-11%</w:t>
            </w:r>
          </w:p>
        </w:tc>
      </w:tr>
      <w:tr w:rsidR="0061637C" w:rsidRPr="001A037D" w14:paraId="543CA814" w14:textId="77777777" w:rsidTr="00B64020">
        <w:trPr>
          <w:trHeight w:val="528"/>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3A11385" w14:textId="77777777" w:rsidR="0061637C" w:rsidRPr="001A037D" w:rsidRDefault="0061637C" w:rsidP="0061637C">
            <w:pPr>
              <w:spacing w:line="240" w:lineRule="auto"/>
              <w:rPr>
                <w:rFonts w:ascii="Segoe UI" w:eastAsia="Segoe UI" w:hAnsi="Segoe UI" w:cs="Segoe UI"/>
                <w:szCs w:val="24"/>
              </w:rPr>
            </w:pPr>
            <w:r w:rsidRPr="17CECF10">
              <w:rPr>
                <w:rFonts w:ascii="Segoe UI" w:eastAsia="Segoe UI" w:hAnsi="Segoe UI" w:cs="Segoe UI"/>
                <w:sz w:val="22"/>
              </w:rPr>
              <w:t>For maintaining an original or any reissue patent, due at 7.5 years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0576D12D" w14:textId="77777777" w:rsidR="0061637C" w:rsidRPr="001A037D" w:rsidRDefault="0061637C" w:rsidP="0061637C">
            <w:pPr>
              <w:spacing w:line="240" w:lineRule="auto"/>
              <w:rPr>
                <w:rFonts w:ascii="Segoe UI" w:eastAsia="Segoe UI" w:hAnsi="Segoe UI" w:cs="Segoe UI"/>
                <w:szCs w:val="24"/>
              </w:rPr>
            </w:pPr>
            <w:r w:rsidRPr="17CECF10">
              <w:rPr>
                <w:rFonts w:ascii="Segoe UI" w:eastAsia="Segoe UI"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A436891" w14:textId="100973B1" w:rsidR="0061637C" w:rsidRPr="001A037D" w:rsidRDefault="0061637C" w:rsidP="0061637C">
            <w:pPr>
              <w:spacing w:line="240" w:lineRule="auto"/>
              <w:jc w:val="right"/>
              <w:rPr>
                <w:rFonts w:ascii="Segoe UI" w:eastAsia="Segoe UI" w:hAnsi="Segoe UI" w:cs="Segoe UI"/>
                <w:szCs w:val="24"/>
              </w:rPr>
            </w:pPr>
            <w:r w:rsidRPr="17CECF10">
              <w:rPr>
                <w:rFonts w:ascii="Segoe UI" w:eastAsia="Segoe UI" w:hAnsi="Segoe UI" w:cs="Segoe UI"/>
                <w:sz w:val="22"/>
              </w:rPr>
              <w:t>$752</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470F4583" w14:textId="53A0A636" w:rsidR="0061637C" w:rsidRPr="00B64020" w:rsidRDefault="0061637C" w:rsidP="0061637C">
            <w:pPr>
              <w:spacing w:line="240" w:lineRule="auto"/>
              <w:jc w:val="right"/>
              <w:rPr>
                <w:rFonts w:ascii="Segoe UI" w:eastAsia="Segoe UI" w:hAnsi="Segoe UI" w:cs="Segoe UI"/>
                <w:sz w:val="22"/>
              </w:rPr>
            </w:pPr>
            <w:r w:rsidRPr="00B64020">
              <w:rPr>
                <w:rFonts w:ascii="Segoe UI" w:hAnsi="Segoe UI" w:cs="Segoe UI"/>
                <w:sz w:val="22"/>
              </w:rPr>
              <w:t xml:space="preserve">$666 </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FEA8D54" w14:textId="55155110" w:rsidR="0061637C" w:rsidRPr="00B64020" w:rsidRDefault="0061637C" w:rsidP="0061637C">
            <w:pPr>
              <w:spacing w:line="240" w:lineRule="auto"/>
              <w:jc w:val="right"/>
              <w:rPr>
                <w:rFonts w:ascii="Segoe UI" w:eastAsia="Segoe UI" w:hAnsi="Segoe UI" w:cs="Segoe UI"/>
                <w:sz w:val="22"/>
              </w:rPr>
            </w:pPr>
            <w:r w:rsidRPr="00B64020">
              <w:rPr>
                <w:rFonts w:ascii="Segoe UI" w:hAnsi="Segoe UI" w:cs="Segoe UI"/>
                <w:sz w:val="22"/>
              </w:rPr>
              <w:t>-11%</w:t>
            </w:r>
          </w:p>
        </w:tc>
      </w:tr>
      <w:tr w:rsidR="0061637C" w:rsidRPr="001A037D" w14:paraId="033FCAF9" w14:textId="77777777" w:rsidTr="00B64020">
        <w:trPr>
          <w:trHeight w:val="528"/>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608FBEE" w14:textId="77777777" w:rsidR="0061637C" w:rsidRPr="001A037D" w:rsidRDefault="0061637C" w:rsidP="0061637C">
            <w:pPr>
              <w:spacing w:line="240" w:lineRule="auto"/>
              <w:rPr>
                <w:rFonts w:ascii="Segoe UI" w:eastAsia="Segoe UI" w:hAnsi="Segoe UI" w:cs="Segoe UI"/>
                <w:szCs w:val="24"/>
              </w:rPr>
            </w:pPr>
            <w:r w:rsidRPr="17CECF10">
              <w:rPr>
                <w:rFonts w:ascii="Segoe UI" w:eastAsia="Segoe UI" w:hAnsi="Segoe UI" w:cs="Segoe UI"/>
                <w:sz w:val="22"/>
              </w:rPr>
              <w:t>For maintaining an original or any reissue patent, due at 11.5 years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11B5AC2F" w14:textId="77777777" w:rsidR="0061637C" w:rsidRPr="001A037D" w:rsidRDefault="0061637C" w:rsidP="0061637C">
            <w:pPr>
              <w:spacing w:line="240" w:lineRule="auto"/>
              <w:rPr>
                <w:rFonts w:ascii="Segoe UI" w:eastAsia="Segoe UI" w:hAnsi="Segoe UI" w:cs="Segoe UI"/>
                <w:szCs w:val="24"/>
              </w:rPr>
            </w:pPr>
            <w:r w:rsidRPr="17CECF10">
              <w:rPr>
                <w:rFonts w:ascii="Segoe UI" w:eastAsia="Segoe UI"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19B4EEF" w14:textId="2AE4B070" w:rsidR="0061637C" w:rsidRPr="001A037D" w:rsidRDefault="0061637C" w:rsidP="0061637C">
            <w:pPr>
              <w:spacing w:line="240" w:lineRule="auto"/>
              <w:jc w:val="right"/>
              <w:rPr>
                <w:rFonts w:ascii="Segoe UI" w:eastAsia="Segoe UI" w:hAnsi="Segoe UI" w:cs="Segoe UI"/>
                <w:szCs w:val="24"/>
              </w:rPr>
            </w:pPr>
            <w:r w:rsidRPr="17CECF10">
              <w:rPr>
                <w:rFonts w:ascii="Segoe UI" w:eastAsia="Segoe UI" w:hAnsi="Segoe UI" w:cs="Segoe UI"/>
                <w:sz w:val="22"/>
              </w:rPr>
              <w:t>$7,700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3E2FE1B8" w14:textId="2DD3BEC9" w:rsidR="0061637C" w:rsidRPr="00B64020" w:rsidRDefault="0061637C" w:rsidP="0061637C">
            <w:pPr>
              <w:spacing w:line="240" w:lineRule="auto"/>
              <w:jc w:val="right"/>
              <w:rPr>
                <w:rFonts w:ascii="Segoe UI" w:eastAsia="Segoe UI" w:hAnsi="Segoe UI" w:cs="Segoe UI"/>
                <w:sz w:val="22"/>
              </w:rPr>
            </w:pPr>
            <w:r w:rsidRPr="00B64020">
              <w:rPr>
                <w:rFonts w:ascii="Segoe UI" w:hAnsi="Segoe UI" w:cs="Segoe UI"/>
                <w:sz w:val="22"/>
              </w:rPr>
              <w:t xml:space="preserve">$6,815 </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4DF320D8" w14:textId="2F4AF50B" w:rsidR="0061637C" w:rsidRPr="00B64020" w:rsidRDefault="0061637C" w:rsidP="0061637C">
            <w:pPr>
              <w:spacing w:line="240" w:lineRule="auto"/>
              <w:jc w:val="right"/>
              <w:rPr>
                <w:rFonts w:ascii="Segoe UI" w:eastAsia="Segoe UI" w:hAnsi="Segoe UI" w:cs="Segoe UI"/>
                <w:sz w:val="22"/>
              </w:rPr>
            </w:pPr>
            <w:r w:rsidRPr="00B64020">
              <w:rPr>
                <w:rFonts w:ascii="Segoe UI" w:hAnsi="Segoe UI" w:cs="Segoe UI"/>
                <w:sz w:val="22"/>
              </w:rPr>
              <w:t>-11%</w:t>
            </w:r>
          </w:p>
        </w:tc>
      </w:tr>
      <w:tr w:rsidR="0061637C" w:rsidRPr="001A037D" w14:paraId="11F0EACB" w14:textId="77777777" w:rsidTr="00B64020">
        <w:trPr>
          <w:trHeight w:val="528"/>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5A7764" w14:textId="77777777" w:rsidR="0061637C" w:rsidRPr="001A037D" w:rsidRDefault="0061637C" w:rsidP="0061637C">
            <w:pPr>
              <w:spacing w:line="240" w:lineRule="auto"/>
              <w:rPr>
                <w:rFonts w:ascii="Segoe UI" w:eastAsia="Segoe UI" w:hAnsi="Segoe UI" w:cs="Segoe UI"/>
                <w:szCs w:val="24"/>
              </w:rPr>
            </w:pPr>
            <w:r w:rsidRPr="17CECF10">
              <w:rPr>
                <w:rFonts w:ascii="Segoe UI" w:eastAsia="Segoe UI" w:hAnsi="Segoe UI" w:cs="Segoe UI"/>
                <w:sz w:val="22"/>
              </w:rPr>
              <w:t>For maintaining an original or any reissue patent, due at 11.5 years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46A3155E" w14:textId="77777777" w:rsidR="0061637C" w:rsidRPr="001A037D" w:rsidRDefault="0061637C" w:rsidP="0061637C">
            <w:pPr>
              <w:spacing w:line="240" w:lineRule="auto"/>
              <w:rPr>
                <w:rFonts w:ascii="Segoe UI" w:eastAsia="Segoe UI" w:hAnsi="Segoe UI" w:cs="Segoe UI"/>
                <w:szCs w:val="24"/>
              </w:rPr>
            </w:pPr>
            <w:r w:rsidRPr="17CECF10">
              <w:rPr>
                <w:rFonts w:ascii="Segoe UI" w:eastAsia="Segoe UI"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7977800D" w14:textId="2D19061B" w:rsidR="0061637C" w:rsidRPr="001A037D" w:rsidRDefault="0061637C" w:rsidP="0061637C">
            <w:pPr>
              <w:spacing w:line="240" w:lineRule="auto"/>
              <w:jc w:val="right"/>
              <w:rPr>
                <w:rFonts w:ascii="Segoe UI" w:eastAsia="Segoe UI" w:hAnsi="Segoe UI" w:cs="Segoe UI"/>
                <w:szCs w:val="24"/>
              </w:rPr>
            </w:pPr>
            <w:r w:rsidRPr="17CECF10">
              <w:rPr>
                <w:rFonts w:ascii="Segoe UI" w:eastAsia="Segoe UI" w:hAnsi="Segoe UI" w:cs="Segoe UI"/>
                <w:sz w:val="22"/>
              </w:rPr>
              <w:t>$3,080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787868CE" w14:textId="69A78088" w:rsidR="0061637C" w:rsidRPr="00B64020" w:rsidRDefault="0061637C" w:rsidP="0061637C">
            <w:pPr>
              <w:spacing w:line="240" w:lineRule="auto"/>
              <w:jc w:val="right"/>
              <w:rPr>
                <w:rFonts w:ascii="Segoe UI" w:eastAsia="Segoe UI" w:hAnsi="Segoe UI" w:cs="Segoe UI"/>
                <w:sz w:val="22"/>
              </w:rPr>
            </w:pPr>
            <w:r w:rsidRPr="00B64020">
              <w:rPr>
                <w:rFonts w:ascii="Segoe UI" w:hAnsi="Segoe UI" w:cs="Segoe UI"/>
                <w:sz w:val="22"/>
              </w:rPr>
              <w:t xml:space="preserve">$2,726 </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E59B13B" w14:textId="59FAE3EE" w:rsidR="0061637C" w:rsidRPr="00B64020" w:rsidRDefault="0061637C" w:rsidP="0061637C">
            <w:pPr>
              <w:spacing w:line="240" w:lineRule="auto"/>
              <w:jc w:val="right"/>
              <w:rPr>
                <w:rFonts w:ascii="Segoe UI" w:eastAsia="Segoe UI" w:hAnsi="Segoe UI" w:cs="Segoe UI"/>
                <w:sz w:val="22"/>
              </w:rPr>
            </w:pPr>
            <w:r w:rsidRPr="00B64020">
              <w:rPr>
                <w:rFonts w:ascii="Segoe UI" w:hAnsi="Segoe UI" w:cs="Segoe UI"/>
                <w:sz w:val="22"/>
              </w:rPr>
              <w:t>-11%</w:t>
            </w:r>
          </w:p>
        </w:tc>
      </w:tr>
      <w:tr w:rsidR="0061637C" w:rsidRPr="001A037D" w14:paraId="1C4274DF" w14:textId="77777777" w:rsidTr="00B64020">
        <w:trPr>
          <w:trHeight w:val="528"/>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26C36B9" w14:textId="77777777" w:rsidR="0061637C" w:rsidRPr="001A037D" w:rsidRDefault="0061637C" w:rsidP="0061637C">
            <w:pPr>
              <w:spacing w:line="240" w:lineRule="auto"/>
              <w:rPr>
                <w:rFonts w:ascii="Segoe UI" w:eastAsia="Segoe UI" w:hAnsi="Segoe UI" w:cs="Segoe UI"/>
                <w:szCs w:val="24"/>
              </w:rPr>
            </w:pPr>
            <w:r w:rsidRPr="17CECF10">
              <w:rPr>
                <w:rFonts w:ascii="Segoe UI" w:eastAsia="Segoe UI" w:hAnsi="Segoe UI" w:cs="Segoe UI"/>
                <w:sz w:val="22"/>
              </w:rPr>
              <w:t>For maintaining an original or any reissue patent, due at 11.5 years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6C7C5443" w14:textId="77777777" w:rsidR="0061637C" w:rsidRPr="001A037D" w:rsidRDefault="0061637C" w:rsidP="0061637C">
            <w:pPr>
              <w:spacing w:line="240" w:lineRule="auto"/>
              <w:rPr>
                <w:rFonts w:ascii="Segoe UI" w:eastAsia="Segoe UI" w:hAnsi="Segoe UI" w:cs="Segoe UI"/>
                <w:szCs w:val="24"/>
              </w:rPr>
            </w:pPr>
            <w:r w:rsidRPr="17CECF10">
              <w:rPr>
                <w:rFonts w:ascii="Segoe UI" w:eastAsia="Segoe UI"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78B96E3F" w14:textId="4D0A481B" w:rsidR="0061637C" w:rsidRPr="001A037D" w:rsidRDefault="0061637C" w:rsidP="0061637C">
            <w:pPr>
              <w:spacing w:line="240" w:lineRule="auto"/>
              <w:jc w:val="right"/>
              <w:rPr>
                <w:rFonts w:ascii="Segoe UI" w:eastAsia="Segoe UI" w:hAnsi="Segoe UI" w:cs="Segoe UI"/>
                <w:szCs w:val="24"/>
              </w:rPr>
            </w:pPr>
            <w:r w:rsidRPr="17CECF10">
              <w:rPr>
                <w:rFonts w:ascii="Segoe UI" w:eastAsia="Segoe UI" w:hAnsi="Segoe UI" w:cs="Segoe UI"/>
                <w:sz w:val="22"/>
              </w:rPr>
              <w:t>$1,540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7CC753E7" w14:textId="09070B57" w:rsidR="0061637C" w:rsidRPr="00B64020" w:rsidRDefault="0061637C" w:rsidP="0061637C">
            <w:pPr>
              <w:spacing w:line="240" w:lineRule="auto"/>
              <w:jc w:val="right"/>
              <w:rPr>
                <w:rFonts w:ascii="Segoe UI" w:eastAsia="Segoe UI" w:hAnsi="Segoe UI" w:cs="Segoe UI"/>
                <w:sz w:val="22"/>
              </w:rPr>
            </w:pPr>
            <w:r w:rsidRPr="00B64020">
              <w:rPr>
                <w:rFonts w:ascii="Segoe UI" w:hAnsi="Segoe UI" w:cs="Segoe UI"/>
                <w:sz w:val="22"/>
              </w:rPr>
              <w:t xml:space="preserve">$1,363 </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5EAD037" w14:textId="6E4AAEF7" w:rsidR="0061637C" w:rsidRPr="00B64020" w:rsidRDefault="0061637C" w:rsidP="0061637C">
            <w:pPr>
              <w:spacing w:line="240" w:lineRule="auto"/>
              <w:jc w:val="right"/>
              <w:rPr>
                <w:rFonts w:ascii="Segoe UI" w:eastAsia="Segoe UI" w:hAnsi="Segoe UI" w:cs="Segoe UI"/>
                <w:sz w:val="22"/>
              </w:rPr>
            </w:pPr>
            <w:r w:rsidRPr="00B64020">
              <w:rPr>
                <w:rFonts w:ascii="Segoe UI" w:hAnsi="Segoe UI" w:cs="Segoe UI"/>
                <w:sz w:val="22"/>
              </w:rPr>
              <w:t>-11%</w:t>
            </w:r>
          </w:p>
        </w:tc>
      </w:tr>
      <w:tr w:rsidR="00B005AA" w:rsidRPr="001A037D" w14:paraId="2FABA2E0" w14:textId="77777777" w:rsidTr="00B64020">
        <w:trPr>
          <w:trHeight w:val="528"/>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C8A4CE7"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Request for prioritized examination</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20B5151C"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5DF788D2" w14:textId="41B4A61E"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$4,200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7C48BC39" w14:textId="4A55B50C"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$4,200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D69D20B"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0%</w:t>
            </w:r>
          </w:p>
        </w:tc>
      </w:tr>
      <w:tr w:rsidR="00B005AA" w:rsidRPr="001A037D" w14:paraId="499F4DD3" w14:textId="77777777" w:rsidTr="00B64020">
        <w:trPr>
          <w:trHeight w:val="528"/>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6942BA9"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Request for prioritized examination</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5D5BECC0"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A967358" w14:textId="550F79A1"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$1,680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68D3B887" w14:textId="4DBA0162"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$1,680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1D5B10C6"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0%</w:t>
            </w:r>
          </w:p>
        </w:tc>
      </w:tr>
      <w:tr w:rsidR="00B005AA" w:rsidRPr="001A037D" w14:paraId="5866A234" w14:textId="77777777" w:rsidTr="00B64020">
        <w:trPr>
          <w:trHeight w:val="528"/>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F7985F1"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Request for prioritized examination</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74147D23"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51119B07" w14:textId="73D3FC04"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$840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2B754A5D" w14:textId="2678297B"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$840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4DB29E10"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0%</w:t>
            </w:r>
          </w:p>
        </w:tc>
      </w:tr>
      <w:tr w:rsidR="00B005AA" w:rsidRPr="001A037D" w14:paraId="3DC5AEA7" w14:textId="77777777" w:rsidTr="00B64020">
        <w:trPr>
          <w:trHeight w:val="264"/>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4698F49" w14:textId="6D74D2B4"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Request for continued examination (RCE) - 1st request (</w:t>
            </w:r>
            <w:r w:rsidRPr="17CECF10">
              <w:rPr>
                <w:rFonts w:ascii="Calibri" w:eastAsia="Calibri" w:hAnsi="Calibri"/>
                <w:sz w:val="22"/>
              </w:rPr>
              <w:t>see</w:t>
            </w:r>
            <w:r w:rsidRPr="17CECF10">
              <w:rPr>
                <w:rFonts w:ascii="Segoe UI" w:eastAsia="Segoe UI" w:hAnsi="Segoe UI" w:cs="Segoe UI"/>
                <w:sz w:val="22"/>
              </w:rPr>
              <w:t xml:space="preserve"> 37 CFR 1.114)</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10AAE107"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687869D" w14:textId="6ADC0941"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$1,360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1843E9F0" w14:textId="165BFDF3"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$3,060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07258CF"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125%</w:t>
            </w:r>
          </w:p>
        </w:tc>
      </w:tr>
      <w:tr w:rsidR="00B005AA" w:rsidRPr="001A037D" w14:paraId="747F4C6C" w14:textId="77777777" w:rsidTr="00B64020">
        <w:trPr>
          <w:trHeight w:val="570"/>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3CA1203" w14:textId="1815C076" w:rsidR="001A037D" w:rsidRPr="001A037D" w:rsidRDefault="02FC825C" w:rsidP="17CECF10">
            <w:pPr>
              <w:spacing w:line="240" w:lineRule="auto"/>
              <w:rPr>
                <w:rFonts w:ascii="Segoe UI" w:eastAsia="Segoe UI" w:hAnsi="Segoe UI" w:cs="Segoe UI"/>
                <w:szCs w:val="24"/>
              </w:rPr>
            </w:pPr>
            <w:r w:rsidRPr="17CECF10">
              <w:rPr>
                <w:rFonts w:ascii="Segoe UI" w:eastAsia="Segoe UI" w:hAnsi="Segoe UI" w:cs="Segoe UI"/>
                <w:sz w:val="22"/>
              </w:rPr>
              <w:t>Request for continued examination (RCE) - 1st request (</w:t>
            </w:r>
            <w:r w:rsidRPr="17CECF10">
              <w:rPr>
                <w:rFonts w:ascii="Calibri" w:eastAsia="Calibri" w:hAnsi="Calibri"/>
                <w:sz w:val="22"/>
              </w:rPr>
              <w:t>see</w:t>
            </w:r>
            <w:r w:rsidRPr="17CECF10">
              <w:rPr>
                <w:rFonts w:ascii="Segoe UI" w:eastAsia="Segoe UI" w:hAnsi="Segoe UI" w:cs="Segoe UI"/>
                <w:sz w:val="22"/>
              </w:rPr>
              <w:t xml:space="preserve"> 37 CFR 1.114)</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5A21DE1F"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60532DB7" w14:textId="622A0627"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$544</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720DB93E" w14:textId="013AECD3"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$1,224</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138871B8"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125%</w:t>
            </w:r>
          </w:p>
        </w:tc>
      </w:tr>
      <w:tr w:rsidR="00B005AA" w:rsidRPr="001A037D" w14:paraId="4FEB1F6F" w14:textId="77777777" w:rsidTr="00B64020">
        <w:trPr>
          <w:trHeight w:val="264"/>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2A3CE5C" w14:textId="679CA789" w:rsidR="001A037D" w:rsidRPr="001A037D" w:rsidRDefault="4E44E566" w:rsidP="17CECF10">
            <w:pPr>
              <w:spacing w:line="240" w:lineRule="auto"/>
              <w:rPr>
                <w:rFonts w:ascii="Segoe UI" w:eastAsia="Segoe UI" w:hAnsi="Segoe UI" w:cs="Segoe UI"/>
                <w:szCs w:val="24"/>
              </w:rPr>
            </w:pPr>
            <w:r w:rsidRPr="17CECF10">
              <w:rPr>
                <w:rFonts w:ascii="Segoe UI" w:eastAsia="Segoe UI" w:hAnsi="Segoe UI" w:cs="Segoe UI"/>
                <w:sz w:val="22"/>
              </w:rPr>
              <w:t>Request for continued examination (RCE) - 1st request (</w:t>
            </w:r>
            <w:r w:rsidRPr="17CECF10">
              <w:rPr>
                <w:rFonts w:ascii="Calibri" w:eastAsia="Calibri" w:hAnsi="Calibri"/>
                <w:sz w:val="22"/>
              </w:rPr>
              <w:t>see</w:t>
            </w:r>
            <w:r w:rsidRPr="17CECF10">
              <w:rPr>
                <w:rFonts w:ascii="Segoe UI" w:eastAsia="Segoe UI" w:hAnsi="Segoe UI" w:cs="Segoe UI"/>
                <w:sz w:val="22"/>
              </w:rPr>
              <w:t xml:space="preserve"> 37 CFR 1.114)</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71307476"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6AF0D949" w14:textId="4C9C0849"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$272</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34CCC0A1" w14:textId="18F6A3C0"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$612</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E06A4C0"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125%</w:t>
            </w:r>
          </w:p>
        </w:tc>
      </w:tr>
      <w:tr w:rsidR="00B005AA" w:rsidRPr="001A037D" w14:paraId="605AD884" w14:textId="77777777" w:rsidTr="00B64020">
        <w:trPr>
          <w:trHeight w:val="528"/>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A21BC52" w14:textId="5870CEA2"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Request for continued examination (RCE) - 2nd and subsequent request (</w:t>
            </w:r>
            <w:r w:rsidRPr="17CECF10">
              <w:rPr>
                <w:rFonts w:ascii="Calibri" w:eastAsia="Calibri" w:hAnsi="Calibri"/>
                <w:sz w:val="22"/>
              </w:rPr>
              <w:t>see</w:t>
            </w:r>
            <w:r w:rsidRPr="17CECF10">
              <w:rPr>
                <w:rFonts w:ascii="Segoe UI" w:eastAsia="Segoe UI" w:hAnsi="Segoe UI" w:cs="Segoe UI"/>
                <w:sz w:val="22"/>
              </w:rPr>
              <w:t xml:space="preserve"> 37 CFR 1.114)</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4B4244D8"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4857EF01" w14:textId="48F4C9C7"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$2,000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7078DFB6" w14:textId="71EDA6A4"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$2,190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682B4DF7"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10%</w:t>
            </w:r>
          </w:p>
        </w:tc>
      </w:tr>
      <w:tr w:rsidR="00B005AA" w:rsidRPr="001A037D" w14:paraId="34FE2085" w14:textId="77777777" w:rsidTr="00B64020">
        <w:trPr>
          <w:trHeight w:val="528"/>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8312D5A" w14:textId="2D464E36" w:rsidR="001A037D" w:rsidRPr="001A037D" w:rsidRDefault="34045BD7" w:rsidP="17CECF10">
            <w:pPr>
              <w:spacing w:line="240" w:lineRule="auto"/>
              <w:rPr>
                <w:rFonts w:ascii="Segoe UI" w:eastAsia="Segoe UI" w:hAnsi="Segoe UI" w:cs="Segoe UI"/>
                <w:szCs w:val="24"/>
              </w:rPr>
            </w:pPr>
            <w:r w:rsidRPr="17CECF10">
              <w:rPr>
                <w:rFonts w:ascii="Segoe UI" w:eastAsia="Segoe UI" w:hAnsi="Segoe UI" w:cs="Segoe UI"/>
                <w:sz w:val="22"/>
              </w:rPr>
              <w:lastRenderedPageBreak/>
              <w:t>Request for continued examination (RCE) - 2nd and subsequent request (</w:t>
            </w:r>
            <w:r w:rsidRPr="17CECF10">
              <w:rPr>
                <w:rFonts w:ascii="Calibri" w:eastAsia="Calibri" w:hAnsi="Calibri"/>
                <w:sz w:val="22"/>
              </w:rPr>
              <w:t>see</w:t>
            </w:r>
            <w:r w:rsidRPr="17CECF10">
              <w:rPr>
                <w:rFonts w:ascii="Segoe UI" w:eastAsia="Segoe UI" w:hAnsi="Segoe UI" w:cs="Segoe UI"/>
                <w:sz w:val="22"/>
              </w:rPr>
              <w:t xml:space="preserve"> 37 CFR 1.114)</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31A590AA"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7ABA1B9" w14:textId="451EC921"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$800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4E68197D" w14:textId="4916D207"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$876</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AA69DBD"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10%</w:t>
            </w:r>
          </w:p>
        </w:tc>
      </w:tr>
      <w:tr w:rsidR="00B005AA" w:rsidRPr="001A037D" w14:paraId="10EEF65F" w14:textId="77777777" w:rsidTr="00B64020">
        <w:trPr>
          <w:trHeight w:val="528"/>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4326563" w14:textId="53AB688F" w:rsidR="001A037D" w:rsidRPr="001A037D" w:rsidRDefault="76DF553F" w:rsidP="17CECF10">
            <w:pPr>
              <w:spacing w:line="240" w:lineRule="auto"/>
              <w:rPr>
                <w:rFonts w:ascii="Segoe UI" w:eastAsia="Segoe UI" w:hAnsi="Segoe UI" w:cs="Segoe UI"/>
                <w:szCs w:val="24"/>
              </w:rPr>
            </w:pPr>
            <w:r w:rsidRPr="17CECF10">
              <w:rPr>
                <w:rFonts w:ascii="Segoe UI" w:eastAsia="Segoe UI" w:hAnsi="Segoe UI" w:cs="Segoe UI"/>
                <w:sz w:val="22"/>
              </w:rPr>
              <w:t>Request for continued examination (RCE) - 2nd and subsequent request (</w:t>
            </w:r>
            <w:r w:rsidRPr="17CECF10">
              <w:rPr>
                <w:rFonts w:ascii="Calibri" w:eastAsia="Calibri" w:hAnsi="Calibri"/>
                <w:sz w:val="22"/>
              </w:rPr>
              <w:t>see</w:t>
            </w:r>
            <w:r w:rsidRPr="17CECF10">
              <w:rPr>
                <w:rFonts w:ascii="Segoe UI" w:eastAsia="Segoe UI" w:hAnsi="Segoe UI" w:cs="Segoe UI"/>
                <w:sz w:val="22"/>
              </w:rPr>
              <w:t xml:space="preserve"> 37 CFR 1.114)</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6C683CFC"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75F88E53" w14:textId="0B84249F"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$400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5B78ECE1" w14:textId="677DA593"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$438</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49244EC7"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10%</w:t>
            </w:r>
          </w:p>
        </w:tc>
      </w:tr>
      <w:tr w:rsidR="00B005AA" w:rsidRPr="001A037D" w14:paraId="3CD60551" w14:textId="77777777" w:rsidTr="00B64020">
        <w:trPr>
          <w:trHeight w:val="528"/>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A6E5854"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Basic national stage fee</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363F62BC"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8BBA66E" w14:textId="5A45F2FC"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$320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11ECA587" w14:textId="48878DAE"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$345</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E96DE2C"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8%</w:t>
            </w:r>
          </w:p>
        </w:tc>
      </w:tr>
      <w:tr w:rsidR="00B005AA" w:rsidRPr="001A037D" w14:paraId="5A49061B" w14:textId="77777777" w:rsidTr="00B64020">
        <w:trPr>
          <w:trHeight w:val="528"/>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96CB44"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Basic national stage fee</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2900DD8D"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14028CA" w14:textId="135327C7"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$128</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35699A8F" w14:textId="7829AF6B"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$138</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F5B3D3C"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8%</w:t>
            </w:r>
          </w:p>
        </w:tc>
      </w:tr>
      <w:tr w:rsidR="00B005AA" w:rsidRPr="001A037D" w14:paraId="1F125371" w14:textId="77777777" w:rsidTr="00B64020">
        <w:trPr>
          <w:trHeight w:val="528"/>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E7C1572"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Basic national stage fee</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394F95E0"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D357596" w14:textId="723B8990"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$64</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46ECD2B5" w14:textId="71195684"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$69</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65C5415"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8%</w:t>
            </w:r>
          </w:p>
        </w:tc>
      </w:tr>
      <w:tr w:rsidR="00B005AA" w:rsidRPr="001A037D" w14:paraId="7DD63BF4" w14:textId="77777777" w:rsidTr="00B64020">
        <w:trPr>
          <w:trHeight w:val="528"/>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D17D72A" w14:textId="2F6431D6"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National stage search fee - search report prepared and provided to USPTO</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36A63A2E"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212BAF9" w14:textId="7418F3DF"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$540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439BA824" w14:textId="7C509DD5"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$2,430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458E4412"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350%</w:t>
            </w:r>
          </w:p>
        </w:tc>
      </w:tr>
      <w:tr w:rsidR="00B005AA" w:rsidRPr="001A037D" w14:paraId="714BAFF9" w14:textId="77777777" w:rsidTr="00B64020">
        <w:trPr>
          <w:trHeight w:val="528"/>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C7028B" w14:textId="08C95895"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National stage search fee - search report prepared and provided to USPTO</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53B94E8F"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707A968" w14:textId="3BC3DCE8"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$216</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4BFAAC02" w14:textId="63FE72BE"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$972</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6AA5AF87"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350%</w:t>
            </w:r>
          </w:p>
        </w:tc>
      </w:tr>
      <w:tr w:rsidR="00B005AA" w:rsidRPr="001A037D" w14:paraId="025733F2" w14:textId="77777777" w:rsidTr="00B64020">
        <w:trPr>
          <w:trHeight w:val="528"/>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FAACCCD" w14:textId="7B0EAA8C"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National stage search fee - search report prepared and provided to USPTO</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567FE3A9"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34DA8BC" w14:textId="3384C149"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$108</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554EDBB5" w14:textId="06F7D455"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$486</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4D4F9D6D"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350%</w:t>
            </w:r>
          </w:p>
        </w:tc>
      </w:tr>
      <w:tr w:rsidR="00B005AA" w:rsidRPr="001A037D" w14:paraId="7209B02A" w14:textId="77777777" w:rsidTr="00B64020">
        <w:trPr>
          <w:trHeight w:val="528"/>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6707A1E" w14:textId="7AAB664B"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National stage examination fee - all other situations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0409BB61"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46620A1" w14:textId="6C9966F1"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$800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5CFE704B" w14:textId="540F0FE1"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$3,100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826C2BE"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288%</w:t>
            </w:r>
          </w:p>
        </w:tc>
      </w:tr>
      <w:tr w:rsidR="00B005AA" w:rsidRPr="001A037D" w14:paraId="35F4060F" w14:textId="77777777" w:rsidTr="00B64020">
        <w:trPr>
          <w:trHeight w:val="528"/>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8B81D7C" w14:textId="587DF5D5"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National stage examination fee - all other situations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4A502358"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7F68C633" w14:textId="60E10CF8"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$320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71888D8F" w14:textId="34BB64F4"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$1,240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1EAB8AAE"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288%</w:t>
            </w:r>
          </w:p>
        </w:tc>
      </w:tr>
      <w:tr w:rsidR="00B005AA" w:rsidRPr="001A037D" w14:paraId="3C364E2F" w14:textId="77777777" w:rsidTr="00B64020">
        <w:trPr>
          <w:trHeight w:val="528"/>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D9946E9" w14:textId="7CEC1490"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National stage examination fee - all other situations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2C425434" w14:textId="77777777" w:rsidR="001A037D" w:rsidRPr="001A037D" w:rsidRDefault="41AE8376" w:rsidP="17CECF10">
            <w:pPr>
              <w:spacing w:line="240" w:lineRule="auto"/>
              <w:rPr>
                <w:rFonts w:ascii="Segoe UI" w:eastAsia="Segoe UI" w:hAnsi="Segoe UI" w:cs="Segoe UI"/>
                <w:szCs w:val="24"/>
              </w:rPr>
            </w:pPr>
            <w:r w:rsidRPr="17CECF10">
              <w:rPr>
                <w:rFonts w:ascii="Segoe UI" w:eastAsia="Segoe UI"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7A5169A" w14:textId="141CBCD6" w:rsidR="001A037D" w:rsidRPr="001A037D" w:rsidRDefault="41AE8376" w:rsidP="0061637C">
            <w:pPr>
              <w:spacing w:line="240" w:lineRule="auto"/>
              <w:jc w:val="right"/>
              <w:rPr>
                <w:rFonts w:ascii="Segoe UI" w:eastAsia="Segoe UI" w:hAnsi="Segoe UI" w:cs="Segoe UI"/>
                <w:szCs w:val="24"/>
              </w:rPr>
            </w:pPr>
            <w:r w:rsidRPr="17CECF10">
              <w:rPr>
                <w:rFonts w:ascii="Segoe UI" w:eastAsia="Segoe UI" w:hAnsi="Segoe UI" w:cs="Segoe UI"/>
                <w:sz w:val="22"/>
              </w:rPr>
              <w:t>$160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6360BEE7" w14:textId="2D850934" w:rsidR="001A037D" w:rsidRPr="001A037D" w:rsidRDefault="41AE8376" w:rsidP="008117B4">
            <w:pPr>
              <w:spacing w:line="240" w:lineRule="auto"/>
              <w:jc w:val="right"/>
              <w:rPr>
                <w:rFonts w:ascii="Segoe UI" w:eastAsia="Segoe UI" w:hAnsi="Segoe UI" w:cs="Segoe UI"/>
                <w:szCs w:val="24"/>
              </w:rPr>
            </w:pPr>
            <w:r w:rsidRPr="17CECF10">
              <w:rPr>
                <w:rFonts w:ascii="Segoe UI" w:eastAsia="Segoe UI" w:hAnsi="Segoe UI" w:cs="Segoe UI"/>
                <w:sz w:val="22"/>
              </w:rPr>
              <w:t>$620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11887D29" w14:textId="77777777" w:rsidR="001A037D" w:rsidRPr="001A037D" w:rsidRDefault="41AE8376">
            <w:pPr>
              <w:spacing w:line="240" w:lineRule="auto"/>
              <w:jc w:val="right"/>
              <w:rPr>
                <w:rFonts w:ascii="Segoe UI" w:eastAsia="Segoe UI" w:hAnsi="Segoe UI" w:cs="Segoe UI"/>
                <w:szCs w:val="24"/>
              </w:rPr>
            </w:pPr>
            <w:r w:rsidRPr="17CECF10">
              <w:rPr>
                <w:rFonts w:ascii="Segoe UI" w:eastAsia="Segoe UI" w:hAnsi="Segoe UI" w:cs="Segoe UI"/>
                <w:sz w:val="22"/>
              </w:rPr>
              <w:t>288%</w:t>
            </w:r>
          </w:p>
        </w:tc>
      </w:tr>
    </w:tbl>
    <w:p w14:paraId="05D71D84" w14:textId="34F52770" w:rsidR="00EB25E1" w:rsidRPr="00E62A7A" w:rsidRDefault="00EB25E1" w:rsidP="00E62A7A"/>
    <w:p w14:paraId="6A82A68F" w14:textId="77777777" w:rsidR="00782C34" w:rsidRPr="00CF6436" w:rsidRDefault="00782C34" w:rsidP="00CF6436">
      <w:pPr>
        <w:spacing w:after="200" w:line="360" w:lineRule="auto"/>
        <w:rPr>
          <w:rFonts w:ascii="Segoe UI" w:eastAsiaTheme="majorEastAsia" w:hAnsi="Segoe UI" w:cs="Segoe UI"/>
          <w:b/>
          <w:bCs/>
          <w:color w:val="4F81BD" w:themeColor="accent1"/>
        </w:rPr>
      </w:pPr>
    </w:p>
    <w:p w14:paraId="7A6E1F72" w14:textId="0EEE7E98" w:rsidR="00873D48" w:rsidRPr="00CF6436" w:rsidRDefault="00873D48" w:rsidP="000F20DC">
      <w:pPr>
        <w:pStyle w:val="Heading3Numbering"/>
        <w:numPr>
          <w:ilvl w:val="2"/>
          <w:numId w:val="14"/>
        </w:numPr>
        <w:spacing w:after="0" w:line="360" w:lineRule="auto"/>
        <w:ind w:left="810" w:hanging="810"/>
        <w:rPr>
          <w:rFonts w:ascii="Segoe UI" w:hAnsi="Segoe UI" w:cs="Segoe UI"/>
        </w:rPr>
      </w:pPr>
      <w:r w:rsidRPr="524BF87A">
        <w:rPr>
          <w:rFonts w:ascii="Segoe UI" w:hAnsi="Segoe UI" w:cs="Segoe UI"/>
        </w:rPr>
        <w:t xml:space="preserve">Costs of </w:t>
      </w:r>
      <w:r w:rsidR="003E2436" w:rsidRPr="524BF87A">
        <w:rPr>
          <w:rFonts w:ascii="Segoe UI" w:hAnsi="Segoe UI" w:cs="Segoe UI"/>
        </w:rPr>
        <w:t>Unit Cost Recovery (</w:t>
      </w:r>
      <w:r w:rsidRPr="524BF87A">
        <w:rPr>
          <w:rFonts w:ascii="Segoe UI" w:hAnsi="Segoe UI" w:cs="Segoe UI"/>
        </w:rPr>
        <w:t>Alternative 2</w:t>
      </w:r>
      <w:r w:rsidR="003E2436" w:rsidRPr="524BF87A">
        <w:rPr>
          <w:rFonts w:ascii="Segoe UI" w:hAnsi="Segoe UI" w:cs="Segoe UI"/>
        </w:rPr>
        <w:t>)</w:t>
      </w:r>
    </w:p>
    <w:p w14:paraId="29FC6713" w14:textId="2536839A" w:rsidR="00531156" w:rsidRPr="00202135" w:rsidRDefault="32C91BA6" w:rsidP="17CECF10">
      <w:pPr>
        <w:spacing w:line="360" w:lineRule="auto"/>
        <w:ind w:firstLine="450"/>
        <w:rPr>
          <w:rFonts w:ascii="Segoe UI" w:hAnsi="Segoe UI" w:cs="Segoe UI"/>
          <w:szCs w:val="24"/>
        </w:rPr>
      </w:pPr>
      <w:r w:rsidRPr="17CECF10">
        <w:rPr>
          <w:rFonts w:ascii="Segoe UI" w:hAnsi="Segoe UI" w:cs="Segoe UI"/>
          <w:szCs w:val="24"/>
        </w:rPr>
        <w:t>Costs for Unit Cost Recovery (Alternative 2) consist of fee schedule design costs.</w:t>
      </w:r>
      <w:r w:rsidR="75DDF123" w:rsidRPr="17CECF10">
        <w:rPr>
          <w:rFonts w:ascii="Segoe UI" w:hAnsi="Segoe UI" w:cs="Segoe UI"/>
          <w:szCs w:val="24"/>
        </w:rPr>
        <w:t xml:space="preserve"> </w:t>
      </w:r>
      <w:r w:rsidRPr="17CECF10">
        <w:rPr>
          <w:rFonts w:ascii="Segoe UI" w:hAnsi="Segoe UI" w:cs="Segoe UI"/>
          <w:szCs w:val="24"/>
        </w:rPr>
        <w:t>Individual fee amounts and their relationship to other fees in the fee schedule affect the fee schedule design costs.</w:t>
      </w:r>
    </w:p>
    <w:p w14:paraId="0707C7F0" w14:textId="0E04482C" w:rsidR="00873D48" w:rsidRPr="00CF6436" w:rsidRDefault="3A5CC982" w:rsidP="17CECF10">
      <w:pPr>
        <w:spacing w:line="360" w:lineRule="auto"/>
        <w:ind w:firstLine="450"/>
        <w:rPr>
          <w:rFonts w:ascii="Segoe UI" w:hAnsi="Segoe UI" w:cs="Segoe UI"/>
          <w:szCs w:val="24"/>
        </w:rPr>
      </w:pPr>
      <w:r w:rsidRPr="17CECF10">
        <w:rPr>
          <w:rFonts w:ascii="Segoe UI" w:hAnsi="Segoe UI" w:cs="Segoe UI"/>
          <w:szCs w:val="24"/>
        </w:rPr>
        <w:t xml:space="preserve">The following discussion of the fee schedule design </w:t>
      </w:r>
      <w:r w:rsidR="387A4CE4" w:rsidRPr="17CECF10">
        <w:rPr>
          <w:rFonts w:ascii="Segoe UI" w:hAnsi="Segoe UI" w:cs="Segoe UI"/>
          <w:szCs w:val="24"/>
        </w:rPr>
        <w:t>evaluates how well the fee adjustments</w:t>
      </w:r>
      <w:r w:rsidRPr="17CECF10">
        <w:rPr>
          <w:rFonts w:ascii="Segoe UI" w:hAnsi="Segoe UI" w:cs="Segoe UI"/>
          <w:szCs w:val="24"/>
        </w:rPr>
        <w:t xml:space="preserve"> reflect the </w:t>
      </w:r>
      <w:r w:rsidR="36641C2F" w:rsidRPr="17CECF10">
        <w:rPr>
          <w:rFonts w:ascii="Segoe UI" w:hAnsi="Segoe UI" w:cs="Segoe UI"/>
          <w:szCs w:val="24"/>
        </w:rPr>
        <w:t xml:space="preserve">USPTO’s </w:t>
      </w:r>
      <w:r w:rsidRPr="17CECF10">
        <w:rPr>
          <w:rFonts w:ascii="Segoe UI" w:hAnsi="Segoe UI" w:cs="Segoe UI"/>
          <w:szCs w:val="24"/>
        </w:rPr>
        <w:t xml:space="preserve">key policy factors, namely </w:t>
      </w:r>
      <w:r w:rsidR="32C91BA6" w:rsidRPr="17CECF10">
        <w:rPr>
          <w:rFonts w:ascii="Segoe UI" w:hAnsi="Segoe UI" w:cs="Segoe UI"/>
          <w:szCs w:val="24"/>
        </w:rPr>
        <w:t xml:space="preserve">promoting </w:t>
      </w:r>
      <w:r w:rsidRPr="17CECF10">
        <w:rPr>
          <w:rFonts w:ascii="Segoe UI" w:hAnsi="Segoe UI" w:cs="Segoe UI"/>
          <w:szCs w:val="24"/>
        </w:rPr>
        <w:t>innovation</w:t>
      </w:r>
      <w:r w:rsidR="32C91BA6" w:rsidRPr="17CECF10">
        <w:rPr>
          <w:rFonts w:ascii="Segoe UI" w:hAnsi="Segoe UI" w:cs="Segoe UI"/>
          <w:szCs w:val="24"/>
        </w:rPr>
        <w:t xml:space="preserve"> strategies</w:t>
      </w:r>
      <w:r w:rsidRPr="17CECF10">
        <w:rPr>
          <w:rFonts w:ascii="Segoe UI" w:hAnsi="Segoe UI" w:cs="Segoe UI"/>
          <w:szCs w:val="24"/>
        </w:rPr>
        <w:t xml:space="preserve">, facilitating effective administration of the patent system, and offering patent </w:t>
      </w:r>
      <w:r w:rsidR="32C91BA6" w:rsidRPr="17CECF10">
        <w:rPr>
          <w:rFonts w:ascii="Segoe UI" w:hAnsi="Segoe UI" w:cs="Segoe UI"/>
          <w:szCs w:val="24"/>
        </w:rPr>
        <w:t xml:space="preserve">processing </w:t>
      </w:r>
      <w:r w:rsidRPr="17CECF10">
        <w:rPr>
          <w:rFonts w:ascii="Segoe UI" w:hAnsi="Segoe UI" w:cs="Segoe UI"/>
          <w:szCs w:val="24"/>
        </w:rPr>
        <w:t>options for applicants.</w:t>
      </w:r>
      <w:r w:rsidR="75DDF123" w:rsidRPr="17CECF10">
        <w:rPr>
          <w:rFonts w:ascii="Segoe UI" w:hAnsi="Segoe UI" w:cs="Segoe UI"/>
          <w:szCs w:val="24"/>
        </w:rPr>
        <w:t xml:space="preserve"> </w:t>
      </w:r>
      <w:r w:rsidRPr="17CECF10">
        <w:rPr>
          <w:rFonts w:ascii="Segoe UI" w:hAnsi="Segoe UI" w:cs="Segoe UI"/>
          <w:szCs w:val="24"/>
        </w:rPr>
        <w:t xml:space="preserve">This discussion includes </w:t>
      </w:r>
      <w:r w:rsidR="36641C2F" w:rsidRPr="17CECF10">
        <w:rPr>
          <w:rFonts w:ascii="Segoe UI" w:hAnsi="Segoe UI" w:cs="Segoe UI"/>
          <w:szCs w:val="24"/>
        </w:rPr>
        <w:t xml:space="preserve">only those </w:t>
      </w:r>
      <w:r w:rsidRPr="17CECF10">
        <w:rPr>
          <w:rFonts w:ascii="Segoe UI" w:hAnsi="Segoe UI" w:cs="Segoe UI"/>
          <w:szCs w:val="24"/>
        </w:rPr>
        <w:t xml:space="preserve">fees for </w:t>
      </w:r>
      <w:r w:rsidRPr="17CECF10">
        <w:rPr>
          <w:rFonts w:ascii="Segoe UI" w:hAnsi="Segoe UI" w:cs="Segoe UI"/>
          <w:szCs w:val="24"/>
        </w:rPr>
        <w:lastRenderedPageBreak/>
        <w:t>which reasonable conclusions about the costs</w:t>
      </w:r>
      <w:r w:rsidR="746FF268" w:rsidRPr="17CECF10">
        <w:rPr>
          <w:rFonts w:ascii="Segoe UI" w:hAnsi="Segoe UI" w:cs="Segoe UI"/>
          <w:szCs w:val="24"/>
        </w:rPr>
        <w:t xml:space="preserve"> </w:t>
      </w:r>
      <w:r w:rsidR="41F20BF3" w:rsidRPr="17CECF10">
        <w:rPr>
          <w:rFonts w:ascii="Segoe UI" w:hAnsi="Segoe UI" w:cs="Segoe UI"/>
          <w:szCs w:val="24"/>
        </w:rPr>
        <w:t xml:space="preserve">may </w:t>
      </w:r>
      <w:r w:rsidR="746FF268" w:rsidRPr="17CECF10">
        <w:rPr>
          <w:rFonts w:ascii="Segoe UI" w:hAnsi="Segoe UI" w:cs="Segoe UI"/>
          <w:szCs w:val="24"/>
        </w:rPr>
        <w:t>be drawn</w:t>
      </w:r>
      <w:r w:rsidRPr="17CECF10">
        <w:rPr>
          <w:rFonts w:ascii="Segoe UI" w:hAnsi="Segoe UI" w:cs="Segoe UI"/>
          <w:szCs w:val="24"/>
        </w:rPr>
        <w:t xml:space="preserve">; therefore, the discussion that follows does not address all fees included in Table </w:t>
      </w:r>
      <w:r w:rsidR="4A189F35" w:rsidRPr="17CECF10">
        <w:rPr>
          <w:rFonts w:ascii="Segoe UI" w:hAnsi="Segoe UI" w:cs="Segoe UI"/>
          <w:szCs w:val="24"/>
        </w:rPr>
        <w:t>4</w:t>
      </w:r>
      <w:r w:rsidRPr="17CECF10">
        <w:rPr>
          <w:rFonts w:ascii="Segoe UI" w:hAnsi="Segoe UI" w:cs="Segoe UI"/>
          <w:szCs w:val="24"/>
        </w:rPr>
        <w:t>-</w:t>
      </w:r>
      <w:r w:rsidR="4A189F35" w:rsidRPr="17CECF10">
        <w:rPr>
          <w:rFonts w:ascii="Segoe UI" w:hAnsi="Segoe UI" w:cs="Segoe UI"/>
          <w:szCs w:val="24"/>
        </w:rPr>
        <w:t>8</w:t>
      </w:r>
      <w:r w:rsidRPr="17CECF10">
        <w:rPr>
          <w:rFonts w:ascii="Segoe UI" w:hAnsi="Segoe UI" w:cs="Segoe UI"/>
          <w:szCs w:val="24"/>
        </w:rPr>
        <w:t>.</w:t>
      </w:r>
      <w:r w:rsidR="75DDF123" w:rsidRPr="17CECF10">
        <w:rPr>
          <w:rFonts w:ascii="Segoe UI" w:hAnsi="Segoe UI" w:cs="Segoe UI"/>
          <w:szCs w:val="24"/>
        </w:rPr>
        <w:t xml:space="preserve"> </w:t>
      </w:r>
      <w:r w:rsidRPr="17CECF10">
        <w:rPr>
          <w:rFonts w:ascii="Segoe UI" w:hAnsi="Segoe UI" w:cs="Segoe UI"/>
          <w:szCs w:val="24"/>
        </w:rPr>
        <w:t xml:space="preserve">A complete list of fees for </w:t>
      </w:r>
      <w:r w:rsidR="41F20BF3" w:rsidRPr="17CECF10">
        <w:rPr>
          <w:rFonts w:ascii="Segoe UI" w:hAnsi="Segoe UI" w:cs="Segoe UI"/>
          <w:szCs w:val="24"/>
        </w:rPr>
        <w:t xml:space="preserve">the Unit Cost Recovery alternative </w:t>
      </w:r>
      <w:r w:rsidRPr="17CECF10">
        <w:rPr>
          <w:rFonts w:ascii="Segoe UI" w:hAnsi="Segoe UI" w:cs="Segoe UI"/>
          <w:szCs w:val="24"/>
        </w:rPr>
        <w:t xml:space="preserve">can be found on </w:t>
      </w:r>
      <w:r w:rsidR="554D2879" w:rsidRPr="17CECF10">
        <w:rPr>
          <w:rFonts w:ascii="Segoe UI" w:hAnsi="Segoe UI" w:cs="Segoe UI"/>
          <w:szCs w:val="24"/>
        </w:rPr>
        <w:t xml:space="preserve">the </w:t>
      </w:r>
      <w:hyperlink r:id="rId40">
        <w:r w:rsidR="554D2879" w:rsidRPr="17CECF10">
          <w:rPr>
            <w:rStyle w:val="Hyperlink"/>
            <w:rFonts w:ascii="Segoe UI" w:hAnsi="Segoe UI" w:cs="Segoe UI"/>
            <w:szCs w:val="24"/>
          </w:rPr>
          <w:t>fee setting section of the USPTO website</w:t>
        </w:r>
      </w:hyperlink>
      <w:r w:rsidR="792BA9F6" w:rsidRPr="17CECF10">
        <w:rPr>
          <w:rFonts w:ascii="Segoe UI" w:hAnsi="Segoe UI" w:cs="Segoe UI"/>
          <w:szCs w:val="24"/>
        </w:rPr>
        <w:t xml:space="preserve"> in the document titled “</w:t>
      </w:r>
      <w:r w:rsidR="7B22CD8A" w:rsidRPr="17CECF10">
        <w:rPr>
          <w:rFonts w:ascii="Segoe UI" w:hAnsi="Segoe UI" w:cs="Segoe UI"/>
          <w:szCs w:val="24"/>
        </w:rPr>
        <w:t>Initial</w:t>
      </w:r>
      <w:r w:rsidR="00EA71CA" w:rsidRPr="17CECF10">
        <w:rPr>
          <w:rFonts w:ascii="Segoe UI" w:hAnsi="Segoe UI" w:cs="Segoe UI"/>
          <w:szCs w:val="24"/>
        </w:rPr>
        <w:t xml:space="preserve"> Regulatory Flexibility A</w:t>
      </w:r>
      <w:r w:rsidR="651B2B58" w:rsidRPr="17CECF10">
        <w:rPr>
          <w:rFonts w:ascii="Segoe UI" w:hAnsi="Segoe UI" w:cs="Segoe UI"/>
          <w:szCs w:val="24"/>
        </w:rPr>
        <w:t>nalysis</w:t>
      </w:r>
      <w:r w:rsidR="792BA9F6" w:rsidRPr="17CECF10">
        <w:rPr>
          <w:rFonts w:ascii="Segoe UI" w:hAnsi="Segoe UI" w:cs="Segoe UI"/>
          <w:szCs w:val="24"/>
        </w:rPr>
        <w:t xml:space="preserve"> Tables.”</w:t>
      </w:r>
    </w:p>
    <w:p w14:paraId="71108CB0" w14:textId="6AAFF7BD" w:rsidR="0086407D" w:rsidRPr="00CF6436" w:rsidRDefault="0ABEFF6B" w:rsidP="17CECF10">
      <w:pPr>
        <w:pStyle w:val="ParagraphSpace"/>
        <w:numPr>
          <w:ilvl w:val="0"/>
          <w:numId w:val="4"/>
        </w:numPr>
        <w:spacing w:line="360" w:lineRule="auto"/>
        <w:rPr>
          <w:rFonts w:ascii="Segoe UI" w:hAnsi="Segoe UI" w:cs="Segoe UI"/>
          <w:szCs w:val="24"/>
        </w:rPr>
      </w:pPr>
      <w:r w:rsidRPr="17CECF10">
        <w:rPr>
          <w:rFonts w:ascii="Segoe UI" w:hAnsi="Segoe UI" w:cs="Segoe UI"/>
          <w:b/>
          <w:bCs/>
          <w:szCs w:val="24"/>
        </w:rPr>
        <w:t>Utility—Basic Filing, Search, and Examination:</w:t>
      </w:r>
      <w:r w:rsidR="2171104A" w:rsidRPr="17CECF10">
        <w:rPr>
          <w:rFonts w:ascii="Segoe UI" w:hAnsi="Segoe UI" w:cs="Segoe UI"/>
          <w:b/>
          <w:bCs/>
          <w:i/>
          <w:iCs/>
          <w:szCs w:val="24"/>
        </w:rPr>
        <w:t xml:space="preserve"> </w:t>
      </w:r>
      <w:r w:rsidR="15C4F757" w:rsidRPr="17CECF10">
        <w:rPr>
          <w:rFonts w:ascii="Segoe UI" w:hAnsi="Segoe UI" w:cs="Segoe UI"/>
          <w:szCs w:val="24"/>
        </w:rPr>
        <w:t>The U</w:t>
      </w:r>
      <w:r w:rsidR="4AAAD00F" w:rsidRPr="17CECF10">
        <w:rPr>
          <w:rFonts w:ascii="Segoe UI" w:hAnsi="Segoe UI" w:cs="Segoe UI"/>
          <w:szCs w:val="24"/>
        </w:rPr>
        <w:t>nit Cost Recovery</w:t>
      </w:r>
      <w:r w:rsidR="15C4F757" w:rsidRPr="17CECF10">
        <w:rPr>
          <w:rFonts w:ascii="Segoe UI" w:hAnsi="Segoe UI" w:cs="Segoe UI"/>
          <w:szCs w:val="24"/>
        </w:rPr>
        <w:t xml:space="preserve"> alternative </w:t>
      </w:r>
      <w:r w:rsidRPr="17CECF10">
        <w:rPr>
          <w:rFonts w:ascii="Segoe UI" w:hAnsi="Segoe UI" w:cs="Segoe UI"/>
          <w:szCs w:val="24"/>
        </w:rPr>
        <w:t>offers the most significant change to the current fee schedule of any alternative</w:t>
      </w:r>
      <w:r w:rsidR="5F06014E" w:rsidRPr="17CECF10">
        <w:rPr>
          <w:rFonts w:ascii="Segoe UI" w:hAnsi="Segoe UI" w:cs="Segoe UI"/>
          <w:szCs w:val="24"/>
        </w:rPr>
        <w:t xml:space="preserve"> and </w:t>
      </w:r>
      <w:r w:rsidRPr="17CECF10">
        <w:rPr>
          <w:rFonts w:ascii="Segoe UI" w:hAnsi="Segoe UI" w:cs="Segoe UI"/>
          <w:szCs w:val="24"/>
        </w:rPr>
        <w:t xml:space="preserve">reverses the </w:t>
      </w:r>
      <w:r w:rsidR="5F06014E" w:rsidRPr="17CECF10">
        <w:rPr>
          <w:rFonts w:ascii="Segoe UI" w:hAnsi="Segoe UI" w:cs="Segoe UI"/>
          <w:szCs w:val="24"/>
        </w:rPr>
        <w:t xml:space="preserve">USPTO’s longstanding </w:t>
      </w:r>
      <w:r w:rsidRPr="17CECF10">
        <w:rPr>
          <w:rFonts w:ascii="Segoe UI" w:hAnsi="Segoe UI" w:cs="Segoe UI"/>
          <w:szCs w:val="24"/>
        </w:rPr>
        <w:t xml:space="preserve">policy </w:t>
      </w:r>
      <w:r w:rsidR="5F06014E" w:rsidRPr="17CECF10">
        <w:rPr>
          <w:rFonts w:ascii="Segoe UI" w:hAnsi="Segoe UI" w:cs="Segoe UI"/>
          <w:szCs w:val="24"/>
        </w:rPr>
        <w:t xml:space="preserve">of setting </w:t>
      </w:r>
      <w:r w:rsidRPr="17CECF10">
        <w:rPr>
          <w:rFonts w:ascii="Segoe UI" w:hAnsi="Segoe UI" w:cs="Segoe UI"/>
          <w:szCs w:val="24"/>
        </w:rPr>
        <w:t>front-end fees below cost to foster innovation.</w:t>
      </w:r>
      <w:r w:rsidR="2171104A" w:rsidRPr="17CECF10">
        <w:rPr>
          <w:rFonts w:ascii="Segoe UI" w:hAnsi="Segoe UI" w:cs="Segoe UI"/>
          <w:szCs w:val="24"/>
        </w:rPr>
        <w:t xml:space="preserve"> </w:t>
      </w:r>
      <w:r w:rsidRPr="17CECF10">
        <w:rPr>
          <w:rFonts w:ascii="Segoe UI" w:hAnsi="Segoe UI" w:cs="Segoe UI"/>
          <w:szCs w:val="24"/>
        </w:rPr>
        <w:t>Setting basic utility patent application fees (i.e., filing, search, and examin</w:t>
      </w:r>
      <w:r w:rsidR="37E3BFF4" w:rsidRPr="17CECF10">
        <w:rPr>
          <w:rFonts w:ascii="Segoe UI" w:hAnsi="Segoe UI" w:cs="Segoe UI"/>
          <w:szCs w:val="24"/>
        </w:rPr>
        <w:t>ation) at cost ($</w:t>
      </w:r>
      <w:r w:rsidR="5F6998F5" w:rsidRPr="17CECF10">
        <w:rPr>
          <w:rFonts w:ascii="Segoe UI" w:hAnsi="Segoe UI" w:cs="Segoe UI"/>
          <w:szCs w:val="24"/>
        </w:rPr>
        <w:t>5</w:t>
      </w:r>
      <w:r w:rsidR="37E3BFF4" w:rsidRPr="17CECF10">
        <w:rPr>
          <w:rFonts w:ascii="Segoe UI" w:hAnsi="Segoe UI" w:cs="Segoe UI"/>
          <w:szCs w:val="24"/>
        </w:rPr>
        <w:t>,</w:t>
      </w:r>
      <w:r w:rsidR="5F6998F5" w:rsidRPr="17CECF10">
        <w:rPr>
          <w:rFonts w:ascii="Segoe UI" w:hAnsi="Segoe UI" w:cs="Segoe UI"/>
          <w:szCs w:val="24"/>
        </w:rPr>
        <w:t>7</w:t>
      </w:r>
      <w:r w:rsidR="5BC571F2" w:rsidRPr="17CECF10">
        <w:rPr>
          <w:rFonts w:ascii="Segoe UI" w:hAnsi="Segoe UI" w:cs="Segoe UI"/>
          <w:szCs w:val="24"/>
        </w:rPr>
        <w:t xml:space="preserve">80 </w:t>
      </w:r>
      <w:r w:rsidRPr="17CECF10">
        <w:rPr>
          <w:rFonts w:ascii="Segoe UI" w:hAnsi="Segoe UI" w:cs="Segoe UI"/>
          <w:szCs w:val="24"/>
        </w:rPr>
        <w:t xml:space="preserve">for </w:t>
      </w:r>
      <w:r w:rsidR="4A5808F3" w:rsidRPr="17CECF10">
        <w:rPr>
          <w:rFonts w:ascii="Segoe UI" w:hAnsi="Segoe UI" w:cs="Segoe UI"/>
          <w:szCs w:val="24"/>
        </w:rPr>
        <w:t>an undiscounted</w:t>
      </w:r>
      <w:r w:rsidRPr="17CECF10">
        <w:rPr>
          <w:rFonts w:ascii="Segoe UI" w:hAnsi="Segoe UI" w:cs="Segoe UI"/>
          <w:szCs w:val="24"/>
        </w:rPr>
        <w:t xml:space="preserve"> entity) would create barrier</w:t>
      </w:r>
      <w:r w:rsidR="0899E79D" w:rsidRPr="17CECF10">
        <w:rPr>
          <w:rFonts w:ascii="Segoe UI" w:hAnsi="Segoe UI" w:cs="Segoe UI"/>
          <w:szCs w:val="24"/>
        </w:rPr>
        <w:t>s</w:t>
      </w:r>
      <w:r w:rsidRPr="17CECF10">
        <w:rPr>
          <w:rFonts w:ascii="Segoe UI" w:hAnsi="Segoe UI" w:cs="Segoe UI"/>
          <w:szCs w:val="24"/>
        </w:rPr>
        <w:t xml:space="preserve"> </w:t>
      </w:r>
      <w:r w:rsidR="0899E79D" w:rsidRPr="17CECF10">
        <w:rPr>
          <w:rFonts w:ascii="Segoe UI" w:hAnsi="Segoe UI" w:cs="Segoe UI"/>
          <w:szCs w:val="24"/>
        </w:rPr>
        <w:t xml:space="preserve">to </w:t>
      </w:r>
      <w:r w:rsidRPr="17CECF10">
        <w:rPr>
          <w:rFonts w:ascii="Segoe UI" w:hAnsi="Segoe UI" w:cs="Segoe UI"/>
          <w:szCs w:val="24"/>
        </w:rPr>
        <w:t>entry into the patent system.</w:t>
      </w:r>
      <w:r w:rsidR="2171104A" w:rsidRPr="17CECF10">
        <w:rPr>
          <w:rFonts w:ascii="Segoe UI" w:hAnsi="Segoe UI" w:cs="Segoe UI"/>
          <w:szCs w:val="24"/>
        </w:rPr>
        <w:t xml:space="preserve"> </w:t>
      </w:r>
      <w:r w:rsidR="0BDA4ED7" w:rsidRPr="17CECF10">
        <w:rPr>
          <w:rFonts w:ascii="Segoe UI" w:hAnsi="Segoe UI" w:cs="Segoe UI"/>
          <w:szCs w:val="24"/>
        </w:rPr>
        <w:t xml:space="preserve">This fee could cause some </w:t>
      </w:r>
      <w:r w:rsidRPr="17CECF10">
        <w:rPr>
          <w:rFonts w:ascii="Segoe UI" w:hAnsi="Segoe UI" w:cs="Segoe UI"/>
          <w:szCs w:val="24"/>
        </w:rPr>
        <w:t xml:space="preserve">patent applicants—whether </w:t>
      </w:r>
      <w:r w:rsidR="4A5808F3" w:rsidRPr="17CECF10">
        <w:rPr>
          <w:rFonts w:ascii="Segoe UI" w:hAnsi="Segoe UI" w:cs="Segoe UI"/>
          <w:szCs w:val="24"/>
        </w:rPr>
        <w:t>undiscounted</w:t>
      </w:r>
      <w:r w:rsidRPr="17CECF10">
        <w:rPr>
          <w:rFonts w:ascii="Segoe UI" w:hAnsi="Segoe UI" w:cs="Segoe UI"/>
          <w:szCs w:val="24"/>
        </w:rPr>
        <w:t>, small, or micro entities—to completely forgo seeking patent protection.</w:t>
      </w:r>
      <w:r w:rsidR="2171104A" w:rsidRPr="17CECF10">
        <w:rPr>
          <w:rFonts w:ascii="Segoe UI" w:hAnsi="Segoe UI" w:cs="Segoe UI"/>
          <w:szCs w:val="24"/>
        </w:rPr>
        <w:t xml:space="preserve"> </w:t>
      </w:r>
      <w:r w:rsidRPr="17CECF10">
        <w:rPr>
          <w:rFonts w:ascii="Segoe UI" w:hAnsi="Segoe UI" w:cs="Segoe UI"/>
          <w:szCs w:val="24"/>
        </w:rPr>
        <w:t>As a result, this alternative has the largest reduction in public disclosure of information of all alternatives examined</w:t>
      </w:r>
      <w:r w:rsidR="0D1239F1" w:rsidRPr="17CECF10">
        <w:rPr>
          <w:rFonts w:ascii="Segoe UI" w:hAnsi="Segoe UI" w:cs="Segoe UI"/>
          <w:szCs w:val="24"/>
        </w:rPr>
        <w:t xml:space="preserve"> by the USPTO</w:t>
      </w:r>
      <w:r w:rsidRPr="17CECF10">
        <w:rPr>
          <w:rFonts w:ascii="Segoe UI" w:hAnsi="Segoe UI" w:cs="Segoe UI"/>
          <w:szCs w:val="24"/>
        </w:rPr>
        <w:t>.</w:t>
      </w:r>
      <w:r w:rsidR="2171104A" w:rsidRPr="17CECF10">
        <w:rPr>
          <w:rFonts w:ascii="Segoe UI" w:hAnsi="Segoe UI" w:cs="Segoe UI"/>
          <w:szCs w:val="24"/>
        </w:rPr>
        <w:t xml:space="preserve"> </w:t>
      </w:r>
      <w:r w:rsidRPr="17CECF10">
        <w:rPr>
          <w:rFonts w:ascii="Segoe UI" w:hAnsi="Segoe UI" w:cs="Segoe UI"/>
          <w:szCs w:val="24"/>
        </w:rPr>
        <w:t>The potential costs to society from reduced innovation include less or inefficient R&amp;D</w:t>
      </w:r>
      <w:r w:rsidR="02D8B6B7" w:rsidRPr="17CECF10">
        <w:rPr>
          <w:rFonts w:ascii="Segoe UI" w:hAnsi="Segoe UI" w:cs="Segoe UI"/>
          <w:szCs w:val="24"/>
        </w:rPr>
        <w:t>, lessening</w:t>
      </w:r>
      <w:r w:rsidRPr="17CECF10">
        <w:rPr>
          <w:rFonts w:ascii="Segoe UI" w:hAnsi="Segoe UI" w:cs="Segoe UI"/>
          <w:szCs w:val="24"/>
        </w:rPr>
        <w:t xml:space="preserve"> support </w:t>
      </w:r>
      <w:r w:rsidR="2374B459" w:rsidRPr="17CECF10">
        <w:rPr>
          <w:rFonts w:ascii="Segoe UI" w:hAnsi="Segoe UI" w:cs="Segoe UI"/>
          <w:szCs w:val="24"/>
        </w:rPr>
        <w:t xml:space="preserve">for </w:t>
      </w:r>
      <w:r w:rsidRPr="17CECF10">
        <w:rPr>
          <w:rFonts w:ascii="Segoe UI" w:hAnsi="Segoe UI" w:cs="Segoe UI"/>
          <w:szCs w:val="24"/>
        </w:rPr>
        <w:t xml:space="preserve">economic growth and </w:t>
      </w:r>
      <w:r w:rsidR="3089D4B3" w:rsidRPr="17CECF10">
        <w:rPr>
          <w:rFonts w:ascii="Segoe UI" w:hAnsi="Segoe UI" w:cs="Segoe UI"/>
          <w:szCs w:val="24"/>
        </w:rPr>
        <w:t xml:space="preserve">the creation of </w:t>
      </w:r>
      <w:r w:rsidRPr="17CECF10">
        <w:rPr>
          <w:rFonts w:ascii="Segoe UI" w:hAnsi="Segoe UI" w:cs="Segoe UI"/>
          <w:szCs w:val="24"/>
        </w:rPr>
        <w:t>high-paying jobs.</w:t>
      </w:r>
    </w:p>
    <w:p w14:paraId="3D653797" w14:textId="6A02AFDD" w:rsidR="00873D48" w:rsidRPr="00CF6436" w:rsidRDefault="33188010" w:rsidP="17CECF10">
      <w:pPr>
        <w:pStyle w:val="ListParagraph"/>
        <w:numPr>
          <w:ilvl w:val="0"/>
          <w:numId w:val="4"/>
        </w:numPr>
        <w:spacing w:line="360" w:lineRule="auto"/>
        <w:rPr>
          <w:rFonts w:ascii="Segoe UI" w:hAnsi="Segoe UI" w:cs="Segoe UI"/>
          <w:szCs w:val="24"/>
        </w:rPr>
      </w:pPr>
      <w:r w:rsidRPr="17CECF10">
        <w:rPr>
          <w:rFonts w:ascii="Segoe UI" w:hAnsi="Segoe UI" w:cs="Segoe UI"/>
          <w:b/>
          <w:bCs/>
          <w:szCs w:val="24"/>
        </w:rPr>
        <w:t>Request for Continued Examination</w:t>
      </w:r>
      <w:r w:rsidR="3A5CC982" w:rsidRPr="17CECF10">
        <w:rPr>
          <w:rFonts w:ascii="Segoe UI" w:hAnsi="Segoe UI" w:cs="Segoe UI"/>
          <w:b/>
          <w:bCs/>
          <w:szCs w:val="24"/>
        </w:rPr>
        <w:t>:</w:t>
      </w:r>
      <w:r w:rsidR="75DDF123" w:rsidRPr="17CECF10">
        <w:rPr>
          <w:rFonts w:ascii="Segoe UI" w:hAnsi="Segoe UI" w:cs="Segoe UI"/>
          <w:b/>
          <w:bCs/>
          <w:i/>
          <w:iCs/>
          <w:szCs w:val="24"/>
        </w:rPr>
        <w:t xml:space="preserve"> </w:t>
      </w:r>
      <w:r w:rsidR="00DD240F" w:rsidRPr="17CECF10">
        <w:rPr>
          <w:rFonts w:ascii="Segoe UI" w:hAnsi="Segoe UI" w:cs="Segoe UI"/>
          <w:szCs w:val="24"/>
        </w:rPr>
        <w:t>An applicant may file an RCE if prosecution in an application is closed (e.g.,</w:t>
      </w:r>
      <w:r w:rsidR="45607E0A" w:rsidRPr="17CECF10">
        <w:rPr>
          <w:rFonts w:ascii="Segoe UI" w:hAnsi="Segoe UI" w:cs="Segoe UI"/>
          <w:szCs w:val="24"/>
        </w:rPr>
        <w:t xml:space="preserve"> the USPTO has mailed</w:t>
      </w:r>
      <w:r w:rsidR="00DD240F" w:rsidRPr="17CECF10">
        <w:rPr>
          <w:rFonts w:ascii="Segoe UI" w:hAnsi="Segoe UI" w:cs="Segoe UI"/>
          <w:szCs w:val="24"/>
        </w:rPr>
        <w:t xml:space="preserve"> a final rejection). Applicants typically file an RCE when they choose to continue to prosecute an application before </w:t>
      </w:r>
      <w:r w:rsidRPr="17CECF10">
        <w:rPr>
          <w:rFonts w:ascii="Segoe UI" w:hAnsi="Segoe UI" w:cs="Segoe UI"/>
          <w:szCs w:val="24"/>
        </w:rPr>
        <w:t>the</w:t>
      </w:r>
      <w:r w:rsidR="00DD240F" w:rsidRPr="17CECF10">
        <w:rPr>
          <w:rFonts w:ascii="Segoe UI" w:hAnsi="Segoe UI" w:cs="Segoe UI"/>
          <w:szCs w:val="24"/>
        </w:rPr>
        <w:t xml:space="preserve"> examiner rather than appeal a rejection or abandon the application</w:t>
      </w:r>
      <w:r w:rsidR="3A5CC982" w:rsidRPr="17CECF10">
        <w:rPr>
          <w:rFonts w:ascii="Segoe UI" w:hAnsi="Segoe UI" w:cs="Segoe UI"/>
          <w:szCs w:val="24"/>
        </w:rPr>
        <w:t>.</w:t>
      </w:r>
      <w:r w:rsidR="75DDF123" w:rsidRPr="17CECF10">
        <w:rPr>
          <w:rFonts w:ascii="Segoe UI" w:hAnsi="Segoe UI" w:cs="Segoe UI"/>
          <w:szCs w:val="24"/>
        </w:rPr>
        <w:t xml:space="preserve"> </w:t>
      </w:r>
      <w:r w:rsidR="4AC9B294" w:rsidRPr="17CECF10">
        <w:rPr>
          <w:rFonts w:ascii="Segoe UI" w:hAnsi="Segoe UI" w:cs="Segoe UI"/>
          <w:szCs w:val="24"/>
        </w:rPr>
        <w:t xml:space="preserve">Under </w:t>
      </w:r>
      <w:r w:rsidR="3CE36FD5" w:rsidRPr="17CECF10">
        <w:rPr>
          <w:rFonts w:ascii="Segoe UI" w:hAnsi="Segoe UI" w:cs="Segoe UI"/>
          <w:szCs w:val="24"/>
        </w:rPr>
        <w:t xml:space="preserve">the Unit Cost Recovery alternative, </w:t>
      </w:r>
      <w:r w:rsidR="4AC9B294" w:rsidRPr="17CECF10">
        <w:rPr>
          <w:rFonts w:ascii="Segoe UI" w:hAnsi="Segoe UI" w:cs="Segoe UI"/>
          <w:szCs w:val="24"/>
        </w:rPr>
        <w:t>the fee for the first RCE ($</w:t>
      </w:r>
      <w:r w:rsidR="00DD240F" w:rsidRPr="17CECF10">
        <w:rPr>
          <w:rFonts w:ascii="Segoe UI" w:hAnsi="Segoe UI" w:cs="Segoe UI"/>
          <w:szCs w:val="24"/>
        </w:rPr>
        <w:t>3</w:t>
      </w:r>
      <w:r w:rsidR="4AC9B294" w:rsidRPr="17CECF10">
        <w:rPr>
          <w:rFonts w:ascii="Segoe UI" w:hAnsi="Segoe UI" w:cs="Segoe UI"/>
          <w:szCs w:val="24"/>
        </w:rPr>
        <w:t>,</w:t>
      </w:r>
      <w:r w:rsidR="00DD240F" w:rsidRPr="17CECF10">
        <w:rPr>
          <w:rFonts w:ascii="Segoe UI" w:hAnsi="Segoe UI" w:cs="Segoe UI"/>
          <w:szCs w:val="24"/>
        </w:rPr>
        <w:t>06</w:t>
      </w:r>
      <w:r w:rsidR="4AC9B294" w:rsidRPr="17CECF10">
        <w:rPr>
          <w:rFonts w:ascii="Segoe UI" w:hAnsi="Segoe UI" w:cs="Segoe UI"/>
          <w:szCs w:val="24"/>
        </w:rPr>
        <w:t>0) could limit access to this service.</w:t>
      </w:r>
      <w:r w:rsidR="75DDF123" w:rsidRPr="17CECF10">
        <w:rPr>
          <w:rFonts w:ascii="Segoe UI" w:hAnsi="Segoe UI" w:cs="Segoe UI"/>
          <w:szCs w:val="24"/>
        </w:rPr>
        <w:t xml:space="preserve"> </w:t>
      </w:r>
      <w:r w:rsidR="3A5CC982" w:rsidRPr="17CECF10">
        <w:rPr>
          <w:rFonts w:ascii="Segoe UI" w:hAnsi="Segoe UI" w:cs="Segoe UI"/>
          <w:szCs w:val="24"/>
        </w:rPr>
        <w:t xml:space="preserve">Given the full cost of basic utility application fees, this higher RCE fee </w:t>
      </w:r>
      <w:r w:rsidR="6F18C01B" w:rsidRPr="17CECF10">
        <w:rPr>
          <w:rFonts w:ascii="Segoe UI" w:hAnsi="Segoe UI" w:cs="Segoe UI"/>
          <w:szCs w:val="24"/>
        </w:rPr>
        <w:t xml:space="preserve">could </w:t>
      </w:r>
      <w:r w:rsidR="3A5CC982" w:rsidRPr="17CECF10">
        <w:rPr>
          <w:rFonts w:ascii="Segoe UI" w:hAnsi="Segoe UI" w:cs="Segoe UI"/>
          <w:szCs w:val="24"/>
        </w:rPr>
        <w:t>have significant adverse impact</w:t>
      </w:r>
      <w:r w:rsidR="6F18C01B" w:rsidRPr="17CECF10">
        <w:rPr>
          <w:rFonts w:ascii="Segoe UI" w:hAnsi="Segoe UI" w:cs="Segoe UI"/>
          <w:szCs w:val="24"/>
        </w:rPr>
        <w:t>s</w:t>
      </w:r>
      <w:r w:rsidR="3A5CC982" w:rsidRPr="17CECF10">
        <w:rPr>
          <w:rFonts w:ascii="Segoe UI" w:hAnsi="Segoe UI" w:cs="Segoe UI"/>
          <w:szCs w:val="24"/>
        </w:rPr>
        <w:t xml:space="preserve"> on applicants, especially those with the fewest resources (e.g., small and micro entities).</w:t>
      </w:r>
      <w:r w:rsidR="75DDF123" w:rsidRPr="17CECF10">
        <w:rPr>
          <w:rFonts w:ascii="Segoe UI" w:hAnsi="Segoe UI" w:cs="Segoe UI"/>
          <w:szCs w:val="24"/>
        </w:rPr>
        <w:t xml:space="preserve"> </w:t>
      </w:r>
      <w:r w:rsidR="3A5CC982" w:rsidRPr="17CECF10">
        <w:rPr>
          <w:rFonts w:ascii="Segoe UI" w:hAnsi="Segoe UI" w:cs="Segoe UI"/>
          <w:szCs w:val="24"/>
        </w:rPr>
        <w:t xml:space="preserve">Setting all RCE fees at cost recovery is contrary to the </w:t>
      </w:r>
      <w:r w:rsidR="306DBD4F" w:rsidRPr="17CECF10">
        <w:rPr>
          <w:rFonts w:ascii="Segoe UI" w:hAnsi="Segoe UI" w:cs="Segoe UI"/>
          <w:szCs w:val="24"/>
        </w:rPr>
        <w:t xml:space="preserve">USPTO’s </w:t>
      </w:r>
      <w:r w:rsidR="3A5CC982" w:rsidRPr="17CECF10">
        <w:rPr>
          <w:rFonts w:ascii="Segoe UI" w:hAnsi="Segoe UI" w:cs="Segoe UI"/>
          <w:szCs w:val="24"/>
        </w:rPr>
        <w:t xml:space="preserve">fee setting policy factors of </w:t>
      </w:r>
      <w:r w:rsidR="4E71889E" w:rsidRPr="17CECF10">
        <w:rPr>
          <w:rFonts w:ascii="Segoe UI" w:hAnsi="Segoe UI" w:cs="Segoe UI"/>
          <w:szCs w:val="24"/>
        </w:rPr>
        <w:t xml:space="preserve">promoting </w:t>
      </w:r>
      <w:r w:rsidR="3A5CC982" w:rsidRPr="17CECF10">
        <w:rPr>
          <w:rFonts w:ascii="Segoe UI" w:hAnsi="Segoe UI" w:cs="Segoe UI"/>
          <w:szCs w:val="24"/>
        </w:rPr>
        <w:t xml:space="preserve">innovation </w:t>
      </w:r>
      <w:r w:rsidR="4E71889E" w:rsidRPr="17CECF10">
        <w:rPr>
          <w:rFonts w:ascii="Segoe UI" w:hAnsi="Segoe UI" w:cs="Segoe UI"/>
          <w:szCs w:val="24"/>
        </w:rPr>
        <w:lastRenderedPageBreak/>
        <w:t xml:space="preserve">strategies </w:t>
      </w:r>
      <w:r w:rsidR="3A5CC982" w:rsidRPr="17CECF10">
        <w:rPr>
          <w:rFonts w:ascii="Segoe UI" w:hAnsi="Segoe UI" w:cs="Segoe UI"/>
          <w:szCs w:val="24"/>
        </w:rPr>
        <w:t>and offering patent prosecution options for applicants</w:t>
      </w:r>
      <w:r w:rsidR="306DBD4F" w:rsidRPr="17CECF10">
        <w:rPr>
          <w:rFonts w:ascii="Segoe UI" w:hAnsi="Segoe UI" w:cs="Segoe UI"/>
          <w:szCs w:val="24"/>
        </w:rPr>
        <w:t xml:space="preserve">, as it </w:t>
      </w:r>
      <w:r w:rsidR="3A5CC982" w:rsidRPr="17CECF10">
        <w:rPr>
          <w:rFonts w:ascii="Segoe UI" w:hAnsi="Segoe UI" w:cs="Segoe UI"/>
          <w:szCs w:val="24"/>
        </w:rPr>
        <w:t xml:space="preserve">would increase costs when an applicant has less information about the </w:t>
      </w:r>
      <w:r w:rsidR="306DBD4F" w:rsidRPr="17CECF10">
        <w:rPr>
          <w:rFonts w:ascii="Segoe UI" w:hAnsi="Segoe UI" w:cs="Segoe UI"/>
          <w:szCs w:val="24"/>
        </w:rPr>
        <w:t xml:space="preserve">relative </w:t>
      </w:r>
      <w:r w:rsidR="3A5CC982" w:rsidRPr="17CECF10">
        <w:rPr>
          <w:rFonts w:ascii="Segoe UI" w:hAnsi="Segoe UI" w:cs="Segoe UI"/>
          <w:szCs w:val="24"/>
        </w:rPr>
        <w:t xml:space="preserve">value of </w:t>
      </w:r>
      <w:r w:rsidR="7A22AB38" w:rsidRPr="17CECF10">
        <w:rPr>
          <w:rFonts w:ascii="Segoe UI" w:hAnsi="Segoe UI" w:cs="Segoe UI"/>
          <w:szCs w:val="24"/>
        </w:rPr>
        <w:t>their</w:t>
      </w:r>
      <w:r w:rsidR="63EE5494" w:rsidRPr="17CECF10">
        <w:rPr>
          <w:rFonts w:ascii="Segoe UI" w:hAnsi="Segoe UI" w:cs="Segoe UI"/>
          <w:szCs w:val="24"/>
        </w:rPr>
        <w:t xml:space="preserve"> </w:t>
      </w:r>
      <w:r w:rsidR="3A5CC982" w:rsidRPr="17CECF10">
        <w:rPr>
          <w:rFonts w:ascii="Segoe UI" w:hAnsi="Segoe UI" w:cs="Segoe UI"/>
          <w:szCs w:val="24"/>
        </w:rPr>
        <w:t>invention.</w:t>
      </w:r>
    </w:p>
    <w:p w14:paraId="32371F77" w14:textId="7BBFFFEC" w:rsidR="0086407D" w:rsidRPr="00CF6436" w:rsidRDefault="0ABEFF6B" w:rsidP="17CECF10">
      <w:pPr>
        <w:pStyle w:val="ListParagraph"/>
        <w:numPr>
          <w:ilvl w:val="0"/>
          <w:numId w:val="4"/>
        </w:numPr>
        <w:spacing w:line="360" w:lineRule="auto"/>
        <w:rPr>
          <w:rFonts w:ascii="Segoe UI" w:hAnsi="Segoe UI" w:cs="Segoe UI"/>
          <w:szCs w:val="24"/>
        </w:rPr>
      </w:pPr>
      <w:r w:rsidRPr="17CECF10">
        <w:rPr>
          <w:rFonts w:ascii="Segoe UI" w:hAnsi="Segoe UI" w:cs="Segoe UI"/>
          <w:b/>
          <w:bCs/>
          <w:szCs w:val="24"/>
        </w:rPr>
        <w:t>Appeal Fees:</w:t>
      </w:r>
      <w:r w:rsidR="2171104A" w:rsidRPr="17CECF10">
        <w:rPr>
          <w:rFonts w:ascii="Segoe UI" w:hAnsi="Segoe UI" w:cs="Segoe UI"/>
          <w:b/>
          <w:bCs/>
          <w:i/>
          <w:iCs/>
          <w:szCs w:val="24"/>
        </w:rPr>
        <w:t xml:space="preserve"> </w:t>
      </w:r>
      <w:r w:rsidR="50226DC5" w:rsidRPr="17CECF10">
        <w:rPr>
          <w:rFonts w:ascii="Segoe UI" w:hAnsi="Segoe UI" w:cs="Segoe UI"/>
          <w:szCs w:val="24"/>
        </w:rPr>
        <w:t xml:space="preserve">Under </w:t>
      </w:r>
      <w:r w:rsidR="306DBD4F" w:rsidRPr="17CECF10">
        <w:rPr>
          <w:rFonts w:ascii="Segoe UI" w:hAnsi="Segoe UI" w:cs="Segoe UI"/>
          <w:szCs w:val="24"/>
        </w:rPr>
        <w:t xml:space="preserve">the Unit Cost Recovery alternative, </w:t>
      </w:r>
      <w:r w:rsidR="4A5808F3" w:rsidRPr="17CECF10">
        <w:rPr>
          <w:rFonts w:ascii="Segoe UI" w:hAnsi="Segoe UI" w:cs="Segoe UI"/>
          <w:szCs w:val="24"/>
        </w:rPr>
        <w:t>undiscounted</w:t>
      </w:r>
      <w:r w:rsidRPr="17CECF10">
        <w:rPr>
          <w:rFonts w:ascii="Segoe UI" w:hAnsi="Segoe UI" w:cs="Segoe UI"/>
          <w:szCs w:val="24"/>
        </w:rPr>
        <w:t xml:space="preserve"> fees paid upon filing a notice of appeal and forward</w:t>
      </w:r>
      <w:r w:rsidR="2128F92A" w:rsidRPr="17CECF10">
        <w:rPr>
          <w:rFonts w:ascii="Segoe UI" w:hAnsi="Segoe UI" w:cs="Segoe UI"/>
          <w:szCs w:val="24"/>
        </w:rPr>
        <w:t>ing</w:t>
      </w:r>
      <w:r w:rsidRPr="17CECF10">
        <w:rPr>
          <w:rFonts w:ascii="Segoe UI" w:hAnsi="Segoe UI" w:cs="Segoe UI"/>
          <w:szCs w:val="24"/>
        </w:rPr>
        <w:t xml:space="preserve"> it to the </w:t>
      </w:r>
      <w:r w:rsidR="43C941DA" w:rsidRPr="17CECF10">
        <w:rPr>
          <w:rFonts w:ascii="Segoe UI" w:hAnsi="Segoe UI" w:cs="Segoe UI"/>
          <w:szCs w:val="24"/>
        </w:rPr>
        <w:t>PTAB</w:t>
      </w:r>
      <w:r w:rsidRPr="17CECF10">
        <w:rPr>
          <w:rFonts w:ascii="Segoe UI" w:hAnsi="Segoe UI" w:cs="Segoe UI"/>
          <w:szCs w:val="24"/>
        </w:rPr>
        <w:t xml:space="preserve"> </w:t>
      </w:r>
      <w:r w:rsidR="6829B0D1" w:rsidRPr="17CECF10">
        <w:rPr>
          <w:rFonts w:ascii="Segoe UI" w:hAnsi="Segoe UI" w:cs="Segoe UI"/>
          <w:szCs w:val="24"/>
        </w:rPr>
        <w:t xml:space="preserve">would increase to </w:t>
      </w:r>
      <w:r w:rsidRPr="17CECF10">
        <w:rPr>
          <w:rFonts w:ascii="Segoe UI" w:hAnsi="Segoe UI" w:cs="Segoe UI"/>
          <w:szCs w:val="24"/>
        </w:rPr>
        <w:t>$</w:t>
      </w:r>
      <w:r w:rsidR="22D1EE95" w:rsidRPr="17CECF10">
        <w:rPr>
          <w:rFonts w:ascii="Segoe UI" w:hAnsi="Segoe UI" w:cs="Segoe UI"/>
          <w:szCs w:val="24"/>
        </w:rPr>
        <w:t>8</w:t>
      </w:r>
      <w:r w:rsidR="109EC21B" w:rsidRPr="17CECF10">
        <w:rPr>
          <w:rFonts w:ascii="Segoe UI" w:hAnsi="Segoe UI" w:cs="Segoe UI"/>
          <w:szCs w:val="24"/>
        </w:rPr>
        <w:t>,</w:t>
      </w:r>
      <w:r w:rsidR="22D1EE95" w:rsidRPr="17CECF10">
        <w:rPr>
          <w:rFonts w:ascii="Segoe UI" w:hAnsi="Segoe UI" w:cs="Segoe UI"/>
          <w:szCs w:val="24"/>
        </w:rPr>
        <w:t>8</w:t>
      </w:r>
      <w:r w:rsidR="1E5AFCC2" w:rsidRPr="17CECF10">
        <w:rPr>
          <w:rFonts w:ascii="Segoe UI" w:hAnsi="Segoe UI" w:cs="Segoe UI"/>
          <w:szCs w:val="24"/>
        </w:rPr>
        <w:t>00</w:t>
      </w:r>
      <w:r w:rsidR="22D1EE95" w:rsidRPr="17CECF10">
        <w:rPr>
          <w:rFonts w:ascii="Segoe UI" w:hAnsi="Segoe UI" w:cs="Segoe UI"/>
          <w:szCs w:val="24"/>
        </w:rPr>
        <w:t xml:space="preserve">, a 175% increase over the </w:t>
      </w:r>
      <w:r w:rsidR="2128F92A" w:rsidRPr="17CECF10">
        <w:rPr>
          <w:rFonts w:ascii="Segoe UI" w:hAnsi="Segoe UI" w:cs="Segoe UI"/>
          <w:szCs w:val="24"/>
        </w:rPr>
        <w:t>B</w:t>
      </w:r>
      <w:r w:rsidR="22D1EE95" w:rsidRPr="17CECF10">
        <w:rPr>
          <w:rFonts w:ascii="Segoe UI" w:hAnsi="Segoe UI" w:cs="Segoe UI"/>
          <w:szCs w:val="24"/>
        </w:rPr>
        <w:t>a</w:t>
      </w:r>
      <w:r w:rsidR="4AEB2DF0" w:rsidRPr="17CECF10">
        <w:rPr>
          <w:rFonts w:ascii="Segoe UI" w:hAnsi="Segoe UI" w:cs="Segoe UI"/>
          <w:szCs w:val="24"/>
        </w:rPr>
        <w:t>s</w:t>
      </w:r>
      <w:r w:rsidR="22D1EE95" w:rsidRPr="17CECF10">
        <w:rPr>
          <w:rFonts w:ascii="Segoe UI" w:hAnsi="Segoe UI" w:cs="Segoe UI"/>
          <w:szCs w:val="24"/>
        </w:rPr>
        <w:t xml:space="preserve">eline fee </w:t>
      </w:r>
      <w:r w:rsidR="5D933C79" w:rsidRPr="17CECF10">
        <w:rPr>
          <w:rFonts w:ascii="Segoe UI" w:hAnsi="Segoe UI" w:cs="Segoe UI"/>
          <w:szCs w:val="24"/>
        </w:rPr>
        <w:t>of</w:t>
      </w:r>
      <w:r w:rsidR="22D1EE95" w:rsidRPr="17CECF10">
        <w:rPr>
          <w:rFonts w:ascii="Segoe UI" w:hAnsi="Segoe UI" w:cs="Segoe UI"/>
          <w:szCs w:val="24"/>
        </w:rPr>
        <w:t xml:space="preserve"> $3,200</w:t>
      </w:r>
      <w:r w:rsidR="11996869" w:rsidRPr="17CECF10">
        <w:rPr>
          <w:rFonts w:ascii="Segoe UI" w:hAnsi="Segoe UI" w:cs="Segoe UI"/>
          <w:szCs w:val="24"/>
        </w:rPr>
        <w:t>. This increase</w:t>
      </w:r>
      <w:r w:rsidR="22D1EE95" w:rsidRPr="17CECF10">
        <w:rPr>
          <w:rFonts w:ascii="Segoe UI" w:hAnsi="Segoe UI" w:cs="Segoe UI"/>
          <w:szCs w:val="24"/>
        </w:rPr>
        <w:t xml:space="preserve"> </w:t>
      </w:r>
      <w:r w:rsidRPr="17CECF10">
        <w:rPr>
          <w:rFonts w:ascii="Segoe UI" w:hAnsi="Segoe UI" w:cs="Segoe UI"/>
          <w:szCs w:val="24"/>
        </w:rPr>
        <w:t xml:space="preserve">would create a </w:t>
      </w:r>
      <w:r w:rsidR="22D1EE95" w:rsidRPr="17CECF10">
        <w:rPr>
          <w:rFonts w:ascii="Segoe UI" w:hAnsi="Segoe UI" w:cs="Segoe UI"/>
          <w:szCs w:val="24"/>
        </w:rPr>
        <w:t xml:space="preserve">significant </w:t>
      </w:r>
      <w:r w:rsidRPr="17CECF10">
        <w:rPr>
          <w:rFonts w:ascii="Segoe UI" w:hAnsi="Segoe UI" w:cs="Segoe UI"/>
          <w:szCs w:val="24"/>
        </w:rPr>
        <w:t xml:space="preserve">barrier to </w:t>
      </w:r>
      <w:r w:rsidR="06E4B9E9" w:rsidRPr="17CECF10">
        <w:rPr>
          <w:rFonts w:ascii="Segoe UI" w:hAnsi="Segoe UI" w:cs="Segoe UI"/>
          <w:szCs w:val="24"/>
        </w:rPr>
        <w:t xml:space="preserve">applicants </w:t>
      </w:r>
      <w:r w:rsidRPr="17CECF10">
        <w:rPr>
          <w:rFonts w:ascii="Segoe UI" w:hAnsi="Segoe UI" w:cs="Segoe UI"/>
          <w:szCs w:val="24"/>
        </w:rPr>
        <w:t xml:space="preserve">using this service and </w:t>
      </w:r>
      <w:r w:rsidR="06E4B9E9" w:rsidRPr="17CECF10">
        <w:rPr>
          <w:rFonts w:ascii="Segoe UI" w:hAnsi="Segoe UI" w:cs="Segoe UI"/>
          <w:szCs w:val="24"/>
        </w:rPr>
        <w:t xml:space="preserve">hinder </w:t>
      </w:r>
      <w:r w:rsidRPr="17CECF10">
        <w:rPr>
          <w:rFonts w:ascii="Segoe UI" w:hAnsi="Segoe UI" w:cs="Segoe UI"/>
          <w:szCs w:val="24"/>
        </w:rPr>
        <w:t>innovation</w:t>
      </w:r>
      <w:r w:rsidR="00DAF1DA" w:rsidRPr="17CECF10">
        <w:rPr>
          <w:rFonts w:ascii="Segoe UI" w:hAnsi="Segoe UI" w:cs="Segoe UI"/>
          <w:szCs w:val="24"/>
        </w:rPr>
        <w:t>,</w:t>
      </w:r>
      <w:r w:rsidR="1E5AFCC2" w:rsidRPr="17CECF10">
        <w:rPr>
          <w:rFonts w:ascii="Segoe UI" w:hAnsi="Segoe UI" w:cs="Segoe UI"/>
          <w:szCs w:val="24"/>
        </w:rPr>
        <w:t xml:space="preserve"> since appeal processes help ensure high standards for patent examination by acting as an additional review of the merits</w:t>
      </w:r>
      <w:r w:rsidR="3089D4B3" w:rsidRPr="17CECF10">
        <w:rPr>
          <w:rFonts w:ascii="Segoe UI" w:hAnsi="Segoe UI" w:cs="Segoe UI"/>
          <w:szCs w:val="24"/>
        </w:rPr>
        <w:t xml:space="preserve"> of a patent application</w:t>
      </w:r>
      <w:r w:rsidRPr="17CECF10">
        <w:rPr>
          <w:rFonts w:ascii="Segoe UI" w:hAnsi="Segoe UI" w:cs="Segoe UI"/>
          <w:szCs w:val="24"/>
        </w:rPr>
        <w:t>.</w:t>
      </w:r>
    </w:p>
    <w:p w14:paraId="43E927BF" w14:textId="4F7AA5EC" w:rsidR="0086407D" w:rsidRPr="00CF6436" w:rsidRDefault="0ABEFF6B" w:rsidP="17CECF10">
      <w:pPr>
        <w:pStyle w:val="ListParagraph"/>
        <w:numPr>
          <w:ilvl w:val="0"/>
          <w:numId w:val="4"/>
        </w:numPr>
        <w:spacing w:line="360" w:lineRule="auto"/>
        <w:rPr>
          <w:rFonts w:ascii="Segoe UI" w:hAnsi="Segoe UI" w:cs="Segoe UI"/>
          <w:szCs w:val="24"/>
        </w:rPr>
      </w:pPr>
      <w:r w:rsidRPr="17CECF10">
        <w:rPr>
          <w:rFonts w:ascii="Segoe UI" w:hAnsi="Segoe UI" w:cs="Segoe UI"/>
          <w:b/>
          <w:bCs/>
          <w:szCs w:val="24"/>
        </w:rPr>
        <w:t xml:space="preserve">Ex </w:t>
      </w:r>
      <w:proofErr w:type="spellStart"/>
      <w:r w:rsidRPr="17CECF10">
        <w:rPr>
          <w:rFonts w:ascii="Segoe UI" w:hAnsi="Segoe UI" w:cs="Segoe UI"/>
          <w:b/>
          <w:bCs/>
          <w:szCs w:val="24"/>
        </w:rPr>
        <w:t>Parte</w:t>
      </w:r>
      <w:proofErr w:type="spellEnd"/>
      <w:r w:rsidRPr="17CECF10">
        <w:rPr>
          <w:rFonts w:ascii="Segoe UI" w:hAnsi="Segoe UI" w:cs="Segoe UI"/>
          <w:b/>
          <w:bCs/>
          <w:szCs w:val="24"/>
        </w:rPr>
        <w:t xml:space="preserve"> Reexamination</w:t>
      </w:r>
      <w:r w:rsidR="667C8CB2" w:rsidRPr="17CECF10">
        <w:rPr>
          <w:rFonts w:ascii="Segoe UI" w:hAnsi="Segoe UI" w:cs="Segoe UI"/>
          <w:b/>
          <w:bCs/>
          <w:szCs w:val="24"/>
        </w:rPr>
        <w:t xml:space="preserve"> and</w:t>
      </w:r>
      <w:r w:rsidRPr="17CECF10">
        <w:rPr>
          <w:rFonts w:ascii="Segoe UI" w:hAnsi="Segoe UI" w:cs="Segoe UI"/>
          <w:b/>
          <w:bCs/>
          <w:szCs w:val="24"/>
        </w:rPr>
        <w:t xml:space="preserve"> Supplemental Examination:</w:t>
      </w:r>
      <w:r w:rsidR="2171104A" w:rsidRPr="17CECF10">
        <w:rPr>
          <w:rFonts w:ascii="Segoe UI" w:hAnsi="Segoe UI" w:cs="Segoe UI"/>
          <w:b/>
          <w:bCs/>
          <w:i/>
          <w:iCs/>
          <w:szCs w:val="24"/>
        </w:rPr>
        <w:t xml:space="preserve"> </w:t>
      </w:r>
      <w:r w:rsidR="1CBB3094" w:rsidRPr="17CECF10">
        <w:rPr>
          <w:rFonts w:ascii="Segoe UI" w:hAnsi="Segoe UI" w:cs="Segoe UI"/>
          <w:szCs w:val="24"/>
        </w:rPr>
        <w:t>These procedures permit certain art-based challenges to be made against issued patents</w:t>
      </w:r>
      <w:r w:rsidRPr="17CECF10">
        <w:rPr>
          <w:rFonts w:ascii="Segoe UI" w:hAnsi="Segoe UI" w:cs="Segoe UI"/>
          <w:szCs w:val="24"/>
        </w:rPr>
        <w:t>.</w:t>
      </w:r>
      <w:r w:rsidR="2171104A" w:rsidRPr="17CECF10">
        <w:rPr>
          <w:rFonts w:ascii="Segoe UI" w:hAnsi="Segoe UI" w:cs="Segoe UI"/>
          <w:szCs w:val="24"/>
        </w:rPr>
        <w:t xml:space="preserve"> </w:t>
      </w:r>
      <w:r w:rsidRPr="17CECF10">
        <w:rPr>
          <w:rFonts w:ascii="Segoe UI" w:hAnsi="Segoe UI" w:cs="Segoe UI"/>
          <w:szCs w:val="24"/>
        </w:rPr>
        <w:t>The</w:t>
      </w:r>
      <w:r w:rsidR="43C941DA" w:rsidRPr="17CECF10">
        <w:rPr>
          <w:rFonts w:ascii="Segoe UI" w:hAnsi="Segoe UI" w:cs="Segoe UI"/>
          <w:szCs w:val="24"/>
        </w:rPr>
        <w:t>se</w:t>
      </w:r>
      <w:r w:rsidRPr="17CECF10">
        <w:rPr>
          <w:rFonts w:ascii="Segoe UI" w:hAnsi="Segoe UI" w:cs="Segoe UI"/>
          <w:szCs w:val="24"/>
        </w:rPr>
        <w:t xml:space="preserve"> services are highly specialized, and the costs for performing them are significant.</w:t>
      </w:r>
      <w:r w:rsidR="399C8CB9" w:rsidRPr="17CECF10">
        <w:rPr>
          <w:rFonts w:ascii="Segoe UI" w:hAnsi="Segoe UI" w:cs="Segoe UI"/>
          <w:szCs w:val="24"/>
        </w:rPr>
        <w:t xml:space="preserve"> Under th</w:t>
      </w:r>
      <w:r w:rsidR="00731C7B" w:rsidRPr="17CECF10">
        <w:rPr>
          <w:rFonts w:ascii="Segoe UI" w:hAnsi="Segoe UI" w:cs="Segoe UI"/>
          <w:szCs w:val="24"/>
        </w:rPr>
        <w:t>e Unit Cost Recovery</w:t>
      </w:r>
      <w:r w:rsidR="399C8CB9" w:rsidRPr="17CECF10">
        <w:rPr>
          <w:rFonts w:ascii="Segoe UI" w:hAnsi="Segoe UI" w:cs="Segoe UI"/>
          <w:szCs w:val="24"/>
        </w:rPr>
        <w:t xml:space="preserve"> alternative, the fee for an </w:t>
      </w:r>
      <w:r w:rsidR="00731C7B" w:rsidRPr="17CECF10">
        <w:rPr>
          <w:rFonts w:ascii="Segoe UI" w:hAnsi="Segoe UI" w:cs="Segoe UI"/>
          <w:szCs w:val="24"/>
        </w:rPr>
        <w:t>e</w:t>
      </w:r>
      <w:r w:rsidR="399C8CB9" w:rsidRPr="17CECF10">
        <w:rPr>
          <w:rFonts w:ascii="Segoe UI" w:hAnsi="Segoe UI" w:cs="Segoe UI"/>
          <w:szCs w:val="24"/>
        </w:rPr>
        <w:t xml:space="preserve">x </w:t>
      </w:r>
      <w:proofErr w:type="spellStart"/>
      <w:r w:rsidR="399C8CB9" w:rsidRPr="17CECF10">
        <w:rPr>
          <w:rFonts w:ascii="Segoe UI" w:hAnsi="Segoe UI" w:cs="Segoe UI"/>
          <w:szCs w:val="24"/>
        </w:rPr>
        <w:t>parte</w:t>
      </w:r>
      <w:proofErr w:type="spellEnd"/>
      <w:r w:rsidR="399C8CB9" w:rsidRPr="17CECF10">
        <w:rPr>
          <w:rFonts w:ascii="Segoe UI" w:hAnsi="Segoe UI" w:cs="Segoe UI"/>
          <w:szCs w:val="24"/>
        </w:rPr>
        <w:t xml:space="preserve"> reexamination (§1.510(a)) non</w:t>
      </w:r>
      <w:r w:rsidR="3089D4B3" w:rsidRPr="17CECF10">
        <w:rPr>
          <w:rFonts w:ascii="Segoe UI" w:hAnsi="Segoe UI" w:cs="Segoe UI"/>
          <w:szCs w:val="24"/>
        </w:rPr>
        <w:t>-</w:t>
      </w:r>
      <w:r w:rsidR="399C8CB9" w:rsidRPr="17CECF10">
        <w:rPr>
          <w:rFonts w:ascii="Segoe UI" w:hAnsi="Segoe UI" w:cs="Segoe UI"/>
          <w:szCs w:val="24"/>
        </w:rPr>
        <w:t xml:space="preserve">streamlined would </w:t>
      </w:r>
      <w:r w:rsidR="75E41649" w:rsidRPr="17CECF10">
        <w:rPr>
          <w:rFonts w:ascii="Segoe UI" w:hAnsi="Segoe UI" w:cs="Segoe UI"/>
          <w:szCs w:val="24"/>
        </w:rPr>
        <w:t>b</w:t>
      </w:r>
      <w:r w:rsidR="399C8CB9" w:rsidRPr="17CECF10">
        <w:rPr>
          <w:rFonts w:ascii="Segoe UI" w:hAnsi="Segoe UI" w:cs="Segoe UI"/>
          <w:szCs w:val="24"/>
        </w:rPr>
        <w:t xml:space="preserve">e $40,555, a 222% increase over the Baseline fee amount </w:t>
      </w:r>
      <w:r w:rsidR="12F532BC" w:rsidRPr="17CECF10">
        <w:rPr>
          <w:rFonts w:ascii="Segoe UI" w:hAnsi="Segoe UI" w:cs="Segoe UI"/>
          <w:szCs w:val="24"/>
        </w:rPr>
        <w:t xml:space="preserve">of </w:t>
      </w:r>
      <w:r w:rsidR="399C8CB9" w:rsidRPr="17CECF10">
        <w:rPr>
          <w:rFonts w:ascii="Segoe UI" w:hAnsi="Segoe UI" w:cs="Segoe UI"/>
          <w:szCs w:val="24"/>
        </w:rPr>
        <w:t>$12,600.</w:t>
      </w:r>
    </w:p>
    <w:p w14:paraId="2BC3B017" w14:textId="737D6DF3" w:rsidR="00873D48" w:rsidRPr="00CF6436" w:rsidRDefault="0ABEFF6B" w:rsidP="17CECF10">
      <w:pPr>
        <w:pStyle w:val="ListParagraph"/>
        <w:numPr>
          <w:ilvl w:val="0"/>
          <w:numId w:val="4"/>
        </w:numPr>
        <w:spacing w:line="360" w:lineRule="auto"/>
        <w:rPr>
          <w:rFonts w:ascii="Segoe UI" w:hAnsi="Segoe UI" w:cs="Segoe UI"/>
          <w:szCs w:val="24"/>
        </w:rPr>
      </w:pPr>
      <w:r w:rsidRPr="17CECF10">
        <w:rPr>
          <w:rFonts w:ascii="Segoe UI" w:hAnsi="Segoe UI" w:cs="Segoe UI"/>
          <w:b/>
          <w:bCs/>
          <w:szCs w:val="24"/>
        </w:rPr>
        <w:t>Utility Issue Fee:</w:t>
      </w:r>
      <w:r w:rsidR="2171104A" w:rsidRPr="17CECF10">
        <w:rPr>
          <w:rFonts w:ascii="Segoe UI" w:hAnsi="Segoe UI" w:cs="Segoe UI"/>
          <w:b/>
          <w:bCs/>
          <w:i/>
          <w:iCs/>
          <w:szCs w:val="24"/>
        </w:rPr>
        <w:t xml:space="preserve"> </w:t>
      </w:r>
      <w:r w:rsidR="29D1016B" w:rsidRPr="17CECF10">
        <w:rPr>
          <w:rFonts w:ascii="Segoe UI" w:hAnsi="Segoe UI" w:cs="Segoe UI"/>
          <w:szCs w:val="24"/>
        </w:rPr>
        <w:t xml:space="preserve">The Unit Cost Recovery alternative </w:t>
      </w:r>
      <w:r w:rsidRPr="17CECF10">
        <w:rPr>
          <w:rFonts w:ascii="Segoe UI" w:hAnsi="Segoe UI" w:cs="Segoe UI"/>
          <w:szCs w:val="24"/>
        </w:rPr>
        <w:t xml:space="preserve">does not provide a subsidy </w:t>
      </w:r>
      <w:r w:rsidR="29D1016B" w:rsidRPr="17CECF10">
        <w:rPr>
          <w:rFonts w:ascii="Segoe UI" w:hAnsi="Segoe UI" w:cs="Segoe UI"/>
          <w:szCs w:val="24"/>
        </w:rPr>
        <w:t xml:space="preserve">for </w:t>
      </w:r>
      <w:r w:rsidRPr="17CECF10">
        <w:rPr>
          <w:rFonts w:ascii="Segoe UI" w:hAnsi="Segoe UI" w:cs="Segoe UI"/>
          <w:szCs w:val="24"/>
        </w:rPr>
        <w:t>front-end application fees.</w:t>
      </w:r>
      <w:r w:rsidR="2171104A" w:rsidRPr="17CECF10">
        <w:rPr>
          <w:rFonts w:ascii="Segoe UI" w:hAnsi="Segoe UI" w:cs="Segoe UI"/>
          <w:szCs w:val="24"/>
        </w:rPr>
        <w:t xml:space="preserve"> </w:t>
      </w:r>
      <w:r w:rsidR="06E38A5A" w:rsidRPr="17CECF10">
        <w:rPr>
          <w:rFonts w:ascii="Segoe UI" w:hAnsi="Segoe UI" w:cs="Segoe UI"/>
          <w:szCs w:val="24"/>
        </w:rPr>
        <w:t>S</w:t>
      </w:r>
      <w:r w:rsidRPr="17CECF10">
        <w:rPr>
          <w:rFonts w:ascii="Segoe UI" w:hAnsi="Segoe UI" w:cs="Segoe UI"/>
          <w:szCs w:val="24"/>
        </w:rPr>
        <w:t xml:space="preserve">etting front-end application fees (i.e., filing, search, and examination) at cost does not require back-end fees to be set above cost (i.e., the </w:t>
      </w:r>
      <w:r w:rsidR="730B4FED" w:rsidRPr="17CECF10">
        <w:rPr>
          <w:rFonts w:ascii="Segoe UI" w:hAnsi="Segoe UI" w:cs="Segoe UI"/>
          <w:szCs w:val="24"/>
        </w:rPr>
        <w:t>i</w:t>
      </w:r>
      <w:r w:rsidRPr="17CECF10">
        <w:rPr>
          <w:rFonts w:ascii="Segoe UI" w:hAnsi="Segoe UI" w:cs="Segoe UI"/>
          <w:szCs w:val="24"/>
        </w:rPr>
        <w:t>ssue fee would d</w:t>
      </w:r>
      <w:r w:rsidR="0622921B" w:rsidRPr="17CECF10">
        <w:rPr>
          <w:rFonts w:ascii="Segoe UI" w:hAnsi="Segoe UI" w:cs="Segoe UI"/>
          <w:szCs w:val="24"/>
        </w:rPr>
        <w:t>ecrease</w:t>
      </w:r>
      <w:r w:rsidR="6CD999C4" w:rsidRPr="17CECF10">
        <w:rPr>
          <w:rFonts w:ascii="Segoe UI" w:hAnsi="Segoe UI" w:cs="Segoe UI"/>
          <w:szCs w:val="24"/>
        </w:rPr>
        <w:t xml:space="preserve"> </w:t>
      </w:r>
      <w:r w:rsidR="75E41649" w:rsidRPr="17CECF10">
        <w:rPr>
          <w:rFonts w:ascii="Segoe UI" w:hAnsi="Segoe UI" w:cs="Segoe UI"/>
          <w:szCs w:val="24"/>
        </w:rPr>
        <w:t>from $1,200 to</w:t>
      </w:r>
      <w:r w:rsidR="6CD999C4" w:rsidRPr="17CECF10">
        <w:rPr>
          <w:rFonts w:ascii="Segoe UI" w:hAnsi="Segoe UI" w:cs="Segoe UI"/>
          <w:szCs w:val="24"/>
        </w:rPr>
        <w:t xml:space="preserve"> $</w:t>
      </w:r>
      <w:r w:rsidR="399C8CB9" w:rsidRPr="17CECF10">
        <w:rPr>
          <w:rFonts w:ascii="Segoe UI" w:hAnsi="Segoe UI" w:cs="Segoe UI"/>
          <w:szCs w:val="24"/>
        </w:rPr>
        <w:t>575</w:t>
      </w:r>
      <w:r w:rsidRPr="17CECF10">
        <w:rPr>
          <w:rFonts w:ascii="Segoe UI" w:hAnsi="Segoe UI" w:cs="Segoe UI"/>
          <w:szCs w:val="24"/>
        </w:rPr>
        <w:t>).</w:t>
      </w:r>
      <w:r w:rsidR="2171104A" w:rsidRPr="17CECF10">
        <w:rPr>
          <w:rFonts w:ascii="Segoe UI" w:hAnsi="Segoe UI" w:cs="Segoe UI"/>
          <w:szCs w:val="24"/>
        </w:rPr>
        <w:t xml:space="preserve"> </w:t>
      </w:r>
      <w:r w:rsidR="5365B57D" w:rsidRPr="17CECF10">
        <w:rPr>
          <w:rFonts w:ascii="Segoe UI" w:hAnsi="Segoe UI" w:cs="Segoe UI"/>
          <w:szCs w:val="24"/>
        </w:rPr>
        <w:t>The</w:t>
      </w:r>
      <w:r w:rsidRPr="17CECF10">
        <w:rPr>
          <w:rFonts w:ascii="Segoe UI" w:hAnsi="Segoe UI" w:cs="Segoe UI"/>
          <w:szCs w:val="24"/>
        </w:rPr>
        <w:t xml:space="preserve"> </w:t>
      </w:r>
      <w:r w:rsidR="4F951373" w:rsidRPr="17CECF10">
        <w:rPr>
          <w:rFonts w:ascii="Segoe UI" w:hAnsi="Segoe UI" w:cs="Segoe UI"/>
          <w:szCs w:val="24"/>
        </w:rPr>
        <w:t xml:space="preserve">Unit Cost Recovery </w:t>
      </w:r>
      <w:r w:rsidRPr="17CECF10">
        <w:rPr>
          <w:rFonts w:ascii="Segoe UI" w:hAnsi="Segoe UI" w:cs="Segoe UI"/>
          <w:szCs w:val="24"/>
        </w:rPr>
        <w:t xml:space="preserve">fee </w:t>
      </w:r>
      <w:r w:rsidR="54D49E7A" w:rsidRPr="17CECF10">
        <w:rPr>
          <w:rFonts w:ascii="Segoe UI" w:hAnsi="Segoe UI" w:cs="Segoe UI"/>
          <w:szCs w:val="24"/>
        </w:rPr>
        <w:t>structure</w:t>
      </w:r>
      <w:r w:rsidR="5365B57D" w:rsidRPr="17CECF10">
        <w:rPr>
          <w:rFonts w:ascii="Segoe UI" w:hAnsi="Segoe UI" w:cs="Segoe UI"/>
          <w:szCs w:val="24"/>
        </w:rPr>
        <w:t xml:space="preserve"> </w:t>
      </w:r>
      <w:r w:rsidR="54D49E7A" w:rsidRPr="17CECF10">
        <w:rPr>
          <w:rFonts w:ascii="Segoe UI" w:hAnsi="Segoe UI" w:cs="Segoe UI"/>
          <w:szCs w:val="24"/>
        </w:rPr>
        <w:t>does</w:t>
      </w:r>
      <w:r w:rsidRPr="17CECF10">
        <w:rPr>
          <w:rFonts w:ascii="Segoe UI" w:hAnsi="Segoe UI" w:cs="Segoe UI"/>
          <w:szCs w:val="24"/>
        </w:rPr>
        <w:t xml:space="preserve"> not support the </w:t>
      </w:r>
      <w:r w:rsidR="4F951373" w:rsidRPr="17CECF10">
        <w:rPr>
          <w:rFonts w:ascii="Segoe UI" w:hAnsi="Segoe UI" w:cs="Segoe UI"/>
          <w:szCs w:val="24"/>
        </w:rPr>
        <w:t xml:space="preserve">USPTO’s </w:t>
      </w:r>
      <w:r w:rsidRPr="17CECF10">
        <w:rPr>
          <w:rFonts w:ascii="Segoe UI" w:hAnsi="Segoe UI" w:cs="Segoe UI"/>
          <w:szCs w:val="24"/>
        </w:rPr>
        <w:t xml:space="preserve">policy factor of </w:t>
      </w:r>
      <w:r w:rsidR="19751C9E" w:rsidRPr="17CECF10">
        <w:rPr>
          <w:rFonts w:ascii="Segoe UI" w:hAnsi="Segoe UI" w:cs="Segoe UI"/>
          <w:szCs w:val="24"/>
        </w:rPr>
        <w:t xml:space="preserve">promoting </w:t>
      </w:r>
      <w:r w:rsidRPr="17CECF10">
        <w:rPr>
          <w:rFonts w:ascii="Segoe UI" w:hAnsi="Segoe UI" w:cs="Segoe UI"/>
          <w:szCs w:val="24"/>
        </w:rPr>
        <w:t>innovation</w:t>
      </w:r>
      <w:r w:rsidR="19751C9E" w:rsidRPr="17CECF10">
        <w:rPr>
          <w:rFonts w:ascii="Segoe UI" w:hAnsi="Segoe UI" w:cs="Segoe UI"/>
          <w:szCs w:val="24"/>
        </w:rPr>
        <w:t xml:space="preserve"> strategies</w:t>
      </w:r>
      <w:r w:rsidRPr="17CECF10">
        <w:rPr>
          <w:rFonts w:ascii="Segoe UI" w:hAnsi="Segoe UI" w:cs="Segoe UI"/>
          <w:szCs w:val="24"/>
        </w:rPr>
        <w:t>.</w:t>
      </w:r>
    </w:p>
    <w:p w14:paraId="011C58FF" w14:textId="0FCA0104" w:rsidR="0086407D" w:rsidRPr="00CF6436" w:rsidRDefault="0ABEFF6B" w:rsidP="17CECF10">
      <w:pPr>
        <w:pStyle w:val="ListParagraph"/>
        <w:numPr>
          <w:ilvl w:val="0"/>
          <w:numId w:val="4"/>
        </w:numPr>
        <w:spacing w:line="360" w:lineRule="auto"/>
        <w:rPr>
          <w:rFonts w:ascii="Segoe UI" w:hAnsi="Segoe UI" w:cs="Segoe UI"/>
          <w:szCs w:val="24"/>
        </w:rPr>
      </w:pPr>
      <w:r w:rsidRPr="17CECF10">
        <w:rPr>
          <w:rFonts w:ascii="Segoe UI" w:hAnsi="Segoe UI" w:cs="Segoe UI"/>
          <w:b/>
          <w:bCs/>
          <w:szCs w:val="24"/>
        </w:rPr>
        <w:t>Maintenance Fee</w:t>
      </w:r>
      <w:r w:rsidR="00DAF1DA" w:rsidRPr="17CECF10">
        <w:rPr>
          <w:rFonts w:ascii="Segoe UI" w:hAnsi="Segoe UI" w:cs="Segoe UI"/>
          <w:b/>
          <w:bCs/>
          <w:szCs w:val="24"/>
        </w:rPr>
        <w:t>—</w:t>
      </w:r>
      <w:r w:rsidRPr="17CECF10">
        <w:rPr>
          <w:rFonts w:ascii="Segoe UI" w:hAnsi="Segoe UI" w:cs="Segoe UI"/>
          <w:b/>
          <w:bCs/>
          <w:szCs w:val="24"/>
        </w:rPr>
        <w:t>1st, 2nd, and 3rd Stages:</w:t>
      </w:r>
      <w:r w:rsidR="2171104A" w:rsidRPr="17CECF10">
        <w:rPr>
          <w:rFonts w:ascii="Segoe UI" w:hAnsi="Segoe UI" w:cs="Segoe UI"/>
          <w:szCs w:val="24"/>
        </w:rPr>
        <w:t xml:space="preserve"> </w:t>
      </w:r>
      <w:r w:rsidR="02FB3C1B" w:rsidRPr="17CECF10">
        <w:rPr>
          <w:rFonts w:ascii="Segoe UI" w:hAnsi="Segoe UI" w:cs="Segoe UI"/>
          <w:szCs w:val="24"/>
        </w:rPr>
        <w:t xml:space="preserve">The cost </w:t>
      </w:r>
      <w:r w:rsidR="4F951373" w:rsidRPr="17CECF10">
        <w:rPr>
          <w:rFonts w:ascii="Segoe UI" w:hAnsi="Segoe UI" w:cs="Segoe UI"/>
          <w:szCs w:val="24"/>
        </w:rPr>
        <w:t>of</w:t>
      </w:r>
      <w:r w:rsidR="02FB3C1B" w:rsidRPr="17CECF10">
        <w:rPr>
          <w:rFonts w:ascii="Segoe UI" w:hAnsi="Segoe UI" w:cs="Segoe UI"/>
          <w:szCs w:val="24"/>
        </w:rPr>
        <w:t xml:space="preserve"> processing maintenance fee payments is minimal.</w:t>
      </w:r>
      <w:r w:rsidR="2171104A" w:rsidRPr="17CECF10">
        <w:rPr>
          <w:rFonts w:ascii="Segoe UI" w:hAnsi="Segoe UI" w:cs="Segoe UI"/>
          <w:szCs w:val="24"/>
        </w:rPr>
        <w:t xml:space="preserve"> </w:t>
      </w:r>
      <w:r w:rsidR="2BB643AD" w:rsidRPr="17CECF10">
        <w:rPr>
          <w:rFonts w:ascii="Segoe UI" w:hAnsi="Segoe UI" w:cs="Segoe UI"/>
          <w:szCs w:val="24"/>
        </w:rPr>
        <w:t>T</w:t>
      </w:r>
      <w:r w:rsidR="02FB3C1B" w:rsidRPr="17CECF10">
        <w:rPr>
          <w:rFonts w:ascii="Segoe UI" w:hAnsi="Segoe UI" w:cs="Segoe UI"/>
          <w:szCs w:val="24"/>
        </w:rPr>
        <w:t xml:space="preserve">o </w:t>
      </w:r>
      <w:r w:rsidR="614FC465" w:rsidRPr="17CECF10">
        <w:rPr>
          <w:rFonts w:ascii="Segoe UI" w:hAnsi="Segoe UI" w:cs="Segoe UI"/>
          <w:szCs w:val="24"/>
        </w:rPr>
        <w:t>re</w:t>
      </w:r>
      <w:r w:rsidR="58CD7BE4" w:rsidRPr="17CECF10">
        <w:rPr>
          <w:rFonts w:ascii="Segoe UI" w:hAnsi="Segoe UI" w:cs="Segoe UI"/>
          <w:szCs w:val="24"/>
        </w:rPr>
        <w:t xml:space="preserve">cover </w:t>
      </w:r>
      <w:r w:rsidR="02FB3C1B" w:rsidRPr="17CECF10">
        <w:rPr>
          <w:rFonts w:ascii="Segoe UI" w:hAnsi="Segoe UI" w:cs="Segoe UI"/>
          <w:szCs w:val="24"/>
        </w:rPr>
        <w:t>aggregate costs with aggregate revenue,</w:t>
      </w:r>
      <w:r w:rsidR="2BB643AD" w:rsidRPr="17CECF10">
        <w:rPr>
          <w:rFonts w:ascii="Segoe UI" w:hAnsi="Segoe UI" w:cs="Segoe UI"/>
          <w:szCs w:val="24"/>
        </w:rPr>
        <w:t xml:space="preserve"> </w:t>
      </w:r>
      <w:r w:rsidR="51FA0E63" w:rsidRPr="17CECF10">
        <w:rPr>
          <w:rFonts w:ascii="Segoe UI" w:hAnsi="Segoe UI" w:cs="Segoe UI"/>
          <w:szCs w:val="24"/>
        </w:rPr>
        <w:t xml:space="preserve">though, </w:t>
      </w:r>
      <w:r w:rsidR="2BB643AD" w:rsidRPr="17CECF10">
        <w:rPr>
          <w:rFonts w:ascii="Segoe UI" w:hAnsi="Segoe UI" w:cs="Segoe UI"/>
          <w:szCs w:val="24"/>
        </w:rPr>
        <w:t>the USPTO would set</w:t>
      </w:r>
      <w:r w:rsidR="64D5BC28" w:rsidRPr="17CECF10">
        <w:rPr>
          <w:rFonts w:ascii="Segoe UI" w:hAnsi="Segoe UI" w:cs="Segoe UI"/>
          <w:szCs w:val="24"/>
        </w:rPr>
        <w:t xml:space="preserve"> </w:t>
      </w:r>
      <w:r w:rsidR="02FB3C1B" w:rsidRPr="17CECF10">
        <w:rPr>
          <w:rFonts w:ascii="Segoe UI" w:hAnsi="Segoe UI" w:cs="Segoe UI"/>
          <w:szCs w:val="24"/>
        </w:rPr>
        <w:t xml:space="preserve">maintenance fee rates </w:t>
      </w:r>
      <w:r w:rsidR="64D5BC28" w:rsidRPr="17CECF10">
        <w:rPr>
          <w:rFonts w:ascii="Segoe UI" w:hAnsi="Segoe UI" w:cs="Segoe UI"/>
          <w:szCs w:val="24"/>
        </w:rPr>
        <w:t xml:space="preserve">at </w:t>
      </w:r>
      <w:r w:rsidR="6CD999C4" w:rsidRPr="17CECF10">
        <w:rPr>
          <w:rFonts w:ascii="Segoe UI" w:hAnsi="Segoe UI" w:cs="Segoe UI"/>
          <w:szCs w:val="24"/>
        </w:rPr>
        <w:t>$1,</w:t>
      </w:r>
      <w:r w:rsidR="6D46AE7A" w:rsidRPr="17CECF10">
        <w:rPr>
          <w:rFonts w:ascii="Segoe UI" w:hAnsi="Segoe UI" w:cs="Segoe UI"/>
          <w:szCs w:val="24"/>
        </w:rPr>
        <w:t>890</w:t>
      </w:r>
      <w:r w:rsidRPr="17CECF10">
        <w:rPr>
          <w:rFonts w:ascii="Segoe UI" w:hAnsi="Segoe UI" w:cs="Segoe UI"/>
          <w:szCs w:val="24"/>
        </w:rPr>
        <w:t xml:space="preserve"> (1st</w:t>
      </w:r>
      <w:r w:rsidR="6CD999C4" w:rsidRPr="17CECF10">
        <w:rPr>
          <w:rFonts w:ascii="Segoe UI" w:hAnsi="Segoe UI" w:cs="Segoe UI"/>
          <w:szCs w:val="24"/>
        </w:rPr>
        <w:t xml:space="preserve"> </w:t>
      </w:r>
      <w:r w:rsidR="091B31D6" w:rsidRPr="17CECF10">
        <w:rPr>
          <w:rFonts w:ascii="Segoe UI" w:hAnsi="Segoe UI" w:cs="Segoe UI"/>
          <w:szCs w:val="24"/>
        </w:rPr>
        <w:t>S</w:t>
      </w:r>
      <w:r w:rsidR="6CD999C4" w:rsidRPr="17CECF10">
        <w:rPr>
          <w:rFonts w:ascii="Segoe UI" w:hAnsi="Segoe UI" w:cs="Segoe UI"/>
          <w:szCs w:val="24"/>
        </w:rPr>
        <w:t>tage), $3,</w:t>
      </w:r>
      <w:r w:rsidR="6D46AE7A" w:rsidRPr="17CECF10">
        <w:rPr>
          <w:rFonts w:ascii="Segoe UI" w:hAnsi="Segoe UI" w:cs="Segoe UI"/>
          <w:szCs w:val="24"/>
        </w:rPr>
        <w:t>56</w:t>
      </w:r>
      <w:r w:rsidR="03C55109" w:rsidRPr="17CECF10">
        <w:rPr>
          <w:rFonts w:ascii="Segoe UI" w:hAnsi="Segoe UI" w:cs="Segoe UI"/>
          <w:szCs w:val="24"/>
        </w:rPr>
        <w:t>0</w:t>
      </w:r>
      <w:r w:rsidRPr="17CECF10">
        <w:rPr>
          <w:rFonts w:ascii="Segoe UI" w:hAnsi="Segoe UI" w:cs="Segoe UI"/>
          <w:szCs w:val="24"/>
        </w:rPr>
        <w:t xml:space="preserve"> (2nd</w:t>
      </w:r>
      <w:r w:rsidR="6CD999C4" w:rsidRPr="17CECF10">
        <w:rPr>
          <w:rFonts w:ascii="Segoe UI" w:hAnsi="Segoe UI" w:cs="Segoe UI"/>
          <w:szCs w:val="24"/>
        </w:rPr>
        <w:t xml:space="preserve"> Stage), and $</w:t>
      </w:r>
      <w:r w:rsidR="6D46AE7A" w:rsidRPr="17CECF10">
        <w:rPr>
          <w:rFonts w:ascii="Segoe UI" w:hAnsi="Segoe UI" w:cs="Segoe UI"/>
          <w:szCs w:val="24"/>
        </w:rPr>
        <w:t>7,285</w:t>
      </w:r>
      <w:r w:rsidRPr="17CECF10">
        <w:rPr>
          <w:rFonts w:ascii="Segoe UI" w:hAnsi="Segoe UI" w:cs="Segoe UI"/>
          <w:szCs w:val="24"/>
        </w:rPr>
        <w:t xml:space="preserve"> (3rd Stage) for </w:t>
      </w:r>
      <w:r w:rsidR="4A5808F3" w:rsidRPr="17CECF10">
        <w:rPr>
          <w:rFonts w:ascii="Segoe UI" w:hAnsi="Segoe UI" w:cs="Segoe UI"/>
          <w:szCs w:val="24"/>
        </w:rPr>
        <w:lastRenderedPageBreak/>
        <w:t>undiscounted</w:t>
      </w:r>
      <w:r w:rsidRPr="17CECF10">
        <w:rPr>
          <w:rFonts w:ascii="Segoe UI" w:hAnsi="Segoe UI" w:cs="Segoe UI"/>
          <w:szCs w:val="24"/>
        </w:rPr>
        <w:t xml:space="preserve"> entities</w:t>
      </w:r>
      <w:r w:rsidR="02FB3C1B" w:rsidRPr="17CECF10">
        <w:rPr>
          <w:rFonts w:ascii="Segoe UI" w:hAnsi="Segoe UI" w:cs="Segoe UI"/>
          <w:szCs w:val="24"/>
        </w:rPr>
        <w:t>.</w:t>
      </w:r>
      <w:r w:rsidR="2171104A" w:rsidRPr="17CECF10">
        <w:rPr>
          <w:rFonts w:ascii="Segoe UI" w:hAnsi="Segoe UI" w:cs="Segoe UI"/>
          <w:szCs w:val="24"/>
        </w:rPr>
        <w:t xml:space="preserve"> </w:t>
      </w:r>
      <w:r w:rsidR="02FB3C1B" w:rsidRPr="17CECF10">
        <w:rPr>
          <w:rFonts w:ascii="Segoe UI" w:hAnsi="Segoe UI" w:cs="Segoe UI"/>
          <w:szCs w:val="24"/>
        </w:rPr>
        <w:t xml:space="preserve">As shown in Table 4-8, these fees are </w:t>
      </w:r>
      <w:r w:rsidR="5FD02267" w:rsidRPr="17CECF10">
        <w:rPr>
          <w:rFonts w:ascii="Segoe UI" w:hAnsi="Segoe UI" w:cs="Segoe UI"/>
          <w:szCs w:val="24"/>
        </w:rPr>
        <w:t xml:space="preserve">5.4% </w:t>
      </w:r>
      <w:r w:rsidR="02FB3C1B" w:rsidRPr="17CECF10">
        <w:rPr>
          <w:rFonts w:ascii="Segoe UI" w:hAnsi="Segoe UI" w:cs="Segoe UI"/>
          <w:szCs w:val="24"/>
        </w:rPr>
        <w:t xml:space="preserve">less than </w:t>
      </w:r>
      <w:r w:rsidR="0622921B" w:rsidRPr="17CECF10">
        <w:rPr>
          <w:rFonts w:ascii="Segoe UI" w:hAnsi="Segoe UI" w:cs="Segoe UI"/>
          <w:szCs w:val="24"/>
        </w:rPr>
        <w:t>B</w:t>
      </w:r>
      <w:r w:rsidR="02FB3C1B" w:rsidRPr="17CECF10">
        <w:rPr>
          <w:rFonts w:ascii="Segoe UI" w:hAnsi="Segoe UI" w:cs="Segoe UI"/>
          <w:szCs w:val="24"/>
        </w:rPr>
        <w:t>aseline maintenance fees</w:t>
      </w:r>
      <w:r w:rsidR="64D5BC28" w:rsidRPr="17CECF10">
        <w:rPr>
          <w:rFonts w:ascii="Segoe UI" w:hAnsi="Segoe UI" w:cs="Segoe UI"/>
          <w:szCs w:val="24"/>
        </w:rPr>
        <w:t>.</w:t>
      </w:r>
    </w:p>
    <w:p w14:paraId="01C71F1B" w14:textId="3B47A199" w:rsidR="00873D48" w:rsidRPr="00CF6436" w:rsidRDefault="3A5CC982" w:rsidP="17CECF10">
      <w:pPr>
        <w:spacing w:line="360" w:lineRule="auto"/>
        <w:ind w:firstLine="450"/>
        <w:rPr>
          <w:rFonts w:ascii="Segoe UI" w:hAnsi="Segoe UI" w:cs="Segoe UI"/>
          <w:szCs w:val="24"/>
        </w:rPr>
      </w:pPr>
      <w:r w:rsidRPr="17CECF10">
        <w:rPr>
          <w:rFonts w:ascii="Segoe UI" w:hAnsi="Segoe UI" w:cs="Segoe UI"/>
          <w:b/>
          <w:bCs/>
          <w:szCs w:val="24"/>
        </w:rPr>
        <w:t xml:space="preserve">Summary of Fee Schedule Design Costs for </w:t>
      </w:r>
      <w:r w:rsidR="64D5BC28" w:rsidRPr="17CECF10">
        <w:rPr>
          <w:rFonts w:ascii="Segoe UI" w:hAnsi="Segoe UI" w:cs="Segoe UI"/>
          <w:b/>
          <w:bCs/>
          <w:szCs w:val="24"/>
        </w:rPr>
        <w:t>Unit Cost Recovery (</w:t>
      </w:r>
      <w:r w:rsidRPr="17CECF10">
        <w:rPr>
          <w:rFonts w:ascii="Segoe UI" w:hAnsi="Segoe UI" w:cs="Segoe UI"/>
          <w:b/>
          <w:bCs/>
          <w:szCs w:val="24"/>
        </w:rPr>
        <w:t>Alternative 2</w:t>
      </w:r>
      <w:r w:rsidR="64D5BC28" w:rsidRPr="17CECF10">
        <w:rPr>
          <w:rFonts w:ascii="Segoe UI" w:hAnsi="Segoe UI" w:cs="Segoe UI"/>
          <w:b/>
          <w:bCs/>
          <w:szCs w:val="24"/>
        </w:rPr>
        <w:t>)</w:t>
      </w:r>
      <w:r w:rsidR="4B4D125B" w:rsidRPr="17CECF10">
        <w:rPr>
          <w:rFonts w:ascii="Segoe UI" w:hAnsi="Segoe UI" w:cs="Segoe UI"/>
          <w:b/>
          <w:bCs/>
          <w:szCs w:val="24"/>
        </w:rPr>
        <w:t xml:space="preserve">: </w:t>
      </w:r>
      <w:r w:rsidR="068A35B4" w:rsidRPr="17CECF10">
        <w:rPr>
          <w:rFonts w:ascii="Segoe UI" w:hAnsi="Segoe UI" w:cs="Segoe UI"/>
          <w:szCs w:val="24"/>
        </w:rPr>
        <w:t>W</w:t>
      </w:r>
      <w:r w:rsidR="3089D4B3" w:rsidRPr="17CECF10">
        <w:rPr>
          <w:rFonts w:ascii="Segoe UI" w:hAnsi="Segoe UI" w:cs="Segoe UI"/>
          <w:szCs w:val="24"/>
        </w:rPr>
        <w:t xml:space="preserve">hile </w:t>
      </w:r>
      <w:r w:rsidR="068A35B4" w:rsidRPr="17CECF10">
        <w:rPr>
          <w:rFonts w:ascii="Segoe UI" w:hAnsi="Segoe UI" w:cs="Segoe UI"/>
          <w:szCs w:val="24"/>
        </w:rPr>
        <w:t xml:space="preserve">the Unit Cost Recovery alternative </w:t>
      </w:r>
      <w:r w:rsidR="3089D4B3" w:rsidRPr="17CECF10">
        <w:rPr>
          <w:rFonts w:ascii="Segoe UI" w:hAnsi="Segoe UI" w:cs="Segoe UI"/>
          <w:szCs w:val="24"/>
        </w:rPr>
        <w:t xml:space="preserve">represents the </w:t>
      </w:r>
      <w:r w:rsidR="068A35B4" w:rsidRPr="17CECF10">
        <w:rPr>
          <w:rFonts w:ascii="Segoe UI" w:hAnsi="Segoe UI" w:cs="Segoe UI"/>
          <w:szCs w:val="24"/>
        </w:rPr>
        <w:t xml:space="preserve">federal government’s </w:t>
      </w:r>
      <w:r w:rsidR="3089D4B3" w:rsidRPr="17CECF10">
        <w:rPr>
          <w:rFonts w:ascii="Segoe UI" w:hAnsi="Segoe UI" w:cs="Segoe UI"/>
          <w:szCs w:val="24"/>
        </w:rPr>
        <w:t xml:space="preserve">standard approach to fee setting, </w:t>
      </w:r>
      <w:r w:rsidR="54B078BC" w:rsidRPr="17CECF10">
        <w:rPr>
          <w:rFonts w:ascii="Segoe UI" w:hAnsi="Segoe UI" w:cs="Segoe UI"/>
          <w:szCs w:val="24"/>
        </w:rPr>
        <w:t>it</w:t>
      </w:r>
      <w:r w:rsidR="3089D4B3" w:rsidRPr="17CECF10">
        <w:rPr>
          <w:rFonts w:ascii="Segoe UI" w:hAnsi="Segoe UI" w:cs="Segoe UI"/>
          <w:szCs w:val="24"/>
        </w:rPr>
        <w:t xml:space="preserve"> does not support the</w:t>
      </w:r>
      <w:r w:rsidR="068A35B4" w:rsidRPr="17CECF10">
        <w:rPr>
          <w:rFonts w:ascii="Segoe UI" w:hAnsi="Segoe UI" w:cs="Segoe UI"/>
          <w:szCs w:val="24"/>
        </w:rPr>
        <w:t xml:space="preserve"> USPTO’s</w:t>
      </w:r>
      <w:r w:rsidR="3089D4B3" w:rsidRPr="17CECF10">
        <w:rPr>
          <w:rFonts w:ascii="Segoe UI" w:hAnsi="Segoe UI" w:cs="Segoe UI"/>
          <w:szCs w:val="24"/>
        </w:rPr>
        <w:t xml:space="preserve"> rulemaking strategies and goals, </w:t>
      </w:r>
      <w:r w:rsidR="760D0D2D" w:rsidRPr="17CECF10">
        <w:rPr>
          <w:rFonts w:ascii="Segoe UI" w:hAnsi="Segoe UI" w:cs="Segoe UI"/>
          <w:szCs w:val="24"/>
        </w:rPr>
        <w:t xml:space="preserve">particularly </w:t>
      </w:r>
      <w:r w:rsidR="3089D4B3" w:rsidRPr="17CECF10">
        <w:rPr>
          <w:rFonts w:ascii="Segoe UI" w:hAnsi="Segoe UI" w:cs="Segoe UI"/>
          <w:szCs w:val="24"/>
        </w:rPr>
        <w:t>the important policy factors that</w:t>
      </w:r>
      <w:r w:rsidR="760D0D2D" w:rsidRPr="17CECF10">
        <w:rPr>
          <w:rFonts w:ascii="Segoe UI" w:hAnsi="Segoe UI" w:cs="Segoe UI"/>
          <w:szCs w:val="24"/>
        </w:rPr>
        <w:t xml:space="preserve"> inform the agency’s </w:t>
      </w:r>
      <w:r w:rsidR="3089D4B3" w:rsidRPr="17CECF10">
        <w:rPr>
          <w:rFonts w:ascii="Segoe UI" w:hAnsi="Segoe UI" w:cs="Segoe UI"/>
          <w:szCs w:val="24"/>
        </w:rPr>
        <w:t>individual fee setting strategy.</w:t>
      </w:r>
      <w:r w:rsidR="743D7466" w:rsidRPr="17CECF10">
        <w:rPr>
          <w:rFonts w:ascii="Segoe UI" w:hAnsi="Segoe UI" w:cs="Segoe UI"/>
          <w:szCs w:val="24"/>
        </w:rPr>
        <w:t xml:space="preserve"> </w:t>
      </w:r>
      <w:r w:rsidR="3089D4B3" w:rsidRPr="17CECF10">
        <w:rPr>
          <w:rFonts w:ascii="Segoe UI" w:hAnsi="Segoe UI" w:cs="Segoe UI"/>
          <w:szCs w:val="24"/>
        </w:rPr>
        <w:t>The largest fee schedule design cost</w:t>
      </w:r>
      <w:r w:rsidR="54B078BC" w:rsidRPr="17CECF10">
        <w:rPr>
          <w:rFonts w:ascii="Segoe UI" w:hAnsi="Segoe UI" w:cs="Segoe UI"/>
          <w:szCs w:val="24"/>
        </w:rPr>
        <w:t xml:space="preserve"> in this alternative</w:t>
      </w:r>
      <w:r w:rsidR="3089D4B3" w:rsidRPr="17CECF10">
        <w:rPr>
          <w:rFonts w:ascii="Segoe UI" w:hAnsi="Segoe UI" w:cs="Segoe UI"/>
          <w:szCs w:val="24"/>
        </w:rPr>
        <w:t xml:space="preserve"> is the loss of a front-end subsidy designed to </w:t>
      </w:r>
      <w:r w:rsidR="6AC7518F" w:rsidRPr="17CECF10">
        <w:rPr>
          <w:rFonts w:ascii="Segoe UI" w:hAnsi="Segoe UI" w:cs="Segoe UI"/>
          <w:szCs w:val="24"/>
        </w:rPr>
        <w:t xml:space="preserve">promote </w:t>
      </w:r>
      <w:r w:rsidR="3089D4B3" w:rsidRPr="17CECF10">
        <w:rPr>
          <w:rFonts w:ascii="Segoe UI" w:hAnsi="Segoe UI" w:cs="Segoe UI"/>
          <w:szCs w:val="24"/>
        </w:rPr>
        <w:t>innovation</w:t>
      </w:r>
      <w:r w:rsidR="6AC7518F" w:rsidRPr="17CECF10">
        <w:rPr>
          <w:rFonts w:ascii="Segoe UI" w:hAnsi="Segoe UI" w:cs="Segoe UI"/>
          <w:szCs w:val="24"/>
        </w:rPr>
        <w:t xml:space="preserve"> strategies</w:t>
      </w:r>
      <w:r w:rsidR="3089D4B3" w:rsidRPr="17CECF10">
        <w:rPr>
          <w:rFonts w:ascii="Segoe UI" w:hAnsi="Segoe UI" w:cs="Segoe UI"/>
          <w:szCs w:val="24"/>
        </w:rPr>
        <w:t xml:space="preserve">, but the impacts of much costlier patent </w:t>
      </w:r>
      <w:r w:rsidR="6AC7518F" w:rsidRPr="17CECF10">
        <w:rPr>
          <w:rFonts w:ascii="Segoe UI" w:hAnsi="Segoe UI" w:cs="Segoe UI"/>
          <w:szCs w:val="24"/>
        </w:rPr>
        <w:t xml:space="preserve">processing </w:t>
      </w:r>
      <w:r w:rsidR="3089D4B3" w:rsidRPr="17CECF10">
        <w:rPr>
          <w:rFonts w:ascii="Segoe UI" w:hAnsi="Segoe UI" w:cs="Segoe UI"/>
          <w:szCs w:val="24"/>
        </w:rPr>
        <w:t xml:space="preserve">options (e.g., RCEs and appeals) are also </w:t>
      </w:r>
      <w:r w:rsidR="27998862" w:rsidRPr="17CECF10">
        <w:rPr>
          <w:rFonts w:ascii="Segoe UI" w:hAnsi="Segoe UI" w:cs="Segoe UI"/>
          <w:szCs w:val="24"/>
        </w:rPr>
        <w:t xml:space="preserve">significant. </w:t>
      </w:r>
      <w:r w:rsidR="3089D4B3" w:rsidRPr="17CECF10">
        <w:rPr>
          <w:rFonts w:ascii="Segoe UI" w:hAnsi="Segoe UI" w:cs="Segoe UI"/>
          <w:szCs w:val="24"/>
        </w:rPr>
        <w:t xml:space="preserve">Overall, </w:t>
      </w:r>
      <w:r w:rsidR="27998862" w:rsidRPr="17CECF10">
        <w:rPr>
          <w:rFonts w:ascii="Segoe UI" w:hAnsi="Segoe UI" w:cs="Segoe UI"/>
          <w:szCs w:val="24"/>
        </w:rPr>
        <w:t xml:space="preserve">the Unit Cost Recovery alternative </w:t>
      </w:r>
      <w:r w:rsidR="3089D4B3" w:rsidRPr="17CECF10">
        <w:rPr>
          <w:rFonts w:ascii="Segoe UI" w:hAnsi="Segoe UI" w:cs="Segoe UI"/>
          <w:szCs w:val="24"/>
        </w:rPr>
        <w:t xml:space="preserve">would produce appreciable costs, especially when compared to the </w:t>
      </w:r>
      <w:r w:rsidR="497A267A" w:rsidRPr="17CECF10">
        <w:rPr>
          <w:rFonts w:ascii="Segoe UI" w:hAnsi="Segoe UI" w:cs="Segoe UI"/>
          <w:szCs w:val="24"/>
        </w:rPr>
        <w:t>Final</w:t>
      </w:r>
      <w:r w:rsidR="48EC1081" w:rsidRPr="17CECF10">
        <w:rPr>
          <w:rFonts w:ascii="Segoe UI" w:hAnsi="Segoe UI" w:cs="Segoe UI"/>
          <w:szCs w:val="24"/>
        </w:rPr>
        <w:t xml:space="preserve"> </w:t>
      </w:r>
      <w:r w:rsidR="605E1F5E" w:rsidRPr="17CECF10">
        <w:rPr>
          <w:rFonts w:ascii="Segoe UI" w:hAnsi="Segoe UI" w:cs="Segoe UI"/>
          <w:szCs w:val="24"/>
        </w:rPr>
        <w:t>Patent F</w:t>
      </w:r>
      <w:r w:rsidR="3089D4B3" w:rsidRPr="17CECF10">
        <w:rPr>
          <w:rFonts w:ascii="Segoe UI" w:hAnsi="Segoe UI" w:cs="Segoe UI"/>
          <w:szCs w:val="24"/>
        </w:rPr>
        <w:t xml:space="preserve">ee </w:t>
      </w:r>
      <w:r w:rsidR="68C683F6" w:rsidRPr="17CECF10">
        <w:rPr>
          <w:rFonts w:ascii="Segoe UI" w:hAnsi="Segoe UI" w:cs="Segoe UI"/>
          <w:szCs w:val="24"/>
        </w:rPr>
        <w:t>S</w:t>
      </w:r>
      <w:r w:rsidR="3089D4B3" w:rsidRPr="17CECF10">
        <w:rPr>
          <w:rFonts w:ascii="Segoe UI" w:hAnsi="Segoe UI" w:cs="Segoe UI"/>
          <w:szCs w:val="24"/>
        </w:rPr>
        <w:t>chedule (Alternative</w:t>
      </w:r>
      <w:r w:rsidR="36A6D6C7" w:rsidRPr="17CECF10">
        <w:rPr>
          <w:rFonts w:ascii="Segoe UI" w:hAnsi="Segoe UI" w:cs="Segoe UI"/>
          <w:szCs w:val="24"/>
        </w:rPr>
        <w:t xml:space="preserve"> </w:t>
      </w:r>
      <w:r w:rsidR="3089D4B3" w:rsidRPr="17CECF10">
        <w:rPr>
          <w:rFonts w:ascii="Segoe UI" w:hAnsi="Segoe UI" w:cs="Segoe UI"/>
          <w:szCs w:val="24"/>
        </w:rPr>
        <w:t>1).</w:t>
      </w:r>
    </w:p>
    <w:p w14:paraId="4F00F399" w14:textId="77777777" w:rsidR="00307708" w:rsidRPr="009008DD" w:rsidRDefault="00307708" w:rsidP="17CECF10">
      <w:pPr>
        <w:pStyle w:val="ParagraphSpace"/>
        <w:spacing w:line="360" w:lineRule="auto"/>
        <w:rPr>
          <w:rFonts w:ascii="Segoe UI" w:hAnsi="Segoe UI" w:cs="Segoe UI"/>
          <w:szCs w:val="24"/>
        </w:rPr>
      </w:pPr>
    </w:p>
    <w:p w14:paraId="728E158A" w14:textId="77503336" w:rsidR="00873D48" w:rsidRPr="00CF6436" w:rsidRDefault="00873D48" w:rsidP="000F20DC">
      <w:pPr>
        <w:pStyle w:val="Heading3Numbering"/>
        <w:numPr>
          <w:ilvl w:val="2"/>
          <w:numId w:val="14"/>
        </w:numPr>
        <w:spacing w:after="0" w:line="360" w:lineRule="auto"/>
        <w:ind w:left="810" w:hanging="810"/>
        <w:rPr>
          <w:rFonts w:ascii="Segoe UI" w:hAnsi="Segoe UI" w:cs="Segoe UI"/>
        </w:rPr>
      </w:pPr>
      <w:r w:rsidRPr="524BF87A">
        <w:rPr>
          <w:rFonts w:ascii="Segoe UI" w:hAnsi="Segoe UI" w:cs="Segoe UI"/>
        </w:rPr>
        <w:t xml:space="preserve">Benefits of </w:t>
      </w:r>
      <w:r w:rsidR="000B11F2" w:rsidRPr="524BF87A">
        <w:rPr>
          <w:rFonts w:ascii="Segoe UI" w:hAnsi="Segoe UI" w:cs="Segoe UI"/>
        </w:rPr>
        <w:t>Unit Cost Recovery (</w:t>
      </w:r>
      <w:r w:rsidRPr="524BF87A">
        <w:rPr>
          <w:rFonts w:ascii="Segoe UI" w:hAnsi="Segoe UI" w:cs="Segoe UI"/>
        </w:rPr>
        <w:t>Alternative 2</w:t>
      </w:r>
      <w:r w:rsidR="000B11F2" w:rsidRPr="524BF87A">
        <w:rPr>
          <w:rFonts w:ascii="Segoe UI" w:hAnsi="Segoe UI" w:cs="Segoe UI"/>
        </w:rPr>
        <w:t>)</w:t>
      </w:r>
      <w:r w:rsidR="005C6B48" w:rsidRPr="524BF87A">
        <w:rPr>
          <w:rFonts w:ascii="Segoe UI" w:hAnsi="Segoe UI" w:cs="Segoe UI"/>
        </w:rPr>
        <w:t>—</w:t>
      </w:r>
      <w:r w:rsidR="00D97207" w:rsidRPr="524BF87A">
        <w:rPr>
          <w:rFonts w:ascii="Segoe UI" w:hAnsi="Segoe UI" w:cs="Segoe UI"/>
        </w:rPr>
        <w:t>Securing</w:t>
      </w:r>
      <w:r w:rsidRPr="524BF87A">
        <w:rPr>
          <w:rFonts w:ascii="Segoe UI" w:hAnsi="Segoe UI" w:cs="Segoe UI"/>
        </w:rPr>
        <w:t xml:space="preserve"> </w:t>
      </w:r>
      <w:r w:rsidR="00D51C62" w:rsidRPr="524BF87A">
        <w:rPr>
          <w:rFonts w:ascii="Segoe UI" w:hAnsi="Segoe UI" w:cs="Segoe UI"/>
        </w:rPr>
        <w:t>Aggregate</w:t>
      </w:r>
      <w:r w:rsidRPr="524BF87A">
        <w:rPr>
          <w:rFonts w:ascii="Segoe UI" w:hAnsi="Segoe UI" w:cs="Segoe UI"/>
        </w:rPr>
        <w:t xml:space="preserve"> Revenue to</w:t>
      </w:r>
      <w:r w:rsidR="00D97207" w:rsidRPr="524BF87A">
        <w:rPr>
          <w:rFonts w:ascii="Segoe UI" w:hAnsi="Segoe UI" w:cs="Segoe UI"/>
        </w:rPr>
        <w:t xml:space="preserve"> </w:t>
      </w:r>
      <w:r w:rsidR="004D4D28" w:rsidRPr="524BF87A">
        <w:rPr>
          <w:rFonts w:ascii="Segoe UI" w:hAnsi="Segoe UI" w:cs="Segoe UI"/>
        </w:rPr>
        <w:t>Rec</w:t>
      </w:r>
      <w:r w:rsidR="00D97207" w:rsidRPr="524BF87A">
        <w:rPr>
          <w:rFonts w:ascii="Segoe UI" w:hAnsi="Segoe UI" w:cs="Segoe UI"/>
        </w:rPr>
        <w:t>o</w:t>
      </w:r>
      <w:r w:rsidRPr="524BF87A">
        <w:rPr>
          <w:rFonts w:ascii="Segoe UI" w:hAnsi="Segoe UI" w:cs="Segoe UI"/>
        </w:rPr>
        <w:t>ver Aggregate Costs</w:t>
      </w:r>
    </w:p>
    <w:p w14:paraId="4FDD419F" w14:textId="64730459" w:rsidR="004846D3" w:rsidRPr="00CF6436" w:rsidRDefault="072B8CED" w:rsidP="524BF87A">
      <w:pPr>
        <w:spacing w:line="360" w:lineRule="auto"/>
        <w:ind w:firstLine="450"/>
        <w:rPr>
          <w:rFonts w:ascii="Segoe UI" w:hAnsi="Segoe UI" w:cs="Segoe UI"/>
        </w:rPr>
      </w:pPr>
      <w:r w:rsidRPr="524BF87A">
        <w:rPr>
          <w:rFonts w:ascii="Segoe UI" w:hAnsi="Segoe UI" w:cs="Segoe UI"/>
        </w:rPr>
        <w:t>The USPTO identified o</w:t>
      </w:r>
      <w:r w:rsidR="793CA50C" w:rsidRPr="524BF87A">
        <w:rPr>
          <w:rFonts w:ascii="Segoe UI" w:hAnsi="Segoe UI" w:cs="Segoe UI"/>
        </w:rPr>
        <w:t>n</w:t>
      </w:r>
      <w:r w:rsidR="7901B88C" w:rsidRPr="524BF87A">
        <w:rPr>
          <w:rFonts w:ascii="Segoe UI" w:hAnsi="Segoe UI" w:cs="Segoe UI"/>
        </w:rPr>
        <w:t xml:space="preserve">e benefit </w:t>
      </w:r>
      <w:r w:rsidRPr="524BF87A">
        <w:rPr>
          <w:rFonts w:ascii="Segoe UI" w:hAnsi="Segoe UI" w:cs="Segoe UI"/>
        </w:rPr>
        <w:t>of</w:t>
      </w:r>
      <w:r w:rsidR="793CA50C" w:rsidRPr="524BF87A">
        <w:rPr>
          <w:rFonts w:ascii="Segoe UI" w:hAnsi="Segoe UI" w:cs="Segoe UI"/>
        </w:rPr>
        <w:t xml:space="preserve"> </w:t>
      </w:r>
      <w:r w:rsidR="3137AC36" w:rsidRPr="524BF87A">
        <w:rPr>
          <w:rFonts w:ascii="Segoe UI" w:hAnsi="Segoe UI" w:cs="Segoe UI"/>
        </w:rPr>
        <w:t>Unit Cost Recovery (</w:t>
      </w:r>
      <w:r w:rsidR="7901B88C" w:rsidRPr="524BF87A">
        <w:rPr>
          <w:rFonts w:ascii="Segoe UI" w:hAnsi="Segoe UI" w:cs="Segoe UI"/>
        </w:rPr>
        <w:t>Alternative 2</w:t>
      </w:r>
      <w:r w:rsidR="3137AC36" w:rsidRPr="524BF87A">
        <w:rPr>
          <w:rFonts w:ascii="Segoe UI" w:hAnsi="Segoe UI" w:cs="Segoe UI"/>
        </w:rPr>
        <w:t>)</w:t>
      </w:r>
      <w:r w:rsidR="0EB24CAC" w:rsidRPr="524BF87A">
        <w:rPr>
          <w:rFonts w:ascii="Segoe UI" w:hAnsi="Segoe UI" w:cs="Segoe UI"/>
        </w:rPr>
        <w:t>—</w:t>
      </w:r>
      <w:r w:rsidR="2F52E6D0" w:rsidRPr="524BF87A">
        <w:rPr>
          <w:rFonts w:ascii="Segoe UI" w:hAnsi="Segoe UI" w:cs="Segoe UI"/>
        </w:rPr>
        <w:t>s</w:t>
      </w:r>
      <w:r w:rsidR="78C8377A" w:rsidRPr="524BF87A">
        <w:rPr>
          <w:rFonts w:ascii="Segoe UI" w:hAnsi="Segoe UI" w:cs="Segoe UI"/>
        </w:rPr>
        <w:t>ecuring</w:t>
      </w:r>
      <w:r w:rsidR="7901B88C" w:rsidRPr="524BF87A">
        <w:rPr>
          <w:rFonts w:ascii="Segoe UI" w:hAnsi="Segoe UI" w:cs="Segoe UI"/>
        </w:rPr>
        <w:t xml:space="preserve"> </w:t>
      </w:r>
      <w:r w:rsidR="2F52E6D0" w:rsidRPr="524BF87A">
        <w:rPr>
          <w:rFonts w:ascii="Segoe UI" w:hAnsi="Segoe UI" w:cs="Segoe UI"/>
        </w:rPr>
        <w:t>a</w:t>
      </w:r>
      <w:r w:rsidR="5AAA2CA2" w:rsidRPr="524BF87A">
        <w:rPr>
          <w:rFonts w:ascii="Segoe UI" w:hAnsi="Segoe UI" w:cs="Segoe UI"/>
        </w:rPr>
        <w:t>ggregate</w:t>
      </w:r>
      <w:r w:rsidR="7901B88C" w:rsidRPr="524BF87A">
        <w:rPr>
          <w:rFonts w:ascii="Segoe UI" w:hAnsi="Segoe UI" w:cs="Segoe UI"/>
        </w:rPr>
        <w:t xml:space="preserve"> </w:t>
      </w:r>
      <w:r w:rsidR="2F52E6D0" w:rsidRPr="524BF87A">
        <w:rPr>
          <w:rFonts w:ascii="Segoe UI" w:hAnsi="Segoe UI" w:cs="Segoe UI"/>
        </w:rPr>
        <w:t>r</w:t>
      </w:r>
      <w:r w:rsidR="7901B88C" w:rsidRPr="524BF87A">
        <w:rPr>
          <w:rFonts w:ascii="Segoe UI" w:hAnsi="Segoe UI" w:cs="Segoe UI"/>
        </w:rPr>
        <w:t xml:space="preserve">evenue </w:t>
      </w:r>
      <w:r w:rsidR="52FCF568" w:rsidRPr="524BF87A">
        <w:rPr>
          <w:rFonts w:ascii="Segoe UI" w:hAnsi="Segoe UI" w:cs="Segoe UI"/>
        </w:rPr>
        <w:t xml:space="preserve">to </w:t>
      </w:r>
      <w:r w:rsidR="626DD0AD" w:rsidRPr="524BF87A">
        <w:rPr>
          <w:rFonts w:ascii="Segoe UI" w:hAnsi="Segoe UI" w:cs="Segoe UI"/>
        </w:rPr>
        <w:t>re</w:t>
      </w:r>
      <w:r w:rsidR="2F52E6D0" w:rsidRPr="524BF87A">
        <w:rPr>
          <w:rFonts w:ascii="Segoe UI" w:hAnsi="Segoe UI" w:cs="Segoe UI"/>
        </w:rPr>
        <w:t>c</w:t>
      </w:r>
      <w:r w:rsidR="52FCF568" w:rsidRPr="524BF87A">
        <w:rPr>
          <w:rFonts w:ascii="Segoe UI" w:hAnsi="Segoe UI" w:cs="Segoe UI"/>
        </w:rPr>
        <w:t>o</w:t>
      </w:r>
      <w:r w:rsidR="7901B88C" w:rsidRPr="524BF87A">
        <w:rPr>
          <w:rFonts w:ascii="Segoe UI" w:hAnsi="Segoe UI" w:cs="Segoe UI"/>
        </w:rPr>
        <w:t xml:space="preserve">ver </w:t>
      </w:r>
      <w:r w:rsidR="2F52E6D0" w:rsidRPr="524BF87A">
        <w:rPr>
          <w:rFonts w:ascii="Segoe UI" w:hAnsi="Segoe UI" w:cs="Segoe UI"/>
        </w:rPr>
        <w:t>a</w:t>
      </w:r>
      <w:r w:rsidR="7901B88C" w:rsidRPr="524BF87A">
        <w:rPr>
          <w:rFonts w:ascii="Segoe UI" w:hAnsi="Segoe UI" w:cs="Segoe UI"/>
        </w:rPr>
        <w:t xml:space="preserve">ggregate </w:t>
      </w:r>
      <w:r w:rsidR="2F52E6D0" w:rsidRPr="524BF87A">
        <w:rPr>
          <w:rFonts w:ascii="Segoe UI" w:hAnsi="Segoe UI" w:cs="Segoe UI"/>
        </w:rPr>
        <w:t>c</w:t>
      </w:r>
      <w:r w:rsidR="7901B88C" w:rsidRPr="524BF87A">
        <w:rPr>
          <w:rFonts w:ascii="Segoe UI" w:hAnsi="Segoe UI" w:cs="Segoe UI"/>
        </w:rPr>
        <w:t>osts.</w:t>
      </w:r>
      <w:r w:rsidR="6558CFEB" w:rsidRPr="524BF87A">
        <w:rPr>
          <w:rFonts w:ascii="Segoe UI" w:hAnsi="Segoe UI" w:cs="Segoe UI"/>
        </w:rPr>
        <w:t xml:space="preserve"> </w:t>
      </w:r>
      <w:r w:rsidR="7901B88C" w:rsidRPr="524BF87A">
        <w:rPr>
          <w:rFonts w:ascii="Segoe UI" w:hAnsi="Segoe UI" w:cs="Segoe UI"/>
        </w:rPr>
        <w:t xml:space="preserve">This alternative generates </w:t>
      </w:r>
      <w:r w:rsidRPr="524BF87A">
        <w:rPr>
          <w:rFonts w:ascii="Segoe UI" w:hAnsi="Segoe UI" w:cs="Segoe UI"/>
        </w:rPr>
        <w:t xml:space="preserve">sufficient </w:t>
      </w:r>
      <w:r w:rsidR="7901B88C" w:rsidRPr="524BF87A">
        <w:rPr>
          <w:rFonts w:ascii="Segoe UI" w:hAnsi="Segoe UI" w:cs="Segoe UI"/>
        </w:rPr>
        <w:t>aggregate patent revenue to meet</w:t>
      </w:r>
      <w:r w:rsidR="793CA50C" w:rsidRPr="524BF87A">
        <w:rPr>
          <w:rFonts w:ascii="Segoe UI" w:hAnsi="Segoe UI" w:cs="Segoe UI"/>
        </w:rPr>
        <w:t xml:space="preserve"> the</w:t>
      </w:r>
      <w:r w:rsidR="7901B88C" w:rsidRPr="524BF87A">
        <w:rPr>
          <w:rFonts w:ascii="Segoe UI" w:hAnsi="Segoe UI" w:cs="Segoe UI"/>
        </w:rPr>
        <w:t xml:space="preserve"> strategic priority </w:t>
      </w:r>
      <w:r w:rsidR="2A78848B" w:rsidRPr="524BF87A">
        <w:rPr>
          <w:rFonts w:ascii="Segoe UI" w:hAnsi="Segoe UI" w:cs="Segoe UI"/>
        </w:rPr>
        <w:t xml:space="preserve">of </w:t>
      </w:r>
      <w:r w:rsidR="4F9994A4" w:rsidRPr="524BF87A">
        <w:rPr>
          <w:rFonts w:ascii="Segoe UI" w:hAnsi="Segoe UI" w:cs="Segoe UI"/>
        </w:rPr>
        <w:t>resourc</w:t>
      </w:r>
      <w:r w:rsidR="2A78848B" w:rsidRPr="524BF87A">
        <w:rPr>
          <w:rFonts w:ascii="Segoe UI" w:hAnsi="Segoe UI" w:cs="Segoe UI"/>
        </w:rPr>
        <w:t>ing</w:t>
      </w:r>
      <w:r w:rsidR="4F9994A4" w:rsidRPr="524BF87A">
        <w:rPr>
          <w:rFonts w:ascii="Segoe UI" w:hAnsi="Segoe UI" w:cs="Segoe UI"/>
        </w:rPr>
        <w:t xml:space="preserve"> mission success</w:t>
      </w:r>
      <w:r w:rsidR="7901B88C" w:rsidRPr="524BF87A">
        <w:rPr>
          <w:rFonts w:ascii="Segoe UI" w:hAnsi="Segoe UI" w:cs="Segoe UI"/>
        </w:rPr>
        <w:t>.</w:t>
      </w:r>
      <w:r w:rsidR="6558CFEB" w:rsidRPr="524BF87A">
        <w:rPr>
          <w:rFonts w:ascii="Segoe UI" w:hAnsi="Segoe UI" w:cs="Segoe UI"/>
        </w:rPr>
        <w:t xml:space="preserve"> </w:t>
      </w:r>
      <w:r w:rsidR="7F0ADDAC" w:rsidRPr="524BF87A">
        <w:rPr>
          <w:rFonts w:ascii="Segoe UI" w:hAnsi="Segoe UI" w:cs="Segoe UI"/>
        </w:rPr>
        <w:t>While recovering aggregate patent costs is classified as a benefit in th</w:t>
      </w:r>
      <w:r w:rsidR="2A78848B" w:rsidRPr="524BF87A">
        <w:rPr>
          <w:rFonts w:ascii="Segoe UI" w:hAnsi="Segoe UI" w:cs="Segoe UI"/>
        </w:rPr>
        <w:t>is</w:t>
      </w:r>
      <w:r w:rsidR="7F0ADDAC" w:rsidRPr="524BF87A">
        <w:rPr>
          <w:rFonts w:ascii="Segoe UI" w:hAnsi="Segoe UI" w:cs="Segoe UI"/>
        </w:rPr>
        <w:t xml:space="preserve"> analysis, th</w:t>
      </w:r>
      <w:r w:rsidR="2A78848B" w:rsidRPr="524BF87A">
        <w:rPr>
          <w:rFonts w:ascii="Segoe UI" w:hAnsi="Segoe UI" w:cs="Segoe UI"/>
        </w:rPr>
        <w:t>e Unit Cost Recovery</w:t>
      </w:r>
      <w:r w:rsidR="7F0ADDAC" w:rsidRPr="524BF87A">
        <w:rPr>
          <w:rFonts w:ascii="Segoe UI" w:hAnsi="Segoe UI" w:cs="Segoe UI"/>
        </w:rPr>
        <w:t xml:space="preserve"> alternative </w:t>
      </w:r>
      <w:r w:rsidR="793CA50C" w:rsidRPr="524BF87A">
        <w:rPr>
          <w:rFonts w:ascii="Segoe UI" w:hAnsi="Segoe UI" w:cs="Segoe UI"/>
        </w:rPr>
        <w:t>is</w:t>
      </w:r>
      <w:r w:rsidR="7F0ADDAC" w:rsidRPr="524BF87A">
        <w:rPr>
          <w:rFonts w:ascii="Segoe UI" w:hAnsi="Segoe UI" w:cs="Segoe UI"/>
        </w:rPr>
        <w:t xml:space="preserve"> wholly insufficient at fulfilling three of the </w:t>
      </w:r>
      <w:r w:rsidR="2A78848B" w:rsidRPr="524BF87A">
        <w:rPr>
          <w:rFonts w:ascii="Segoe UI" w:hAnsi="Segoe UI" w:cs="Segoe UI"/>
        </w:rPr>
        <w:t xml:space="preserve">USPTO’s </w:t>
      </w:r>
      <w:r w:rsidR="7F0ADDAC" w:rsidRPr="524BF87A">
        <w:rPr>
          <w:rFonts w:ascii="Segoe UI" w:hAnsi="Segoe UI" w:cs="Segoe UI"/>
        </w:rPr>
        <w:t>four fee setting policy factors (</w:t>
      </w:r>
      <w:r w:rsidR="3137AC36" w:rsidRPr="524BF87A">
        <w:rPr>
          <w:rFonts w:ascii="Segoe UI" w:hAnsi="Segoe UI" w:cs="Segoe UI"/>
        </w:rPr>
        <w:t xml:space="preserve">promote </w:t>
      </w:r>
      <w:r w:rsidR="7F0ADDAC" w:rsidRPr="524BF87A">
        <w:rPr>
          <w:rFonts w:ascii="Segoe UI" w:hAnsi="Segoe UI" w:cs="Segoe UI"/>
        </w:rPr>
        <w:t>innovation</w:t>
      </w:r>
      <w:r w:rsidR="3137AC36" w:rsidRPr="524BF87A">
        <w:rPr>
          <w:rFonts w:ascii="Segoe UI" w:hAnsi="Segoe UI" w:cs="Segoe UI"/>
        </w:rPr>
        <w:t xml:space="preserve"> strategies</w:t>
      </w:r>
      <w:r w:rsidR="7F0ADDAC" w:rsidRPr="524BF87A">
        <w:rPr>
          <w:rFonts w:ascii="Segoe UI" w:hAnsi="Segoe UI" w:cs="Segoe UI"/>
        </w:rPr>
        <w:t>, set fees to facilitate the effective administration of the patent system, and offer application processing options for applicants).</w:t>
      </w:r>
    </w:p>
    <w:p w14:paraId="762B5F94" w14:textId="77777777" w:rsidR="0086407D" w:rsidRPr="00CF6436" w:rsidRDefault="0086407D" w:rsidP="00CF6436">
      <w:pPr>
        <w:spacing w:line="360" w:lineRule="auto"/>
        <w:rPr>
          <w:rFonts w:ascii="Segoe UI" w:hAnsi="Segoe UI" w:cs="Segoe UI"/>
        </w:rPr>
      </w:pPr>
    </w:p>
    <w:p w14:paraId="78FEA367" w14:textId="3347ABB1" w:rsidR="00E52351" w:rsidRPr="00CF6436" w:rsidRDefault="14D20277" w:rsidP="000F20DC">
      <w:pPr>
        <w:pStyle w:val="Heading2Number"/>
        <w:numPr>
          <w:ilvl w:val="1"/>
          <w:numId w:val="14"/>
        </w:numPr>
        <w:spacing w:line="360" w:lineRule="auto"/>
        <w:rPr>
          <w:rFonts w:ascii="Segoe UI" w:hAnsi="Segoe UI" w:cs="Segoe UI"/>
        </w:rPr>
      </w:pPr>
      <w:bookmarkStart w:id="165" w:name="_Toc344477658"/>
      <w:bookmarkStart w:id="166" w:name="_Toc327257175"/>
      <w:bookmarkStart w:id="167" w:name="_Toc451951725"/>
      <w:bookmarkStart w:id="168" w:name="_Toc451951726"/>
      <w:bookmarkStart w:id="169" w:name="_Toc451951727"/>
      <w:bookmarkStart w:id="170" w:name="_Toc451951728"/>
      <w:bookmarkStart w:id="171" w:name="_Toc451951729"/>
      <w:bookmarkStart w:id="172" w:name="_Toc451951730"/>
      <w:bookmarkStart w:id="173" w:name="_Toc451951731"/>
      <w:bookmarkStart w:id="174" w:name="_Toc451951732"/>
      <w:bookmarkStart w:id="175" w:name="_Toc451951733"/>
      <w:bookmarkStart w:id="176" w:name="_Toc451951734"/>
      <w:bookmarkStart w:id="177" w:name="_Toc451951735"/>
      <w:bookmarkStart w:id="178" w:name="_Toc451951736"/>
      <w:bookmarkStart w:id="179" w:name="_Toc451951737"/>
      <w:bookmarkStart w:id="180" w:name="_Toc451951738"/>
      <w:bookmarkStart w:id="181" w:name="_Toc451951739"/>
      <w:bookmarkStart w:id="182" w:name="_Toc451951740"/>
      <w:bookmarkStart w:id="183" w:name="_Toc451951741"/>
      <w:bookmarkStart w:id="184" w:name="_Toc451951742"/>
      <w:bookmarkStart w:id="185" w:name="_Toc451951743"/>
      <w:bookmarkStart w:id="186" w:name="_Toc451951744"/>
      <w:bookmarkStart w:id="187" w:name="_Toc451951745"/>
      <w:bookmarkStart w:id="188" w:name="_Toc451951746"/>
      <w:bookmarkStart w:id="189" w:name="_Toc451951747"/>
      <w:bookmarkStart w:id="190" w:name="_Toc451951748"/>
      <w:bookmarkStart w:id="191" w:name="_Toc451951749"/>
      <w:bookmarkStart w:id="192" w:name="_Toc451951750"/>
      <w:bookmarkStart w:id="193" w:name="_Toc451951751"/>
      <w:bookmarkStart w:id="194" w:name="_Toc451951752"/>
      <w:bookmarkStart w:id="195" w:name="_Toc451951753"/>
      <w:bookmarkStart w:id="196" w:name="_Toc451882666"/>
      <w:bookmarkStart w:id="197" w:name="_Toc451882778"/>
      <w:bookmarkStart w:id="198" w:name="_Toc451951754"/>
      <w:bookmarkStart w:id="199" w:name="_Toc451882667"/>
      <w:bookmarkStart w:id="200" w:name="_Toc451882779"/>
      <w:bookmarkStart w:id="201" w:name="_Toc451951755"/>
      <w:bookmarkStart w:id="202" w:name="_Toc451882668"/>
      <w:bookmarkStart w:id="203" w:name="_Toc451882780"/>
      <w:bookmarkStart w:id="204" w:name="_Toc451951756"/>
      <w:bookmarkStart w:id="205" w:name="_Toc451882669"/>
      <w:bookmarkStart w:id="206" w:name="_Toc451882781"/>
      <w:bookmarkStart w:id="207" w:name="_Toc451951757"/>
      <w:bookmarkStart w:id="208" w:name="_Toc451882670"/>
      <w:bookmarkStart w:id="209" w:name="_Toc451882782"/>
      <w:bookmarkStart w:id="210" w:name="_Toc451951758"/>
      <w:bookmarkStart w:id="211" w:name="_Toc451882671"/>
      <w:bookmarkStart w:id="212" w:name="_Toc451882783"/>
      <w:bookmarkStart w:id="213" w:name="_Toc451951759"/>
      <w:bookmarkStart w:id="214" w:name="_Toc451951760"/>
      <w:bookmarkStart w:id="215" w:name="_Toc451951761"/>
      <w:bookmarkStart w:id="216" w:name="_Toc451951762"/>
      <w:bookmarkStart w:id="217" w:name="_Toc451951864"/>
      <w:bookmarkStart w:id="218" w:name="_Toc451951865"/>
      <w:bookmarkStart w:id="219" w:name="_Toc451951866"/>
      <w:bookmarkStart w:id="220" w:name="_Toc451951867"/>
      <w:bookmarkStart w:id="221" w:name="_Toc451951868"/>
      <w:bookmarkStart w:id="222" w:name="_Toc451951869"/>
      <w:bookmarkStart w:id="223" w:name="_Toc451951870"/>
      <w:bookmarkStart w:id="224" w:name="_Toc451951871"/>
      <w:bookmarkStart w:id="225" w:name="_Toc451951872"/>
      <w:bookmarkStart w:id="226" w:name="_Toc451951873"/>
      <w:bookmarkStart w:id="227" w:name="_Toc451951874"/>
      <w:bookmarkStart w:id="228" w:name="_Toc451951875"/>
      <w:bookmarkStart w:id="229" w:name="_Toc451951876"/>
      <w:bookmarkStart w:id="230" w:name="_Toc451951877"/>
      <w:bookmarkStart w:id="231" w:name="_Toc451951878"/>
      <w:bookmarkStart w:id="232" w:name="_Toc451951882"/>
      <w:bookmarkStart w:id="233" w:name="_Toc451951887"/>
      <w:bookmarkStart w:id="234" w:name="_Toc451951892"/>
      <w:bookmarkStart w:id="235" w:name="_Toc451952292"/>
      <w:bookmarkStart w:id="236" w:name="_Toc451952293"/>
      <w:bookmarkStart w:id="237" w:name="_Toc451952294"/>
      <w:bookmarkStart w:id="238" w:name="_Toc451952295"/>
      <w:bookmarkStart w:id="239" w:name="_Toc451952296"/>
      <w:bookmarkStart w:id="240" w:name="_Toc451952297"/>
      <w:bookmarkStart w:id="241" w:name="_Toc451952304"/>
      <w:bookmarkStart w:id="242" w:name="_Toc451952312"/>
      <w:bookmarkStart w:id="243" w:name="_Toc451952320"/>
      <w:bookmarkStart w:id="244" w:name="_Toc451952336"/>
      <w:bookmarkStart w:id="245" w:name="_Toc451952352"/>
      <w:bookmarkStart w:id="246" w:name="_Toc451952368"/>
      <w:bookmarkStart w:id="247" w:name="_Toc451952384"/>
      <w:bookmarkStart w:id="248" w:name="_Toc451952400"/>
      <w:bookmarkStart w:id="249" w:name="_Toc451952416"/>
      <w:bookmarkStart w:id="250" w:name="_Toc451952432"/>
      <w:bookmarkStart w:id="251" w:name="_Toc451952448"/>
      <w:bookmarkStart w:id="252" w:name="_Toc451952464"/>
      <w:bookmarkStart w:id="253" w:name="_Toc451952480"/>
      <w:bookmarkStart w:id="254" w:name="_Toc451952496"/>
      <w:bookmarkStart w:id="255" w:name="_Toc451952512"/>
      <w:bookmarkStart w:id="256" w:name="_Toc451952528"/>
      <w:bookmarkStart w:id="257" w:name="_Toc451952544"/>
      <w:bookmarkStart w:id="258" w:name="_Toc451952560"/>
      <w:bookmarkStart w:id="259" w:name="_Toc451952576"/>
      <w:bookmarkStart w:id="260" w:name="_Toc451952592"/>
      <w:bookmarkStart w:id="261" w:name="_Toc451952604"/>
      <w:bookmarkStart w:id="262" w:name="_Toc451952612"/>
      <w:bookmarkStart w:id="263" w:name="_Toc451952620"/>
      <w:bookmarkStart w:id="264" w:name="_Toc451952628"/>
      <w:bookmarkStart w:id="265" w:name="_Toc451952642"/>
      <w:bookmarkStart w:id="266" w:name="_Toc451952658"/>
      <w:bookmarkStart w:id="267" w:name="_Toc451952674"/>
      <w:bookmarkStart w:id="268" w:name="_Toc451952690"/>
      <w:bookmarkStart w:id="269" w:name="_Toc451952706"/>
      <w:bookmarkStart w:id="270" w:name="_Toc451952722"/>
      <w:bookmarkStart w:id="271" w:name="_Toc451952738"/>
      <w:bookmarkStart w:id="272" w:name="_Toc451952754"/>
      <w:bookmarkStart w:id="273" w:name="_Toc451952766"/>
      <w:bookmarkStart w:id="274" w:name="_Toc451952774"/>
      <w:bookmarkStart w:id="275" w:name="_Toc451952782"/>
      <w:bookmarkStart w:id="276" w:name="_Toc451952790"/>
      <w:bookmarkStart w:id="277" w:name="_Toc451952798"/>
      <w:bookmarkStart w:id="278" w:name="_Toc451952806"/>
      <w:bookmarkStart w:id="279" w:name="_Toc451952810"/>
      <w:bookmarkStart w:id="280" w:name="_Toc451952811"/>
      <w:bookmarkStart w:id="281" w:name="_Toc451952812"/>
      <w:bookmarkStart w:id="282" w:name="_Toc451952813"/>
      <w:bookmarkStart w:id="283" w:name="_Toc451952814"/>
      <w:bookmarkStart w:id="284" w:name="_Toc451952815"/>
      <w:bookmarkStart w:id="285" w:name="_Toc451952816"/>
      <w:bookmarkStart w:id="286" w:name="_Toc451952817"/>
      <w:bookmarkStart w:id="287" w:name="_Toc451952818"/>
      <w:bookmarkStart w:id="288" w:name="_Toc451952819"/>
      <w:bookmarkStart w:id="289" w:name="_Toc451952820"/>
      <w:bookmarkStart w:id="290" w:name="_Toc451952821"/>
      <w:bookmarkStart w:id="291" w:name="_Toc451952822"/>
      <w:bookmarkStart w:id="292" w:name="_Toc451952823"/>
      <w:bookmarkStart w:id="293" w:name="_Toc451952824"/>
      <w:bookmarkStart w:id="294" w:name="_Toc451952825"/>
      <w:bookmarkStart w:id="295" w:name="_Toc451952826"/>
      <w:bookmarkStart w:id="296" w:name="_Toc451952827"/>
      <w:bookmarkStart w:id="297" w:name="_Toc451952828"/>
      <w:bookmarkStart w:id="298" w:name="_Toc451952829"/>
      <w:bookmarkStart w:id="299" w:name="_Toc451952830"/>
      <w:bookmarkStart w:id="300" w:name="_Toc451952831"/>
      <w:bookmarkStart w:id="301" w:name="_Toc451952832"/>
      <w:bookmarkStart w:id="302" w:name="_Toc451952833"/>
      <w:bookmarkStart w:id="303" w:name="_Toc451952834"/>
      <w:bookmarkStart w:id="304" w:name="_Toc451952835"/>
      <w:bookmarkStart w:id="305" w:name="_Toc451952836"/>
      <w:bookmarkStart w:id="306" w:name="_Toc451952837"/>
      <w:bookmarkStart w:id="307" w:name="_Toc325554082"/>
      <w:bookmarkStart w:id="308" w:name="_Toc451952838"/>
      <w:bookmarkStart w:id="309" w:name="_Toc175640433"/>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sidRPr="524BF87A">
        <w:rPr>
          <w:rFonts w:ascii="Segoe UI" w:hAnsi="Segoe UI" w:cs="Segoe UI"/>
        </w:rPr>
        <w:t>Across</w:t>
      </w:r>
      <w:r w:rsidR="08C916E4" w:rsidRPr="524BF87A">
        <w:rPr>
          <w:rFonts w:ascii="Segoe UI" w:hAnsi="Segoe UI" w:cs="Segoe UI"/>
        </w:rPr>
        <w:t>-</w:t>
      </w:r>
      <w:r w:rsidRPr="524BF87A">
        <w:rPr>
          <w:rFonts w:ascii="Segoe UI" w:hAnsi="Segoe UI" w:cs="Segoe UI"/>
        </w:rPr>
        <w:t>the</w:t>
      </w:r>
      <w:r w:rsidR="08C916E4" w:rsidRPr="524BF87A">
        <w:rPr>
          <w:rFonts w:ascii="Segoe UI" w:hAnsi="Segoe UI" w:cs="Segoe UI"/>
        </w:rPr>
        <w:t>-</w:t>
      </w:r>
      <w:r w:rsidRPr="524BF87A">
        <w:rPr>
          <w:rFonts w:ascii="Segoe UI" w:hAnsi="Segoe UI" w:cs="Segoe UI"/>
        </w:rPr>
        <w:t>Board Adjustment</w:t>
      </w:r>
      <w:bookmarkEnd w:id="307"/>
      <w:bookmarkEnd w:id="308"/>
      <w:r w:rsidR="001E296B" w:rsidRPr="524BF87A">
        <w:rPr>
          <w:rFonts w:ascii="Segoe UI" w:hAnsi="Segoe UI" w:cs="Segoe UI"/>
        </w:rPr>
        <w:t xml:space="preserve"> (Alternative 3)</w:t>
      </w:r>
      <w:bookmarkEnd w:id="309"/>
    </w:p>
    <w:p w14:paraId="316B6F65" w14:textId="0CA818AB" w:rsidR="00A62DA7" w:rsidRPr="00CF6436" w:rsidRDefault="5B88688B" w:rsidP="17CECF10">
      <w:pPr>
        <w:pStyle w:val="BottomofTableSpacing"/>
        <w:spacing w:line="360" w:lineRule="auto"/>
        <w:ind w:left="360"/>
        <w:jc w:val="center"/>
        <w:rPr>
          <w:rFonts w:ascii="Segoe UI" w:hAnsi="Segoe UI" w:cs="Segoe UI"/>
          <w:szCs w:val="24"/>
        </w:rPr>
      </w:pPr>
      <w:r w:rsidRPr="17CECF10">
        <w:rPr>
          <w:rFonts w:ascii="Segoe UI" w:hAnsi="Segoe UI" w:cs="Segoe UI"/>
          <w:b/>
          <w:bCs/>
          <w:szCs w:val="24"/>
        </w:rPr>
        <w:t>Table 4-</w:t>
      </w:r>
      <w:r w:rsidR="6BF3A32F" w:rsidRPr="17CECF10">
        <w:rPr>
          <w:rFonts w:ascii="Segoe UI" w:hAnsi="Segoe UI" w:cs="Segoe UI"/>
          <w:b/>
          <w:bCs/>
          <w:szCs w:val="24"/>
        </w:rPr>
        <w:t>9</w:t>
      </w:r>
      <w:r w:rsidR="00A62DA7" w:rsidRPr="17CECF10">
        <w:rPr>
          <w:rFonts w:ascii="Segoe UI" w:hAnsi="Segoe UI" w:cs="Segoe UI"/>
          <w:color w:val="2B579A"/>
        </w:rPr>
        <w:fldChar w:fldCharType="begin"/>
      </w:r>
      <w:r w:rsidR="30923066" w:rsidRPr="17CECF10">
        <w:rPr>
          <w:rFonts w:ascii="Segoe UI" w:hAnsi="Segoe UI" w:cs="Segoe UI"/>
        </w:rPr>
        <w:instrText xml:space="preserve"> LINK Excel.Sheet.12 "\\\\nsx-orgshares\\ISO-OPBE\\FORECASTING &amp; REVENUE\\FY15 Biennial Fee Review\\Patent NPRM Materials\\RIA\\RIA_Transfer tables V2.xlsx" "Sec 4 intro tables!R4C17:R13C23" \a \f 4 \h  \* MERGEFORMAT </w:instrText>
      </w:r>
      <w:r w:rsidR="00A62DA7" w:rsidRPr="17CECF10">
        <w:rPr>
          <w:rFonts w:ascii="Segoe UI" w:hAnsi="Segoe UI" w:cs="Segoe UI"/>
          <w:color w:val="2B579A"/>
        </w:rPr>
        <w:fldChar w:fldCharType="separate"/>
      </w:r>
    </w:p>
    <w:tbl>
      <w:tblPr>
        <w:tblW w:w="9821" w:type="dxa"/>
        <w:jc w:val="center"/>
        <w:tblLayout w:type="fixed"/>
        <w:tblLook w:val="04A0" w:firstRow="1" w:lastRow="0" w:firstColumn="1" w:lastColumn="0" w:noHBand="0" w:noVBand="1"/>
      </w:tblPr>
      <w:tblGrid>
        <w:gridCol w:w="3269"/>
        <w:gridCol w:w="1088"/>
        <w:gridCol w:w="1089"/>
        <w:gridCol w:w="1088"/>
        <w:gridCol w:w="1089"/>
        <w:gridCol w:w="1088"/>
        <w:gridCol w:w="1089"/>
        <w:gridCol w:w="21"/>
      </w:tblGrid>
      <w:tr w:rsidR="00BD214C" w:rsidRPr="009E6E5B" w14:paraId="0BEC9B7A" w14:textId="77777777" w:rsidTr="17CECF10">
        <w:trPr>
          <w:trHeight w:val="312"/>
          <w:tblHeader/>
          <w:jc w:val="center"/>
        </w:trPr>
        <w:tc>
          <w:tcPr>
            <w:tcW w:w="9821" w:type="dxa"/>
            <w:gridSpan w:val="8"/>
            <w:tcBorders>
              <w:top w:val="single" w:sz="8" w:space="0" w:color="auto"/>
              <w:left w:val="single" w:sz="8" w:space="0" w:color="auto"/>
              <w:bottom w:val="nil"/>
              <w:right w:val="single" w:sz="8" w:space="0" w:color="000000" w:themeColor="text1"/>
            </w:tcBorders>
            <w:shd w:val="clear" w:color="auto" w:fill="auto"/>
            <w:vAlign w:val="center"/>
            <w:hideMark/>
          </w:tcPr>
          <w:p w14:paraId="019D55AE" w14:textId="77777777" w:rsidR="00A62DA7" w:rsidRPr="009E6E5B" w:rsidRDefault="0C7DAC1A" w:rsidP="17CECF10">
            <w:pPr>
              <w:spacing w:line="276" w:lineRule="auto"/>
              <w:jc w:val="center"/>
              <w:rPr>
                <w:rFonts w:ascii="Segoe UI" w:eastAsia="Times New Roman" w:hAnsi="Segoe UI" w:cs="Segoe UI"/>
                <w:b/>
                <w:bCs/>
                <w:color w:val="000000"/>
                <w:szCs w:val="24"/>
              </w:rPr>
            </w:pPr>
            <w:r w:rsidRPr="009E6E5B">
              <w:rPr>
                <w:rFonts w:ascii="Segoe UI" w:eastAsia="Times New Roman" w:hAnsi="Segoe UI" w:cs="Segoe UI"/>
                <w:b/>
                <w:bCs/>
                <w:color w:val="000000" w:themeColor="text1"/>
                <w:sz w:val="22"/>
              </w:rPr>
              <w:lastRenderedPageBreak/>
              <w:t>Patent Costs and Revenue by Alternative</w:t>
            </w:r>
          </w:p>
        </w:tc>
      </w:tr>
      <w:tr w:rsidR="00BD214C" w:rsidRPr="009E6E5B" w14:paraId="3FEBC563" w14:textId="77777777" w:rsidTr="17CECF10">
        <w:trPr>
          <w:trHeight w:val="324"/>
          <w:tblHeader/>
          <w:jc w:val="center"/>
        </w:trPr>
        <w:tc>
          <w:tcPr>
            <w:tcW w:w="9821" w:type="dxa"/>
            <w:gridSpan w:val="8"/>
            <w:tcBorders>
              <w:top w:val="nil"/>
              <w:left w:val="single" w:sz="8" w:space="0" w:color="auto"/>
              <w:bottom w:val="single" w:sz="8" w:space="0" w:color="auto"/>
              <w:right w:val="single" w:sz="8" w:space="0" w:color="000000" w:themeColor="text1"/>
            </w:tcBorders>
            <w:shd w:val="clear" w:color="auto" w:fill="auto"/>
            <w:vAlign w:val="center"/>
            <w:hideMark/>
          </w:tcPr>
          <w:p w14:paraId="0F1551B2" w14:textId="77777777" w:rsidR="00A62DA7" w:rsidRPr="009E6E5B" w:rsidRDefault="0C7DAC1A" w:rsidP="17CECF10">
            <w:pPr>
              <w:spacing w:line="276" w:lineRule="auto"/>
              <w:jc w:val="center"/>
              <w:rPr>
                <w:rFonts w:ascii="Segoe UI" w:eastAsia="Times New Roman" w:hAnsi="Segoe UI" w:cs="Segoe UI"/>
                <w:b/>
                <w:bCs/>
                <w:color w:val="000000"/>
                <w:szCs w:val="24"/>
              </w:rPr>
            </w:pPr>
            <w:r w:rsidRPr="009E6E5B">
              <w:rPr>
                <w:rFonts w:ascii="Segoe UI" w:eastAsia="Times New Roman" w:hAnsi="Segoe UI" w:cs="Segoe UI"/>
                <w:b/>
                <w:bCs/>
                <w:color w:val="000000" w:themeColor="text1"/>
                <w:sz w:val="22"/>
              </w:rPr>
              <w:t>(dollars in millions)</w:t>
            </w:r>
          </w:p>
        </w:tc>
      </w:tr>
      <w:tr w:rsidR="00BD214C" w:rsidRPr="009E6E5B" w14:paraId="27ECA012" w14:textId="77777777" w:rsidTr="17CECF10">
        <w:trPr>
          <w:gridAfter w:val="1"/>
          <w:wAfter w:w="21" w:type="dxa"/>
          <w:trHeight w:val="324"/>
          <w:tblHeader/>
          <w:jc w:val="center"/>
        </w:trPr>
        <w:tc>
          <w:tcPr>
            <w:tcW w:w="3269" w:type="dxa"/>
            <w:tcBorders>
              <w:top w:val="nil"/>
              <w:left w:val="single" w:sz="8" w:space="0" w:color="auto"/>
              <w:bottom w:val="single" w:sz="4" w:space="0" w:color="auto"/>
              <w:right w:val="single" w:sz="8" w:space="0" w:color="auto"/>
            </w:tcBorders>
            <w:shd w:val="clear" w:color="auto" w:fill="auto"/>
            <w:noWrap/>
            <w:vAlign w:val="center"/>
            <w:hideMark/>
          </w:tcPr>
          <w:p w14:paraId="53002D22" w14:textId="77777777" w:rsidR="00AD50AC" w:rsidRPr="009E6E5B" w:rsidRDefault="4F173E86" w:rsidP="17CECF10">
            <w:pPr>
              <w:spacing w:line="276" w:lineRule="auto"/>
              <w:rPr>
                <w:rFonts w:ascii="Segoe UI" w:eastAsia="Times New Roman" w:hAnsi="Segoe UI" w:cs="Segoe UI"/>
                <w:color w:val="000000"/>
                <w:szCs w:val="24"/>
              </w:rPr>
            </w:pPr>
            <w:r w:rsidRPr="009E6E5B">
              <w:rPr>
                <w:rFonts w:ascii="Segoe UI" w:eastAsia="Times New Roman" w:hAnsi="Segoe UI" w:cs="Segoe UI"/>
                <w:color w:val="000000" w:themeColor="text1"/>
                <w:sz w:val="22"/>
              </w:rPr>
              <w:t> </w:t>
            </w:r>
          </w:p>
        </w:tc>
        <w:tc>
          <w:tcPr>
            <w:tcW w:w="1088" w:type="dxa"/>
            <w:tcBorders>
              <w:top w:val="nil"/>
              <w:left w:val="nil"/>
              <w:bottom w:val="single" w:sz="8" w:space="0" w:color="auto"/>
              <w:right w:val="single" w:sz="8" w:space="0" w:color="auto"/>
            </w:tcBorders>
            <w:shd w:val="clear" w:color="auto" w:fill="auto"/>
            <w:noWrap/>
            <w:vAlign w:val="center"/>
            <w:hideMark/>
          </w:tcPr>
          <w:p w14:paraId="48D0627E" w14:textId="3518E389" w:rsidR="00AD50AC" w:rsidRPr="009E6E5B" w:rsidRDefault="4F173E86" w:rsidP="17CECF10">
            <w:pPr>
              <w:spacing w:line="276" w:lineRule="auto"/>
              <w:jc w:val="center"/>
              <w:rPr>
                <w:rFonts w:ascii="Segoe UI" w:eastAsia="Times New Roman" w:hAnsi="Segoe UI" w:cs="Segoe UI"/>
                <w:b/>
                <w:bCs/>
                <w:color w:val="000000"/>
                <w:szCs w:val="24"/>
              </w:rPr>
            </w:pPr>
            <w:r w:rsidRPr="009E6E5B">
              <w:rPr>
                <w:rFonts w:ascii="Segoe UI" w:hAnsi="Segoe UI" w:cs="Segoe UI"/>
                <w:b/>
                <w:bCs/>
                <w:color w:val="000000" w:themeColor="text1"/>
                <w:sz w:val="22"/>
              </w:rPr>
              <w:t>FY 2025</w:t>
            </w:r>
          </w:p>
        </w:tc>
        <w:tc>
          <w:tcPr>
            <w:tcW w:w="1089" w:type="dxa"/>
            <w:tcBorders>
              <w:top w:val="nil"/>
              <w:left w:val="nil"/>
              <w:bottom w:val="single" w:sz="8" w:space="0" w:color="auto"/>
              <w:right w:val="single" w:sz="8" w:space="0" w:color="auto"/>
            </w:tcBorders>
            <w:shd w:val="clear" w:color="auto" w:fill="auto"/>
            <w:noWrap/>
            <w:vAlign w:val="center"/>
            <w:hideMark/>
          </w:tcPr>
          <w:p w14:paraId="7D5F6040" w14:textId="58D41E72" w:rsidR="00AD50AC" w:rsidRPr="009E6E5B" w:rsidRDefault="4F173E86" w:rsidP="17CECF10">
            <w:pPr>
              <w:spacing w:line="276" w:lineRule="auto"/>
              <w:jc w:val="center"/>
              <w:rPr>
                <w:rFonts w:ascii="Segoe UI" w:eastAsia="Times New Roman" w:hAnsi="Segoe UI" w:cs="Segoe UI"/>
                <w:b/>
                <w:bCs/>
                <w:color w:val="000000"/>
                <w:szCs w:val="24"/>
              </w:rPr>
            </w:pPr>
            <w:r w:rsidRPr="009E6E5B">
              <w:rPr>
                <w:rFonts w:ascii="Segoe UI" w:hAnsi="Segoe UI" w:cs="Segoe UI"/>
                <w:b/>
                <w:bCs/>
                <w:color w:val="000000" w:themeColor="text1"/>
                <w:sz w:val="22"/>
              </w:rPr>
              <w:t>FY 2026</w:t>
            </w:r>
          </w:p>
        </w:tc>
        <w:tc>
          <w:tcPr>
            <w:tcW w:w="1088" w:type="dxa"/>
            <w:tcBorders>
              <w:top w:val="nil"/>
              <w:left w:val="nil"/>
              <w:bottom w:val="single" w:sz="8" w:space="0" w:color="auto"/>
              <w:right w:val="single" w:sz="8" w:space="0" w:color="auto"/>
            </w:tcBorders>
            <w:shd w:val="clear" w:color="auto" w:fill="auto"/>
            <w:noWrap/>
            <w:vAlign w:val="center"/>
            <w:hideMark/>
          </w:tcPr>
          <w:p w14:paraId="4EFC6758" w14:textId="21BD294E" w:rsidR="00AD50AC" w:rsidRPr="009E6E5B" w:rsidRDefault="4F173E86" w:rsidP="17CECF10">
            <w:pPr>
              <w:spacing w:line="276" w:lineRule="auto"/>
              <w:jc w:val="center"/>
              <w:rPr>
                <w:rFonts w:ascii="Segoe UI" w:eastAsia="Times New Roman" w:hAnsi="Segoe UI" w:cs="Segoe UI"/>
                <w:b/>
                <w:bCs/>
                <w:color w:val="000000"/>
                <w:szCs w:val="24"/>
              </w:rPr>
            </w:pPr>
            <w:r w:rsidRPr="009E6E5B">
              <w:rPr>
                <w:rFonts w:ascii="Segoe UI" w:hAnsi="Segoe UI" w:cs="Segoe UI"/>
                <w:b/>
                <w:bCs/>
                <w:color w:val="000000" w:themeColor="text1"/>
                <w:sz w:val="22"/>
              </w:rPr>
              <w:t>FY 2027</w:t>
            </w:r>
          </w:p>
        </w:tc>
        <w:tc>
          <w:tcPr>
            <w:tcW w:w="1089" w:type="dxa"/>
            <w:tcBorders>
              <w:top w:val="nil"/>
              <w:left w:val="nil"/>
              <w:bottom w:val="single" w:sz="8" w:space="0" w:color="auto"/>
              <w:right w:val="single" w:sz="8" w:space="0" w:color="auto"/>
            </w:tcBorders>
            <w:shd w:val="clear" w:color="auto" w:fill="auto"/>
            <w:noWrap/>
            <w:vAlign w:val="center"/>
            <w:hideMark/>
          </w:tcPr>
          <w:p w14:paraId="44156A9E" w14:textId="4E9818D2" w:rsidR="00AD50AC" w:rsidRPr="009E6E5B" w:rsidRDefault="4F173E86" w:rsidP="17CECF10">
            <w:pPr>
              <w:spacing w:line="276" w:lineRule="auto"/>
              <w:jc w:val="center"/>
              <w:rPr>
                <w:rFonts w:ascii="Segoe UI" w:eastAsia="Times New Roman" w:hAnsi="Segoe UI" w:cs="Segoe UI"/>
                <w:b/>
                <w:bCs/>
                <w:color w:val="000000"/>
                <w:szCs w:val="24"/>
              </w:rPr>
            </w:pPr>
            <w:r w:rsidRPr="009E6E5B">
              <w:rPr>
                <w:rFonts w:ascii="Segoe UI" w:hAnsi="Segoe UI" w:cs="Segoe UI"/>
                <w:b/>
                <w:bCs/>
                <w:color w:val="000000" w:themeColor="text1"/>
                <w:sz w:val="22"/>
              </w:rPr>
              <w:t>FY 2028</w:t>
            </w:r>
          </w:p>
        </w:tc>
        <w:tc>
          <w:tcPr>
            <w:tcW w:w="1088" w:type="dxa"/>
            <w:tcBorders>
              <w:top w:val="nil"/>
              <w:left w:val="nil"/>
              <w:bottom w:val="single" w:sz="8" w:space="0" w:color="auto"/>
              <w:right w:val="single" w:sz="8" w:space="0" w:color="auto"/>
            </w:tcBorders>
            <w:shd w:val="clear" w:color="auto" w:fill="auto"/>
            <w:noWrap/>
            <w:vAlign w:val="center"/>
            <w:hideMark/>
          </w:tcPr>
          <w:p w14:paraId="04A80C77" w14:textId="73A2FADE" w:rsidR="00AD50AC" w:rsidRPr="009E6E5B" w:rsidRDefault="4F173E86" w:rsidP="17CECF10">
            <w:pPr>
              <w:spacing w:line="276" w:lineRule="auto"/>
              <w:jc w:val="center"/>
              <w:rPr>
                <w:rFonts w:ascii="Segoe UI" w:eastAsia="Times New Roman" w:hAnsi="Segoe UI" w:cs="Segoe UI"/>
                <w:b/>
                <w:bCs/>
                <w:color w:val="000000"/>
                <w:szCs w:val="24"/>
              </w:rPr>
            </w:pPr>
            <w:r w:rsidRPr="009E6E5B">
              <w:rPr>
                <w:rFonts w:ascii="Segoe UI" w:hAnsi="Segoe UI" w:cs="Segoe UI"/>
                <w:b/>
                <w:bCs/>
                <w:color w:val="000000" w:themeColor="text1"/>
                <w:sz w:val="22"/>
              </w:rPr>
              <w:t>FY 2029</w:t>
            </w:r>
          </w:p>
        </w:tc>
        <w:tc>
          <w:tcPr>
            <w:tcW w:w="1089" w:type="dxa"/>
            <w:tcBorders>
              <w:top w:val="nil"/>
              <w:left w:val="nil"/>
              <w:bottom w:val="single" w:sz="8" w:space="0" w:color="auto"/>
              <w:right w:val="single" w:sz="8" w:space="0" w:color="auto"/>
            </w:tcBorders>
            <w:shd w:val="clear" w:color="auto" w:fill="auto"/>
            <w:noWrap/>
            <w:vAlign w:val="center"/>
            <w:hideMark/>
          </w:tcPr>
          <w:p w14:paraId="3DF2D545" w14:textId="7A57D510" w:rsidR="00AD50AC" w:rsidRPr="009E6E5B" w:rsidRDefault="4F173E86" w:rsidP="17CECF10">
            <w:pPr>
              <w:spacing w:line="276" w:lineRule="auto"/>
              <w:jc w:val="center"/>
              <w:rPr>
                <w:rFonts w:ascii="Segoe UI" w:eastAsia="Times New Roman" w:hAnsi="Segoe UI" w:cs="Segoe UI"/>
                <w:b/>
                <w:bCs/>
                <w:color w:val="000000"/>
                <w:szCs w:val="24"/>
              </w:rPr>
            </w:pPr>
            <w:r w:rsidRPr="009E6E5B">
              <w:rPr>
                <w:rFonts w:ascii="Segoe UI" w:hAnsi="Segoe UI" w:cs="Segoe UI"/>
                <w:b/>
                <w:bCs/>
                <w:color w:val="000000" w:themeColor="text1"/>
                <w:sz w:val="22"/>
              </w:rPr>
              <w:t>Total</w:t>
            </w:r>
          </w:p>
        </w:tc>
      </w:tr>
      <w:tr w:rsidR="00C538E3" w:rsidRPr="009E6E5B" w14:paraId="5B413864" w14:textId="77777777" w:rsidTr="00777046">
        <w:trPr>
          <w:gridAfter w:val="1"/>
          <w:wAfter w:w="21" w:type="dxa"/>
          <w:trHeight w:val="907"/>
          <w:jc w:val="center"/>
        </w:trPr>
        <w:tc>
          <w:tcPr>
            <w:tcW w:w="3269" w:type="dxa"/>
            <w:tcBorders>
              <w:top w:val="single" w:sz="4" w:space="0" w:color="auto"/>
              <w:left w:val="single" w:sz="8" w:space="0" w:color="auto"/>
              <w:bottom w:val="single" w:sz="4" w:space="0" w:color="auto"/>
              <w:right w:val="single" w:sz="8" w:space="0" w:color="auto"/>
            </w:tcBorders>
            <w:shd w:val="clear" w:color="auto" w:fill="D9D9D6"/>
            <w:vAlign w:val="center"/>
            <w:hideMark/>
          </w:tcPr>
          <w:p w14:paraId="3BC58A83" w14:textId="1151D6AE" w:rsidR="00A54FC1" w:rsidRPr="009E6E5B" w:rsidRDefault="17F147E9" w:rsidP="17CECF10">
            <w:pPr>
              <w:spacing w:line="276" w:lineRule="auto"/>
              <w:rPr>
                <w:rFonts w:ascii="Segoe UI" w:eastAsia="Times New Roman" w:hAnsi="Segoe UI" w:cs="Segoe UI"/>
                <w:b/>
                <w:bCs/>
                <w:color w:val="000000"/>
                <w:szCs w:val="24"/>
              </w:rPr>
            </w:pPr>
            <w:r w:rsidRPr="009E6E5B">
              <w:rPr>
                <w:rFonts w:ascii="Segoe UI" w:eastAsia="Times New Roman" w:hAnsi="Segoe UI" w:cs="Segoe UI"/>
                <w:b/>
                <w:bCs/>
                <w:color w:val="000000" w:themeColor="text1"/>
                <w:sz w:val="22"/>
              </w:rPr>
              <w:t>Budgetary requirements</w:t>
            </w:r>
          </w:p>
        </w:tc>
        <w:tc>
          <w:tcPr>
            <w:tcW w:w="1088" w:type="dxa"/>
            <w:tcBorders>
              <w:top w:val="nil"/>
              <w:left w:val="nil"/>
              <w:bottom w:val="single" w:sz="8" w:space="0" w:color="auto"/>
              <w:right w:val="single" w:sz="8" w:space="0" w:color="auto"/>
            </w:tcBorders>
            <w:shd w:val="clear" w:color="auto" w:fill="D9D9D6"/>
            <w:noWrap/>
            <w:vAlign w:val="center"/>
            <w:hideMark/>
          </w:tcPr>
          <w:p w14:paraId="245F915E" w14:textId="63BED0DA" w:rsidR="00A54FC1" w:rsidRPr="00D40F67" w:rsidRDefault="17F147E9" w:rsidP="17CECF10">
            <w:pPr>
              <w:spacing w:line="276" w:lineRule="auto"/>
              <w:jc w:val="right"/>
              <w:rPr>
                <w:rFonts w:ascii="Segoe UI" w:eastAsia="Times New Roman" w:hAnsi="Segoe UI" w:cs="Segoe UI"/>
                <w:b/>
                <w:bCs/>
                <w:color w:val="000000"/>
                <w:szCs w:val="24"/>
              </w:rPr>
            </w:pPr>
            <w:r w:rsidRPr="009E6E5B">
              <w:rPr>
                <w:rFonts w:ascii="Segoe UI" w:hAnsi="Segoe UI" w:cs="Segoe UI"/>
                <w:sz w:val="22"/>
              </w:rPr>
              <w:t>$3,975</w:t>
            </w:r>
          </w:p>
        </w:tc>
        <w:tc>
          <w:tcPr>
            <w:tcW w:w="1089" w:type="dxa"/>
            <w:tcBorders>
              <w:top w:val="nil"/>
              <w:left w:val="nil"/>
              <w:bottom w:val="single" w:sz="8" w:space="0" w:color="auto"/>
              <w:right w:val="single" w:sz="8" w:space="0" w:color="auto"/>
            </w:tcBorders>
            <w:shd w:val="clear" w:color="auto" w:fill="D9D9D6"/>
            <w:noWrap/>
            <w:vAlign w:val="center"/>
            <w:hideMark/>
          </w:tcPr>
          <w:p w14:paraId="01588B75" w14:textId="2A5F278B" w:rsidR="00A54FC1" w:rsidRPr="00D40F67" w:rsidRDefault="17F147E9" w:rsidP="17CECF10">
            <w:pPr>
              <w:spacing w:line="276" w:lineRule="auto"/>
              <w:jc w:val="right"/>
              <w:rPr>
                <w:rFonts w:ascii="Segoe UI" w:eastAsia="Times New Roman" w:hAnsi="Segoe UI" w:cs="Segoe UI"/>
                <w:b/>
                <w:bCs/>
                <w:color w:val="000000"/>
                <w:szCs w:val="24"/>
              </w:rPr>
            </w:pPr>
            <w:r w:rsidRPr="009E6E5B">
              <w:rPr>
                <w:rFonts w:ascii="Segoe UI" w:hAnsi="Segoe UI" w:cs="Segoe UI"/>
                <w:sz w:val="22"/>
              </w:rPr>
              <w:t>$4,102</w:t>
            </w:r>
          </w:p>
        </w:tc>
        <w:tc>
          <w:tcPr>
            <w:tcW w:w="1088" w:type="dxa"/>
            <w:tcBorders>
              <w:top w:val="nil"/>
              <w:left w:val="nil"/>
              <w:bottom w:val="single" w:sz="8" w:space="0" w:color="auto"/>
              <w:right w:val="single" w:sz="8" w:space="0" w:color="auto"/>
            </w:tcBorders>
            <w:shd w:val="clear" w:color="auto" w:fill="D9D9D6"/>
            <w:noWrap/>
            <w:vAlign w:val="center"/>
            <w:hideMark/>
          </w:tcPr>
          <w:p w14:paraId="3CEAC5D8" w14:textId="1F7CCC00" w:rsidR="00A54FC1" w:rsidRPr="00D40F67" w:rsidRDefault="17F147E9" w:rsidP="17CECF10">
            <w:pPr>
              <w:spacing w:line="276" w:lineRule="auto"/>
              <w:jc w:val="right"/>
              <w:rPr>
                <w:rFonts w:ascii="Segoe UI" w:eastAsia="Times New Roman" w:hAnsi="Segoe UI" w:cs="Segoe UI"/>
                <w:b/>
                <w:bCs/>
                <w:color w:val="000000"/>
                <w:szCs w:val="24"/>
              </w:rPr>
            </w:pPr>
            <w:r w:rsidRPr="009E6E5B">
              <w:rPr>
                <w:rFonts w:ascii="Segoe UI" w:hAnsi="Segoe UI" w:cs="Segoe UI"/>
                <w:sz w:val="22"/>
              </w:rPr>
              <w:t>$4,268</w:t>
            </w:r>
          </w:p>
        </w:tc>
        <w:tc>
          <w:tcPr>
            <w:tcW w:w="1089" w:type="dxa"/>
            <w:tcBorders>
              <w:top w:val="nil"/>
              <w:left w:val="nil"/>
              <w:bottom w:val="single" w:sz="8" w:space="0" w:color="auto"/>
              <w:right w:val="single" w:sz="8" w:space="0" w:color="auto"/>
            </w:tcBorders>
            <w:shd w:val="clear" w:color="auto" w:fill="D9D9D6"/>
            <w:noWrap/>
            <w:vAlign w:val="center"/>
            <w:hideMark/>
          </w:tcPr>
          <w:p w14:paraId="15B4CE1B" w14:textId="11AAE0F0" w:rsidR="00A54FC1" w:rsidRPr="00D40F67" w:rsidRDefault="17F147E9" w:rsidP="17CECF10">
            <w:pPr>
              <w:spacing w:line="276" w:lineRule="auto"/>
              <w:jc w:val="right"/>
              <w:rPr>
                <w:rFonts w:ascii="Segoe UI" w:eastAsia="Times New Roman" w:hAnsi="Segoe UI" w:cs="Segoe UI"/>
                <w:b/>
                <w:bCs/>
                <w:color w:val="000000"/>
                <w:szCs w:val="24"/>
              </w:rPr>
            </w:pPr>
            <w:r w:rsidRPr="009E6E5B">
              <w:rPr>
                <w:rFonts w:ascii="Segoe UI" w:hAnsi="Segoe UI" w:cs="Segoe UI"/>
                <w:sz w:val="22"/>
              </w:rPr>
              <w:t>$4,431</w:t>
            </w:r>
          </w:p>
        </w:tc>
        <w:tc>
          <w:tcPr>
            <w:tcW w:w="1088" w:type="dxa"/>
            <w:tcBorders>
              <w:top w:val="nil"/>
              <w:left w:val="nil"/>
              <w:bottom w:val="single" w:sz="8" w:space="0" w:color="auto"/>
              <w:right w:val="single" w:sz="8" w:space="0" w:color="auto"/>
            </w:tcBorders>
            <w:shd w:val="clear" w:color="auto" w:fill="D9D9D6"/>
            <w:noWrap/>
            <w:vAlign w:val="center"/>
            <w:hideMark/>
          </w:tcPr>
          <w:p w14:paraId="5453B08F" w14:textId="63840EDB" w:rsidR="00A54FC1" w:rsidRPr="00D40F67" w:rsidRDefault="17F147E9" w:rsidP="17CECF10">
            <w:pPr>
              <w:spacing w:line="276" w:lineRule="auto"/>
              <w:jc w:val="right"/>
              <w:rPr>
                <w:rFonts w:ascii="Segoe UI" w:eastAsia="Times New Roman" w:hAnsi="Segoe UI" w:cs="Segoe UI"/>
                <w:b/>
                <w:bCs/>
                <w:color w:val="000000"/>
                <w:szCs w:val="24"/>
              </w:rPr>
            </w:pPr>
            <w:r w:rsidRPr="009E6E5B">
              <w:rPr>
                <w:rFonts w:ascii="Segoe UI" w:hAnsi="Segoe UI" w:cs="Segoe UI"/>
                <w:sz w:val="22"/>
              </w:rPr>
              <w:t>$4,600</w:t>
            </w:r>
          </w:p>
        </w:tc>
        <w:tc>
          <w:tcPr>
            <w:tcW w:w="1089" w:type="dxa"/>
            <w:tcBorders>
              <w:top w:val="nil"/>
              <w:left w:val="nil"/>
              <w:bottom w:val="single" w:sz="8" w:space="0" w:color="auto"/>
              <w:right w:val="single" w:sz="8" w:space="0" w:color="auto"/>
            </w:tcBorders>
            <w:shd w:val="clear" w:color="auto" w:fill="D9D9D6"/>
            <w:noWrap/>
            <w:vAlign w:val="center"/>
            <w:hideMark/>
          </w:tcPr>
          <w:p w14:paraId="29A9341E" w14:textId="5FFAD6A6" w:rsidR="00A54FC1" w:rsidRPr="00D40F67" w:rsidRDefault="17F147E9" w:rsidP="17CECF10">
            <w:pPr>
              <w:spacing w:line="276" w:lineRule="auto"/>
              <w:jc w:val="right"/>
              <w:rPr>
                <w:rFonts w:ascii="Segoe UI" w:eastAsia="Times New Roman" w:hAnsi="Segoe UI" w:cs="Segoe UI"/>
                <w:b/>
                <w:bCs/>
                <w:color w:val="000000"/>
                <w:szCs w:val="24"/>
              </w:rPr>
            </w:pPr>
            <w:r w:rsidRPr="009E6E5B">
              <w:rPr>
                <w:rFonts w:ascii="Segoe UI" w:hAnsi="Segoe UI" w:cs="Segoe UI"/>
                <w:sz w:val="22"/>
              </w:rPr>
              <w:t>$21,376</w:t>
            </w:r>
          </w:p>
        </w:tc>
      </w:tr>
      <w:tr w:rsidR="0061637C" w:rsidRPr="009E6E5B" w14:paraId="2160A1EC" w14:textId="77777777" w:rsidTr="00B64020">
        <w:trPr>
          <w:gridAfter w:val="1"/>
          <w:wAfter w:w="21" w:type="dxa"/>
          <w:trHeight w:val="902"/>
          <w:jc w:val="center"/>
        </w:trPr>
        <w:tc>
          <w:tcPr>
            <w:tcW w:w="3269"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01D37D5" w14:textId="0DEBDCB0" w:rsidR="0061637C" w:rsidRPr="009E6E5B" w:rsidRDefault="0061637C" w:rsidP="0061637C">
            <w:pPr>
              <w:spacing w:line="276" w:lineRule="auto"/>
              <w:rPr>
                <w:rFonts w:ascii="Segoe UI" w:eastAsia="Times New Roman" w:hAnsi="Segoe UI" w:cs="Segoe UI"/>
                <w:color w:val="000000"/>
                <w:szCs w:val="24"/>
              </w:rPr>
            </w:pPr>
            <w:r w:rsidRPr="009E6E5B">
              <w:rPr>
                <w:rFonts w:ascii="Segoe UI" w:eastAsia="Times New Roman" w:hAnsi="Segoe UI" w:cs="Segoe UI"/>
                <w:color w:val="000000" w:themeColor="text1"/>
                <w:sz w:val="22"/>
              </w:rPr>
              <w:t>Across-the-Board Adjustment (Alternative 3)—fee revenue</w:t>
            </w:r>
          </w:p>
        </w:tc>
        <w:tc>
          <w:tcPr>
            <w:tcW w:w="1088" w:type="dxa"/>
            <w:tcBorders>
              <w:top w:val="nil"/>
              <w:left w:val="nil"/>
              <w:bottom w:val="single" w:sz="8" w:space="0" w:color="auto"/>
              <w:right w:val="single" w:sz="8" w:space="0" w:color="auto"/>
            </w:tcBorders>
            <w:shd w:val="clear" w:color="auto" w:fill="auto"/>
            <w:noWrap/>
            <w:vAlign w:val="center"/>
            <w:hideMark/>
          </w:tcPr>
          <w:p w14:paraId="2BF3C89D" w14:textId="7379979B" w:rsidR="0061637C" w:rsidRPr="00B64020" w:rsidRDefault="0061637C" w:rsidP="0061637C">
            <w:pPr>
              <w:spacing w:line="276" w:lineRule="auto"/>
              <w:jc w:val="right"/>
              <w:rPr>
                <w:rFonts w:ascii="Segoe UI" w:eastAsia="Times New Roman" w:hAnsi="Segoe UI" w:cs="Segoe UI"/>
                <w:color w:val="000000"/>
                <w:sz w:val="22"/>
              </w:rPr>
            </w:pPr>
            <w:r w:rsidRPr="00B64020">
              <w:rPr>
                <w:rFonts w:ascii="Segoe UI" w:hAnsi="Segoe UI" w:cs="Segoe UI"/>
                <w:sz w:val="22"/>
              </w:rPr>
              <w:t>$3,934</w:t>
            </w:r>
          </w:p>
        </w:tc>
        <w:tc>
          <w:tcPr>
            <w:tcW w:w="1089" w:type="dxa"/>
            <w:tcBorders>
              <w:top w:val="nil"/>
              <w:left w:val="nil"/>
              <w:bottom w:val="single" w:sz="8" w:space="0" w:color="auto"/>
              <w:right w:val="single" w:sz="8" w:space="0" w:color="auto"/>
            </w:tcBorders>
            <w:shd w:val="clear" w:color="auto" w:fill="auto"/>
            <w:noWrap/>
            <w:vAlign w:val="center"/>
            <w:hideMark/>
          </w:tcPr>
          <w:p w14:paraId="4263E79B" w14:textId="35097CCA" w:rsidR="0061637C" w:rsidRPr="00B64020" w:rsidRDefault="0061637C" w:rsidP="0061637C">
            <w:pPr>
              <w:spacing w:line="276" w:lineRule="auto"/>
              <w:jc w:val="right"/>
              <w:rPr>
                <w:rFonts w:ascii="Segoe UI" w:eastAsia="Times New Roman" w:hAnsi="Segoe UI" w:cs="Segoe UI"/>
                <w:color w:val="000000"/>
                <w:sz w:val="22"/>
              </w:rPr>
            </w:pPr>
            <w:r w:rsidRPr="00B64020">
              <w:rPr>
                <w:rFonts w:ascii="Segoe UI" w:hAnsi="Segoe UI" w:cs="Segoe UI"/>
                <w:sz w:val="22"/>
              </w:rPr>
              <w:t>$4,228</w:t>
            </w:r>
          </w:p>
        </w:tc>
        <w:tc>
          <w:tcPr>
            <w:tcW w:w="1088" w:type="dxa"/>
            <w:tcBorders>
              <w:top w:val="nil"/>
              <w:left w:val="nil"/>
              <w:bottom w:val="single" w:sz="8" w:space="0" w:color="auto"/>
              <w:right w:val="single" w:sz="8" w:space="0" w:color="auto"/>
            </w:tcBorders>
            <w:shd w:val="clear" w:color="auto" w:fill="auto"/>
            <w:noWrap/>
            <w:vAlign w:val="center"/>
            <w:hideMark/>
          </w:tcPr>
          <w:p w14:paraId="0DB90479" w14:textId="48052D18" w:rsidR="0061637C" w:rsidRPr="00B64020" w:rsidRDefault="0061637C" w:rsidP="0061637C">
            <w:pPr>
              <w:spacing w:line="276" w:lineRule="auto"/>
              <w:jc w:val="right"/>
              <w:rPr>
                <w:rFonts w:ascii="Segoe UI" w:eastAsia="Times New Roman" w:hAnsi="Segoe UI" w:cs="Segoe UI"/>
                <w:color w:val="000000"/>
                <w:sz w:val="22"/>
              </w:rPr>
            </w:pPr>
            <w:r w:rsidRPr="00B64020">
              <w:rPr>
                <w:rFonts w:ascii="Segoe UI" w:hAnsi="Segoe UI" w:cs="Segoe UI"/>
                <w:sz w:val="22"/>
              </w:rPr>
              <w:t>$4,336</w:t>
            </w:r>
          </w:p>
        </w:tc>
        <w:tc>
          <w:tcPr>
            <w:tcW w:w="1089" w:type="dxa"/>
            <w:tcBorders>
              <w:top w:val="nil"/>
              <w:left w:val="nil"/>
              <w:bottom w:val="single" w:sz="8" w:space="0" w:color="auto"/>
              <w:right w:val="single" w:sz="8" w:space="0" w:color="auto"/>
            </w:tcBorders>
            <w:shd w:val="clear" w:color="auto" w:fill="auto"/>
            <w:noWrap/>
            <w:vAlign w:val="center"/>
            <w:hideMark/>
          </w:tcPr>
          <w:p w14:paraId="0DED3D4C" w14:textId="099FD826" w:rsidR="0061637C" w:rsidRPr="00B64020" w:rsidRDefault="0061637C" w:rsidP="0061637C">
            <w:pPr>
              <w:spacing w:line="276" w:lineRule="auto"/>
              <w:jc w:val="right"/>
              <w:rPr>
                <w:rFonts w:ascii="Segoe UI" w:eastAsia="Times New Roman" w:hAnsi="Segoe UI" w:cs="Segoe UI"/>
                <w:color w:val="000000"/>
                <w:sz w:val="22"/>
              </w:rPr>
            </w:pPr>
            <w:r w:rsidRPr="00B64020">
              <w:rPr>
                <w:rFonts w:ascii="Segoe UI" w:hAnsi="Segoe UI" w:cs="Segoe UI"/>
                <w:sz w:val="22"/>
              </w:rPr>
              <w:t>$4,299</w:t>
            </w:r>
          </w:p>
        </w:tc>
        <w:tc>
          <w:tcPr>
            <w:tcW w:w="1088" w:type="dxa"/>
            <w:tcBorders>
              <w:top w:val="nil"/>
              <w:left w:val="nil"/>
              <w:bottom w:val="single" w:sz="8" w:space="0" w:color="auto"/>
              <w:right w:val="single" w:sz="8" w:space="0" w:color="auto"/>
            </w:tcBorders>
            <w:shd w:val="clear" w:color="auto" w:fill="auto"/>
            <w:noWrap/>
            <w:vAlign w:val="center"/>
            <w:hideMark/>
          </w:tcPr>
          <w:p w14:paraId="61554DF2" w14:textId="5433E8E5" w:rsidR="0061637C" w:rsidRPr="00B64020" w:rsidRDefault="0061637C" w:rsidP="0061637C">
            <w:pPr>
              <w:spacing w:line="276" w:lineRule="auto"/>
              <w:jc w:val="right"/>
              <w:rPr>
                <w:rFonts w:ascii="Segoe UI" w:eastAsia="Times New Roman" w:hAnsi="Segoe UI" w:cs="Segoe UI"/>
                <w:color w:val="000000"/>
                <w:sz w:val="22"/>
              </w:rPr>
            </w:pPr>
            <w:r w:rsidRPr="00B64020">
              <w:rPr>
                <w:rFonts w:ascii="Segoe UI" w:hAnsi="Segoe UI" w:cs="Segoe UI"/>
                <w:sz w:val="22"/>
              </w:rPr>
              <w:t>$4,305</w:t>
            </w:r>
          </w:p>
        </w:tc>
        <w:tc>
          <w:tcPr>
            <w:tcW w:w="1089" w:type="dxa"/>
            <w:tcBorders>
              <w:top w:val="nil"/>
              <w:left w:val="nil"/>
              <w:bottom w:val="single" w:sz="8" w:space="0" w:color="auto"/>
              <w:right w:val="single" w:sz="8" w:space="0" w:color="auto"/>
            </w:tcBorders>
            <w:shd w:val="clear" w:color="auto" w:fill="auto"/>
            <w:noWrap/>
            <w:vAlign w:val="center"/>
            <w:hideMark/>
          </w:tcPr>
          <w:p w14:paraId="209C25BE" w14:textId="667A70C8" w:rsidR="0061637C" w:rsidRPr="00B64020" w:rsidRDefault="0061637C" w:rsidP="0061637C">
            <w:pPr>
              <w:spacing w:line="276" w:lineRule="auto"/>
              <w:jc w:val="right"/>
              <w:rPr>
                <w:rFonts w:ascii="Segoe UI" w:eastAsia="Times New Roman" w:hAnsi="Segoe UI" w:cs="Segoe UI"/>
                <w:color w:val="000000"/>
                <w:sz w:val="22"/>
              </w:rPr>
            </w:pPr>
            <w:r w:rsidRPr="00B64020">
              <w:rPr>
                <w:rFonts w:ascii="Segoe UI" w:hAnsi="Segoe UI" w:cs="Segoe UI"/>
                <w:sz w:val="22"/>
              </w:rPr>
              <w:t>$21,102</w:t>
            </w:r>
          </w:p>
        </w:tc>
      </w:tr>
      <w:tr w:rsidR="0061637C" w:rsidRPr="009E6E5B" w14:paraId="4F9AC7FF" w14:textId="77777777" w:rsidTr="00B64020">
        <w:trPr>
          <w:gridAfter w:val="1"/>
          <w:wAfter w:w="21" w:type="dxa"/>
          <w:trHeight w:val="324"/>
          <w:jc w:val="center"/>
        </w:trPr>
        <w:tc>
          <w:tcPr>
            <w:tcW w:w="3269"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330A18B" w14:textId="39A998C1" w:rsidR="0061637C" w:rsidRPr="009E6E5B" w:rsidRDefault="0061637C" w:rsidP="0061637C">
            <w:pPr>
              <w:spacing w:line="276" w:lineRule="auto"/>
              <w:rPr>
                <w:rFonts w:ascii="Segoe UI" w:eastAsia="Times New Roman" w:hAnsi="Segoe UI" w:cs="Segoe UI"/>
                <w:color w:val="000000"/>
                <w:szCs w:val="24"/>
              </w:rPr>
            </w:pPr>
            <w:r w:rsidRPr="009E6E5B">
              <w:rPr>
                <w:rFonts w:ascii="Segoe UI" w:eastAsia="Times New Roman" w:hAnsi="Segoe UI" w:cs="Segoe UI"/>
                <w:color w:val="000000" w:themeColor="text1"/>
                <w:sz w:val="22"/>
              </w:rPr>
              <w:t>Other income</w:t>
            </w:r>
          </w:p>
        </w:tc>
        <w:tc>
          <w:tcPr>
            <w:tcW w:w="1088" w:type="dxa"/>
            <w:tcBorders>
              <w:top w:val="nil"/>
              <w:left w:val="nil"/>
              <w:bottom w:val="single" w:sz="8" w:space="0" w:color="auto"/>
              <w:right w:val="single" w:sz="8" w:space="0" w:color="auto"/>
            </w:tcBorders>
            <w:shd w:val="clear" w:color="auto" w:fill="auto"/>
            <w:noWrap/>
            <w:vAlign w:val="center"/>
            <w:hideMark/>
          </w:tcPr>
          <w:p w14:paraId="4BB21DEC" w14:textId="1ABA022F" w:rsidR="0061637C" w:rsidRPr="00B64020" w:rsidRDefault="0061637C" w:rsidP="0061637C">
            <w:pPr>
              <w:spacing w:line="276" w:lineRule="auto"/>
              <w:jc w:val="right"/>
              <w:rPr>
                <w:rFonts w:ascii="Segoe UI" w:eastAsia="Times New Roman" w:hAnsi="Segoe UI" w:cs="Segoe UI"/>
                <w:color w:val="000000"/>
                <w:sz w:val="22"/>
              </w:rPr>
            </w:pPr>
            <w:r w:rsidRPr="00B64020">
              <w:rPr>
                <w:rFonts w:ascii="Segoe UI" w:hAnsi="Segoe UI" w:cs="Segoe UI"/>
                <w:sz w:val="22"/>
              </w:rPr>
              <w:t>$50</w:t>
            </w:r>
          </w:p>
        </w:tc>
        <w:tc>
          <w:tcPr>
            <w:tcW w:w="1089" w:type="dxa"/>
            <w:tcBorders>
              <w:top w:val="nil"/>
              <w:left w:val="nil"/>
              <w:bottom w:val="single" w:sz="8" w:space="0" w:color="auto"/>
              <w:right w:val="single" w:sz="8" w:space="0" w:color="auto"/>
            </w:tcBorders>
            <w:shd w:val="clear" w:color="auto" w:fill="auto"/>
            <w:noWrap/>
            <w:vAlign w:val="center"/>
            <w:hideMark/>
          </w:tcPr>
          <w:p w14:paraId="0B32CB11" w14:textId="02458F76" w:rsidR="0061637C" w:rsidRPr="00B64020" w:rsidRDefault="0061637C" w:rsidP="0061637C">
            <w:pPr>
              <w:spacing w:line="276" w:lineRule="auto"/>
              <w:jc w:val="right"/>
              <w:rPr>
                <w:rFonts w:ascii="Segoe UI" w:eastAsia="Times New Roman" w:hAnsi="Segoe UI" w:cs="Segoe UI"/>
                <w:color w:val="000000"/>
                <w:sz w:val="22"/>
              </w:rPr>
            </w:pPr>
            <w:r w:rsidRPr="00B64020">
              <w:rPr>
                <w:rFonts w:ascii="Segoe UI" w:hAnsi="Segoe UI" w:cs="Segoe UI"/>
                <w:sz w:val="22"/>
              </w:rPr>
              <w:t>$50</w:t>
            </w:r>
          </w:p>
        </w:tc>
        <w:tc>
          <w:tcPr>
            <w:tcW w:w="1088" w:type="dxa"/>
            <w:tcBorders>
              <w:top w:val="nil"/>
              <w:left w:val="nil"/>
              <w:bottom w:val="single" w:sz="8" w:space="0" w:color="auto"/>
              <w:right w:val="single" w:sz="8" w:space="0" w:color="auto"/>
            </w:tcBorders>
            <w:shd w:val="clear" w:color="auto" w:fill="auto"/>
            <w:noWrap/>
            <w:vAlign w:val="center"/>
            <w:hideMark/>
          </w:tcPr>
          <w:p w14:paraId="36A506F8" w14:textId="419D5D6F" w:rsidR="0061637C" w:rsidRPr="00B64020" w:rsidRDefault="0061637C" w:rsidP="0061637C">
            <w:pPr>
              <w:spacing w:line="276" w:lineRule="auto"/>
              <w:jc w:val="right"/>
              <w:rPr>
                <w:rFonts w:ascii="Segoe UI" w:eastAsia="Times New Roman" w:hAnsi="Segoe UI" w:cs="Segoe UI"/>
                <w:color w:val="000000"/>
                <w:sz w:val="22"/>
              </w:rPr>
            </w:pPr>
            <w:r w:rsidRPr="00B64020">
              <w:rPr>
                <w:rFonts w:ascii="Segoe UI" w:hAnsi="Segoe UI" w:cs="Segoe UI"/>
                <w:sz w:val="22"/>
              </w:rPr>
              <w:t>$50</w:t>
            </w:r>
          </w:p>
        </w:tc>
        <w:tc>
          <w:tcPr>
            <w:tcW w:w="1089" w:type="dxa"/>
            <w:tcBorders>
              <w:top w:val="nil"/>
              <w:left w:val="nil"/>
              <w:bottom w:val="single" w:sz="8" w:space="0" w:color="auto"/>
              <w:right w:val="single" w:sz="8" w:space="0" w:color="auto"/>
            </w:tcBorders>
            <w:shd w:val="clear" w:color="auto" w:fill="auto"/>
            <w:noWrap/>
            <w:vAlign w:val="center"/>
            <w:hideMark/>
          </w:tcPr>
          <w:p w14:paraId="74092FFB" w14:textId="4D1654AD" w:rsidR="0061637C" w:rsidRPr="00B64020" w:rsidRDefault="0061637C" w:rsidP="0061637C">
            <w:pPr>
              <w:spacing w:line="276" w:lineRule="auto"/>
              <w:jc w:val="right"/>
              <w:rPr>
                <w:rFonts w:ascii="Segoe UI" w:eastAsia="Times New Roman" w:hAnsi="Segoe UI" w:cs="Segoe UI"/>
                <w:color w:val="000000"/>
                <w:sz w:val="22"/>
              </w:rPr>
            </w:pPr>
            <w:r w:rsidRPr="00B64020">
              <w:rPr>
                <w:rFonts w:ascii="Segoe UI" w:hAnsi="Segoe UI" w:cs="Segoe UI"/>
                <w:sz w:val="22"/>
              </w:rPr>
              <w:t>$50</w:t>
            </w:r>
          </w:p>
        </w:tc>
        <w:tc>
          <w:tcPr>
            <w:tcW w:w="1088" w:type="dxa"/>
            <w:tcBorders>
              <w:top w:val="nil"/>
              <w:left w:val="nil"/>
              <w:bottom w:val="single" w:sz="8" w:space="0" w:color="auto"/>
              <w:right w:val="single" w:sz="8" w:space="0" w:color="auto"/>
            </w:tcBorders>
            <w:shd w:val="clear" w:color="auto" w:fill="auto"/>
            <w:noWrap/>
            <w:vAlign w:val="center"/>
            <w:hideMark/>
          </w:tcPr>
          <w:p w14:paraId="1F82B2DC" w14:textId="6CBB4A29" w:rsidR="0061637C" w:rsidRPr="00B64020" w:rsidRDefault="0061637C" w:rsidP="0061637C">
            <w:pPr>
              <w:spacing w:line="276" w:lineRule="auto"/>
              <w:jc w:val="right"/>
              <w:rPr>
                <w:rFonts w:ascii="Segoe UI" w:eastAsia="Times New Roman" w:hAnsi="Segoe UI" w:cs="Segoe UI"/>
                <w:color w:val="000000"/>
                <w:sz w:val="22"/>
              </w:rPr>
            </w:pPr>
            <w:r w:rsidRPr="00B64020">
              <w:rPr>
                <w:rFonts w:ascii="Segoe UI" w:hAnsi="Segoe UI" w:cs="Segoe UI"/>
                <w:sz w:val="22"/>
              </w:rPr>
              <w:t>$50</w:t>
            </w:r>
          </w:p>
        </w:tc>
        <w:tc>
          <w:tcPr>
            <w:tcW w:w="1089" w:type="dxa"/>
            <w:tcBorders>
              <w:top w:val="nil"/>
              <w:left w:val="nil"/>
              <w:bottom w:val="single" w:sz="8" w:space="0" w:color="auto"/>
              <w:right w:val="single" w:sz="8" w:space="0" w:color="auto"/>
            </w:tcBorders>
            <w:shd w:val="clear" w:color="auto" w:fill="auto"/>
            <w:noWrap/>
            <w:vAlign w:val="center"/>
            <w:hideMark/>
          </w:tcPr>
          <w:p w14:paraId="7414735E" w14:textId="6818F483" w:rsidR="0061637C" w:rsidRPr="00B64020" w:rsidRDefault="0061637C" w:rsidP="0061637C">
            <w:pPr>
              <w:spacing w:line="276" w:lineRule="auto"/>
              <w:jc w:val="right"/>
              <w:rPr>
                <w:rFonts w:ascii="Segoe UI" w:eastAsia="Times New Roman" w:hAnsi="Segoe UI" w:cs="Segoe UI"/>
                <w:color w:val="000000"/>
                <w:sz w:val="22"/>
              </w:rPr>
            </w:pPr>
            <w:r w:rsidRPr="00B64020">
              <w:rPr>
                <w:rFonts w:ascii="Segoe UI" w:hAnsi="Segoe UI" w:cs="Segoe UI"/>
                <w:sz w:val="22"/>
              </w:rPr>
              <w:t>$250</w:t>
            </w:r>
          </w:p>
        </w:tc>
      </w:tr>
      <w:tr w:rsidR="0061637C" w:rsidRPr="009E6E5B" w14:paraId="0AFDF54F" w14:textId="77777777" w:rsidTr="00B64020">
        <w:trPr>
          <w:gridAfter w:val="1"/>
          <w:wAfter w:w="21" w:type="dxa"/>
          <w:trHeight w:val="324"/>
          <w:jc w:val="center"/>
        </w:trPr>
        <w:tc>
          <w:tcPr>
            <w:tcW w:w="3269" w:type="dxa"/>
            <w:tcBorders>
              <w:top w:val="single" w:sz="4" w:space="0" w:color="auto"/>
              <w:left w:val="single" w:sz="8" w:space="0" w:color="auto"/>
              <w:bottom w:val="single" w:sz="4" w:space="0" w:color="auto"/>
              <w:right w:val="single" w:sz="8" w:space="0" w:color="auto"/>
            </w:tcBorders>
            <w:shd w:val="clear" w:color="auto" w:fill="D9D9D6"/>
            <w:vAlign w:val="center"/>
            <w:hideMark/>
          </w:tcPr>
          <w:p w14:paraId="7FF75C5F" w14:textId="779B0E7E" w:rsidR="0061637C" w:rsidRPr="009E6E5B" w:rsidRDefault="0061637C" w:rsidP="0061637C">
            <w:pPr>
              <w:spacing w:line="276" w:lineRule="auto"/>
              <w:rPr>
                <w:rFonts w:ascii="Segoe UI" w:eastAsia="Times New Roman" w:hAnsi="Segoe UI" w:cs="Segoe UI"/>
                <w:b/>
                <w:bCs/>
                <w:color w:val="000000"/>
                <w:szCs w:val="24"/>
              </w:rPr>
            </w:pPr>
            <w:r w:rsidRPr="009E6E5B">
              <w:rPr>
                <w:rFonts w:ascii="Segoe UI" w:eastAsia="Times New Roman" w:hAnsi="Segoe UI" w:cs="Segoe UI"/>
                <w:b/>
                <w:bCs/>
                <w:color w:val="000000" w:themeColor="text1"/>
                <w:sz w:val="22"/>
              </w:rPr>
              <w:t>Aggregate revenue</w:t>
            </w:r>
          </w:p>
        </w:tc>
        <w:tc>
          <w:tcPr>
            <w:tcW w:w="1088" w:type="dxa"/>
            <w:tcBorders>
              <w:top w:val="nil"/>
              <w:left w:val="nil"/>
              <w:bottom w:val="single" w:sz="8" w:space="0" w:color="auto"/>
              <w:right w:val="single" w:sz="8" w:space="0" w:color="auto"/>
            </w:tcBorders>
            <w:shd w:val="clear" w:color="auto" w:fill="D9D9D6"/>
            <w:noWrap/>
            <w:vAlign w:val="center"/>
            <w:hideMark/>
          </w:tcPr>
          <w:p w14:paraId="4F9FA771" w14:textId="6CF275B3" w:rsidR="0061637C" w:rsidRPr="00B64020" w:rsidRDefault="0061637C" w:rsidP="0061637C">
            <w:pPr>
              <w:spacing w:line="276" w:lineRule="auto"/>
              <w:jc w:val="right"/>
              <w:rPr>
                <w:rFonts w:ascii="Segoe UI" w:eastAsia="Times New Roman" w:hAnsi="Segoe UI" w:cs="Segoe UI"/>
                <w:b/>
                <w:bCs/>
                <w:color w:val="000000"/>
                <w:sz w:val="22"/>
              </w:rPr>
            </w:pPr>
            <w:r w:rsidRPr="00B64020">
              <w:rPr>
                <w:rFonts w:ascii="Segoe UI" w:hAnsi="Segoe UI" w:cs="Segoe UI"/>
                <w:sz w:val="22"/>
              </w:rPr>
              <w:t>$3,984</w:t>
            </w:r>
          </w:p>
        </w:tc>
        <w:tc>
          <w:tcPr>
            <w:tcW w:w="1089" w:type="dxa"/>
            <w:tcBorders>
              <w:top w:val="nil"/>
              <w:left w:val="nil"/>
              <w:bottom w:val="single" w:sz="8" w:space="0" w:color="auto"/>
              <w:right w:val="single" w:sz="8" w:space="0" w:color="auto"/>
            </w:tcBorders>
            <w:shd w:val="clear" w:color="auto" w:fill="D9D9D6"/>
            <w:noWrap/>
            <w:vAlign w:val="center"/>
            <w:hideMark/>
          </w:tcPr>
          <w:p w14:paraId="3AE76880" w14:textId="20693BE7" w:rsidR="0061637C" w:rsidRPr="00B64020" w:rsidRDefault="0061637C" w:rsidP="0061637C">
            <w:pPr>
              <w:spacing w:line="276" w:lineRule="auto"/>
              <w:jc w:val="right"/>
              <w:rPr>
                <w:rFonts w:ascii="Segoe UI" w:eastAsia="Times New Roman" w:hAnsi="Segoe UI" w:cs="Segoe UI"/>
                <w:b/>
                <w:bCs/>
                <w:color w:val="000000"/>
                <w:sz w:val="22"/>
              </w:rPr>
            </w:pPr>
            <w:r w:rsidRPr="00B64020">
              <w:rPr>
                <w:rFonts w:ascii="Segoe UI" w:hAnsi="Segoe UI" w:cs="Segoe UI"/>
                <w:sz w:val="22"/>
              </w:rPr>
              <w:t>$4,278</w:t>
            </w:r>
          </w:p>
        </w:tc>
        <w:tc>
          <w:tcPr>
            <w:tcW w:w="1088" w:type="dxa"/>
            <w:tcBorders>
              <w:top w:val="nil"/>
              <w:left w:val="nil"/>
              <w:bottom w:val="single" w:sz="8" w:space="0" w:color="auto"/>
              <w:right w:val="single" w:sz="8" w:space="0" w:color="auto"/>
            </w:tcBorders>
            <w:shd w:val="clear" w:color="auto" w:fill="D9D9D6"/>
            <w:noWrap/>
            <w:vAlign w:val="center"/>
            <w:hideMark/>
          </w:tcPr>
          <w:p w14:paraId="5AA0D728" w14:textId="002BDF7E" w:rsidR="0061637C" w:rsidRPr="00B64020" w:rsidRDefault="0061637C" w:rsidP="0061637C">
            <w:pPr>
              <w:spacing w:line="276" w:lineRule="auto"/>
              <w:jc w:val="right"/>
              <w:rPr>
                <w:rFonts w:ascii="Segoe UI" w:eastAsia="Times New Roman" w:hAnsi="Segoe UI" w:cs="Segoe UI"/>
                <w:b/>
                <w:bCs/>
                <w:color w:val="000000"/>
                <w:sz w:val="22"/>
              </w:rPr>
            </w:pPr>
            <w:r w:rsidRPr="00B64020">
              <w:rPr>
                <w:rFonts w:ascii="Segoe UI" w:hAnsi="Segoe UI" w:cs="Segoe UI"/>
                <w:sz w:val="22"/>
              </w:rPr>
              <w:t>$4,386</w:t>
            </w:r>
          </w:p>
        </w:tc>
        <w:tc>
          <w:tcPr>
            <w:tcW w:w="1089" w:type="dxa"/>
            <w:tcBorders>
              <w:top w:val="nil"/>
              <w:left w:val="nil"/>
              <w:bottom w:val="single" w:sz="8" w:space="0" w:color="auto"/>
              <w:right w:val="single" w:sz="8" w:space="0" w:color="auto"/>
            </w:tcBorders>
            <w:shd w:val="clear" w:color="auto" w:fill="D9D9D6"/>
            <w:noWrap/>
            <w:vAlign w:val="center"/>
            <w:hideMark/>
          </w:tcPr>
          <w:p w14:paraId="676AFF82" w14:textId="2E299EB2" w:rsidR="0061637C" w:rsidRPr="00B64020" w:rsidRDefault="0061637C" w:rsidP="0061637C">
            <w:pPr>
              <w:spacing w:line="276" w:lineRule="auto"/>
              <w:jc w:val="right"/>
              <w:rPr>
                <w:rFonts w:ascii="Segoe UI" w:eastAsia="Times New Roman" w:hAnsi="Segoe UI" w:cs="Segoe UI"/>
                <w:b/>
                <w:bCs/>
                <w:color w:val="000000"/>
                <w:sz w:val="22"/>
              </w:rPr>
            </w:pPr>
            <w:r w:rsidRPr="00B64020">
              <w:rPr>
                <w:rFonts w:ascii="Segoe UI" w:hAnsi="Segoe UI" w:cs="Segoe UI"/>
                <w:sz w:val="22"/>
              </w:rPr>
              <w:t>$4,349</w:t>
            </w:r>
          </w:p>
        </w:tc>
        <w:tc>
          <w:tcPr>
            <w:tcW w:w="1088" w:type="dxa"/>
            <w:tcBorders>
              <w:top w:val="nil"/>
              <w:left w:val="nil"/>
              <w:bottom w:val="single" w:sz="8" w:space="0" w:color="auto"/>
              <w:right w:val="single" w:sz="8" w:space="0" w:color="auto"/>
            </w:tcBorders>
            <w:shd w:val="clear" w:color="auto" w:fill="D9D9D6"/>
            <w:noWrap/>
            <w:vAlign w:val="center"/>
            <w:hideMark/>
          </w:tcPr>
          <w:p w14:paraId="0ED9003C" w14:textId="0DB9D5CE" w:rsidR="0061637C" w:rsidRPr="00B64020" w:rsidRDefault="0061637C" w:rsidP="0061637C">
            <w:pPr>
              <w:spacing w:line="276" w:lineRule="auto"/>
              <w:jc w:val="right"/>
              <w:rPr>
                <w:rFonts w:ascii="Segoe UI" w:eastAsia="Times New Roman" w:hAnsi="Segoe UI" w:cs="Segoe UI"/>
                <w:b/>
                <w:bCs/>
                <w:color w:val="000000"/>
                <w:sz w:val="22"/>
              </w:rPr>
            </w:pPr>
            <w:r w:rsidRPr="00B64020">
              <w:rPr>
                <w:rFonts w:ascii="Segoe UI" w:hAnsi="Segoe UI" w:cs="Segoe UI"/>
                <w:sz w:val="22"/>
              </w:rPr>
              <w:t>$4,355</w:t>
            </w:r>
          </w:p>
        </w:tc>
        <w:tc>
          <w:tcPr>
            <w:tcW w:w="1089" w:type="dxa"/>
            <w:tcBorders>
              <w:top w:val="nil"/>
              <w:left w:val="nil"/>
              <w:bottom w:val="single" w:sz="8" w:space="0" w:color="auto"/>
              <w:right w:val="single" w:sz="8" w:space="0" w:color="auto"/>
            </w:tcBorders>
            <w:shd w:val="clear" w:color="auto" w:fill="D9D9D6"/>
            <w:noWrap/>
            <w:vAlign w:val="center"/>
            <w:hideMark/>
          </w:tcPr>
          <w:p w14:paraId="35EAC7C1" w14:textId="2D4BF81C" w:rsidR="0061637C" w:rsidRPr="00B64020" w:rsidRDefault="0061637C" w:rsidP="0061637C">
            <w:pPr>
              <w:spacing w:line="276" w:lineRule="auto"/>
              <w:jc w:val="right"/>
              <w:rPr>
                <w:rFonts w:ascii="Segoe UI" w:eastAsia="Times New Roman" w:hAnsi="Segoe UI" w:cs="Segoe UI"/>
                <w:b/>
                <w:bCs/>
                <w:color w:val="000000"/>
                <w:sz w:val="22"/>
              </w:rPr>
            </w:pPr>
            <w:r w:rsidRPr="00B64020">
              <w:rPr>
                <w:rFonts w:ascii="Segoe UI" w:hAnsi="Segoe UI" w:cs="Segoe UI"/>
                <w:sz w:val="22"/>
              </w:rPr>
              <w:t>$21,352</w:t>
            </w:r>
          </w:p>
        </w:tc>
      </w:tr>
      <w:tr w:rsidR="0061637C" w:rsidRPr="009E6E5B" w14:paraId="024A396A" w14:textId="77777777" w:rsidTr="00B64020">
        <w:trPr>
          <w:gridAfter w:val="1"/>
          <w:wAfter w:w="21" w:type="dxa"/>
          <w:trHeight w:val="324"/>
          <w:jc w:val="center"/>
        </w:trPr>
        <w:tc>
          <w:tcPr>
            <w:tcW w:w="3269"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BB88209" w14:textId="59653530" w:rsidR="0061637C" w:rsidRPr="009E6E5B" w:rsidRDefault="0061637C" w:rsidP="0061637C">
            <w:pPr>
              <w:spacing w:line="276" w:lineRule="auto"/>
              <w:rPr>
                <w:rFonts w:ascii="Segoe UI" w:eastAsia="Times New Roman" w:hAnsi="Segoe UI" w:cs="Segoe UI"/>
                <w:color w:val="000000"/>
                <w:szCs w:val="24"/>
              </w:rPr>
            </w:pPr>
            <w:r w:rsidRPr="009E6E5B">
              <w:rPr>
                <w:rFonts w:ascii="Segoe UI" w:eastAsia="Times New Roman" w:hAnsi="Segoe UI" w:cs="Segoe UI"/>
                <w:color w:val="000000" w:themeColor="text1"/>
                <w:sz w:val="22"/>
              </w:rPr>
              <w:t>Operating reserve</w:t>
            </w:r>
          </w:p>
        </w:tc>
        <w:tc>
          <w:tcPr>
            <w:tcW w:w="1088" w:type="dxa"/>
            <w:tcBorders>
              <w:top w:val="nil"/>
              <w:left w:val="nil"/>
              <w:bottom w:val="single" w:sz="8" w:space="0" w:color="auto"/>
              <w:right w:val="single" w:sz="8" w:space="0" w:color="auto"/>
            </w:tcBorders>
            <w:shd w:val="clear" w:color="auto" w:fill="auto"/>
            <w:noWrap/>
            <w:vAlign w:val="center"/>
            <w:hideMark/>
          </w:tcPr>
          <w:p w14:paraId="00615ECD" w14:textId="2C9A4FCF" w:rsidR="0061637C" w:rsidRPr="00B64020" w:rsidRDefault="0061637C" w:rsidP="0061637C">
            <w:pPr>
              <w:spacing w:line="276" w:lineRule="auto"/>
              <w:jc w:val="right"/>
              <w:rPr>
                <w:rFonts w:ascii="Segoe UI" w:eastAsia="Times New Roman" w:hAnsi="Segoe UI" w:cs="Segoe UI"/>
                <w:color w:val="000000"/>
                <w:sz w:val="22"/>
              </w:rPr>
            </w:pPr>
            <w:r w:rsidRPr="00B64020">
              <w:rPr>
                <w:rFonts w:ascii="Segoe UI" w:hAnsi="Segoe UI" w:cs="Segoe UI"/>
                <w:sz w:val="22"/>
              </w:rPr>
              <w:t>$802</w:t>
            </w:r>
          </w:p>
        </w:tc>
        <w:tc>
          <w:tcPr>
            <w:tcW w:w="1089" w:type="dxa"/>
            <w:tcBorders>
              <w:top w:val="nil"/>
              <w:left w:val="nil"/>
              <w:bottom w:val="single" w:sz="8" w:space="0" w:color="auto"/>
              <w:right w:val="single" w:sz="8" w:space="0" w:color="auto"/>
            </w:tcBorders>
            <w:shd w:val="clear" w:color="auto" w:fill="auto"/>
            <w:noWrap/>
            <w:vAlign w:val="center"/>
            <w:hideMark/>
          </w:tcPr>
          <w:p w14:paraId="327E958C" w14:textId="567A0D75" w:rsidR="0061637C" w:rsidRPr="00B64020" w:rsidRDefault="0061637C" w:rsidP="0061637C">
            <w:pPr>
              <w:spacing w:line="276" w:lineRule="auto"/>
              <w:jc w:val="right"/>
              <w:rPr>
                <w:rFonts w:ascii="Segoe UI" w:eastAsia="Times New Roman" w:hAnsi="Segoe UI" w:cs="Segoe UI"/>
                <w:color w:val="000000"/>
                <w:sz w:val="22"/>
              </w:rPr>
            </w:pPr>
            <w:r w:rsidRPr="00B64020">
              <w:rPr>
                <w:rFonts w:ascii="Segoe UI" w:hAnsi="Segoe UI" w:cs="Segoe UI"/>
                <w:sz w:val="22"/>
              </w:rPr>
              <w:t>$978</w:t>
            </w:r>
          </w:p>
        </w:tc>
        <w:tc>
          <w:tcPr>
            <w:tcW w:w="1088" w:type="dxa"/>
            <w:tcBorders>
              <w:top w:val="nil"/>
              <w:left w:val="nil"/>
              <w:bottom w:val="single" w:sz="8" w:space="0" w:color="auto"/>
              <w:right w:val="single" w:sz="8" w:space="0" w:color="auto"/>
            </w:tcBorders>
            <w:shd w:val="clear" w:color="auto" w:fill="auto"/>
            <w:noWrap/>
            <w:vAlign w:val="center"/>
            <w:hideMark/>
          </w:tcPr>
          <w:p w14:paraId="3D3BE2BE" w14:textId="23631FB1" w:rsidR="0061637C" w:rsidRPr="00B64020" w:rsidRDefault="0061637C" w:rsidP="0061637C">
            <w:pPr>
              <w:spacing w:line="276" w:lineRule="auto"/>
              <w:jc w:val="right"/>
              <w:rPr>
                <w:rFonts w:ascii="Segoe UI" w:eastAsia="Times New Roman" w:hAnsi="Segoe UI" w:cs="Segoe UI"/>
                <w:color w:val="000000"/>
                <w:sz w:val="22"/>
              </w:rPr>
            </w:pPr>
            <w:r w:rsidRPr="00B64020">
              <w:rPr>
                <w:rFonts w:ascii="Segoe UI" w:hAnsi="Segoe UI" w:cs="Segoe UI"/>
                <w:sz w:val="22"/>
              </w:rPr>
              <w:t>$1,096</w:t>
            </w:r>
          </w:p>
        </w:tc>
        <w:tc>
          <w:tcPr>
            <w:tcW w:w="1089" w:type="dxa"/>
            <w:tcBorders>
              <w:top w:val="nil"/>
              <w:left w:val="nil"/>
              <w:bottom w:val="single" w:sz="8" w:space="0" w:color="auto"/>
              <w:right w:val="single" w:sz="8" w:space="0" w:color="auto"/>
            </w:tcBorders>
            <w:shd w:val="clear" w:color="auto" w:fill="auto"/>
            <w:noWrap/>
            <w:vAlign w:val="center"/>
            <w:hideMark/>
          </w:tcPr>
          <w:p w14:paraId="3D7674CE" w14:textId="2CC38924" w:rsidR="0061637C" w:rsidRPr="00B64020" w:rsidRDefault="0061637C" w:rsidP="0061637C">
            <w:pPr>
              <w:spacing w:line="276" w:lineRule="auto"/>
              <w:jc w:val="right"/>
              <w:rPr>
                <w:rFonts w:ascii="Segoe UI" w:eastAsia="Times New Roman" w:hAnsi="Segoe UI" w:cs="Segoe UI"/>
                <w:color w:val="000000"/>
                <w:sz w:val="22"/>
              </w:rPr>
            </w:pPr>
            <w:r w:rsidRPr="00B64020">
              <w:rPr>
                <w:rFonts w:ascii="Segoe UI" w:hAnsi="Segoe UI" w:cs="Segoe UI"/>
                <w:sz w:val="22"/>
              </w:rPr>
              <w:t>$1,014</w:t>
            </w:r>
          </w:p>
        </w:tc>
        <w:tc>
          <w:tcPr>
            <w:tcW w:w="1088" w:type="dxa"/>
            <w:tcBorders>
              <w:top w:val="nil"/>
              <w:left w:val="nil"/>
              <w:bottom w:val="single" w:sz="8" w:space="0" w:color="auto"/>
              <w:right w:val="single" w:sz="8" w:space="0" w:color="auto"/>
            </w:tcBorders>
            <w:shd w:val="clear" w:color="auto" w:fill="auto"/>
            <w:noWrap/>
            <w:vAlign w:val="center"/>
            <w:hideMark/>
          </w:tcPr>
          <w:p w14:paraId="046BDE41" w14:textId="6470FAA0" w:rsidR="0061637C" w:rsidRPr="00B64020" w:rsidRDefault="0061637C" w:rsidP="0061637C">
            <w:pPr>
              <w:spacing w:line="276" w:lineRule="auto"/>
              <w:jc w:val="right"/>
              <w:rPr>
                <w:rFonts w:ascii="Segoe UI" w:eastAsia="Times New Roman" w:hAnsi="Segoe UI" w:cs="Segoe UI"/>
                <w:color w:val="000000"/>
                <w:sz w:val="22"/>
              </w:rPr>
            </w:pPr>
            <w:r w:rsidRPr="00B64020">
              <w:rPr>
                <w:rFonts w:ascii="Segoe UI" w:hAnsi="Segoe UI" w:cs="Segoe UI"/>
                <w:sz w:val="22"/>
              </w:rPr>
              <w:t>$769</w:t>
            </w:r>
          </w:p>
        </w:tc>
        <w:tc>
          <w:tcPr>
            <w:tcW w:w="1089" w:type="dxa"/>
            <w:tcBorders>
              <w:top w:val="nil"/>
              <w:left w:val="nil"/>
              <w:bottom w:val="single" w:sz="8" w:space="0" w:color="auto"/>
              <w:right w:val="single" w:sz="8" w:space="0" w:color="auto"/>
            </w:tcBorders>
            <w:shd w:val="clear" w:color="auto" w:fill="auto"/>
            <w:noWrap/>
            <w:vAlign w:val="center"/>
            <w:hideMark/>
          </w:tcPr>
          <w:p w14:paraId="393A07CE" w14:textId="715BDE65" w:rsidR="0061637C" w:rsidRPr="00B64020" w:rsidRDefault="0061637C" w:rsidP="0061637C">
            <w:pPr>
              <w:spacing w:line="276" w:lineRule="auto"/>
              <w:jc w:val="right"/>
              <w:rPr>
                <w:rFonts w:ascii="Segoe UI" w:eastAsia="Times New Roman" w:hAnsi="Segoe UI" w:cs="Segoe UI"/>
                <w:color w:val="000000"/>
                <w:sz w:val="22"/>
              </w:rPr>
            </w:pPr>
          </w:p>
        </w:tc>
      </w:tr>
      <w:tr w:rsidR="0061637C" w:rsidRPr="009E6E5B" w14:paraId="134FD11C" w14:textId="77777777" w:rsidTr="00B64020">
        <w:trPr>
          <w:gridAfter w:val="1"/>
          <w:wAfter w:w="21" w:type="dxa"/>
          <w:trHeight w:val="434"/>
          <w:jc w:val="center"/>
        </w:trPr>
        <w:tc>
          <w:tcPr>
            <w:tcW w:w="3269"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489473C" w14:textId="7845744A" w:rsidR="0061637C" w:rsidRPr="009E6E5B" w:rsidRDefault="0061637C" w:rsidP="0061637C">
            <w:pPr>
              <w:spacing w:line="276" w:lineRule="auto"/>
              <w:rPr>
                <w:rFonts w:ascii="Segoe UI" w:eastAsia="Times New Roman" w:hAnsi="Segoe UI" w:cs="Segoe UI"/>
                <w:color w:val="000000"/>
                <w:szCs w:val="24"/>
              </w:rPr>
            </w:pPr>
            <w:r w:rsidRPr="009E6E5B">
              <w:rPr>
                <w:rFonts w:ascii="Segoe UI" w:eastAsia="Times New Roman" w:hAnsi="Segoe UI" w:cs="Segoe UI"/>
                <w:color w:val="000000" w:themeColor="text1"/>
                <w:sz w:val="22"/>
              </w:rPr>
              <w:t>Optimal operating reserve</w:t>
            </w:r>
          </w:p>
        </w:tc>
        <w:tc>
          <w:tcPr>
            <w:tcW w:w="1088" w:type="dxa"/>
            <w:tcBorders>
              <w:top w:val="nil"/>
              <w:left w:val="nil"/>
              <w:bottom w:val="single" w:sz="8" w:space="0" w:color="auto"/>
              <w:right w:val="single" w:sz="8" w:space="0" w:color="auto"/>
            </w:tcBorders>
            <w:shd w:val="clear" w:color="auto" w:fill="auto"/>
            <w:noWrap/>
            <w:vAlign w:val="center"/>
            <w:hideMark/>
          </w:tcPr>
          <w:p w14:paraId="517EBDB0" w14:textId="36F494BD" w:rsidR="0061637C" w:rsidRPr="00B64020" w:rsidRDefault="0061637C" w:rsidP="0061637C">
            <w:pPr>
              <w:spacing w:line="276" w:lineRule="auto"/>
              <w:jc w:val="right"/>
              <w:rPr>
                <w:rFonts w:ascii="Segoe UI" w:eastAsia="Times New Roman" w:hAnsi="Segoe UI" w:cs="Segoe UI"/>
                <w:color w:val="000000"/>
                <w:sz w:val="22"/>
              </w:rPr>
            </w:pPr>
            <w:r w:rsidRPr="00B64020">
              <w:rPr>
                <w:rFonts w:ascii="Segoe UI" w:hAnsi="Segoe UI" w:cs="Segoe UI"/>
                <w:sz w:val="22"/>
              </w:rPr>
              <w:t>$874</w:t>
            </w:r>
          </w:p>
        </w:tc>
        <w:tc>
          <w:tcPr>
            <w:tcW w:w="1089" w:type="dxa"/>
            <w:tcBorders>
              <w:top w:val="nil"/>
              <w:left w:val="nil"/>
              <w:bottom w:val="single" w:sz="8" w:space="0" w:color="auto"/>
              <w:right w:val="single" w:sz="8" w:space="0" w:color="auto"/>
            </w:tcBorders>
            <w:shd w:val="clear" w:color="auto" w:fill="auto"/>
            <w:noWrap/>
            <w:vAlign w:val="center"/>
            <w:hideMark/>
          </w:tcPr>
          <w:p w14:paraId="063FE148" w14:textId="5D4BB014" w:rsidR="0061637C" w:rsidRPr="00B64020" w:rsidRDefault="0061637C" w:rsidP="0061637C">
            <w:pPr>
              <w:spacing w:line="276" w:lineRule="auto"/>
              <w:jc w:val="right"/>
              <w:rPr>
                <w:rFonts w:ascii="Segoe UI" w:eastAsia="Times New Roman" w:hAnsi="Segoe UI" w:cs="Segoe UI"/>
                <w:color w:val="000000"/>
                <w:sz w:val="22"/>
              </w:rPr>
            </w:pPr>
            <w:r w:rsidRPr="00B64020">
              <w:rPr>
                <w:rFonts w:ascii="Segoe UI" w:hAnsi="Segoe UI" w:cs="Segoe UI"/>
                <w:sz w:val="22"/>
              </w:rPr>
              <w:t>$902</w:t>
            </w:r>
          </w:p>
        </w:tc>
        <w:tc>
          <w:tcPr>
            <w:tcW w:w="1088" w:type="dxa"/>
            <w:tcBorders>
              <w:top w:val="nil"/>
              <w:left w:val="nil"/>
              <w:bottom w:val="single" w:sz="8" w:space="0" w:color="auto"/>
              <w:right w:val="single" w:sz="8" w:space="0" w:color="auto"/>
            </w:tcBorders>
            <w:shd w:val="clear" w:color="auto" w:fill="auto"/>
            <w:noWrap/>
            <w:vAlign w:val="center"/>
            <w:hideMark/>
          </w:tcPr>
          <w:p w14:paraId="5BB2408D" w14:textId="3BAED4F2" w:rsidR="0061637C" w:rsidRPr="00B64020" w:rsidRDefault="0061637C" w:rsidP="0061637C">
            <w:pPr>
              <w:spacing w:line="276" w:lineRule="auto"/>
              <w:jc w:val="right"/>
              <w:rPr>
                <w:rFonts w:ascii="Segoe UI" w:eastAsia="Times New Roman" w:hAnsi="Segoe UI" w:cs="Segoe UI"/>
                <w:color w:val="000000"/>
                <w:sz w:val="22"/>
              </w:rPr>
            </w:pPr>
            <w:r w:rsidRPr="00B64020">
              <w:rPr>
                <w:rFonts w:ascii="Segoe UI" w:hAnsi="Segoe UI" w:cs="Segoe UI"/>
                <w:sz w:val="22"/>
              </w:rPr>
              <w:t>$939</w:t>
            </w:r>
          </w:p>
        </w:tc>
        <w:tc>
          <w:tcPr>
            <w:tcW w:w="1089" w:type="dxa"/>
            <w:tcBorders>
              <w:top w:val="nil"/>
              <w:left w:val="nil"/>
              <w:bottom w:val="single" w:sz="8" w:space="0" w:color="auto"/>
              <w:right w:val="single" w:sz="8" w:space="0" w:color="auto"/>
            </w:tcBorders>
            <w:shd w:val="clear" w:color="auto" w:fill="auto"/>
            <w:noWrap/>
            <w:vAlign w:val="center"/>
            <w:hideMark/>
          </w:tcPr>
          <w:p w14:paraId="6063404E" w14:textId="3D2C0E0C" w:rsidR="0061637C" w:rsidRPr="00B64020" w:rsidRDefault="0061637C" w:rsidP="0061637C">
            <w:pPr>
              <w:spacing w:line="276" w:lineRule="auto"/>
              <w:jc w:val="right"/>
              <w:rPr>
                <w:rFonts w:ascii="Segoe UI" w:eastAsia="Times New Roman" w:hAnsi="Segoe UI" w:cs="Segoe UI"/>
                <w:color w:val="000000"/>
                <w:sz w:val="22"/>
              </w:rPr>
            </w:pPr>
            <w:r w:rsidRPr="00B64020">
              <w:rPr>
                <w:rFonts w:ascii="Segoe UI" w:hAnsi="Segoe UI" w:cs="Segoe UI"/>
                <w:sz w:val="22"/>
              </w:rPr>
              <w:t>$975</w:t>
            </w:r>
          </w:p>
        </w:tc>
        <w:tc>
          <w:tcPr>
            <w:tcW w:w="1088" w:type="dxa"/>
            <w:tcBorders>
              <w:top w:val="nil"/>
              <w:left w:val="nil"/>
              <w:bottom w:val="single" w:sz="8" w:space="0" w:color="auto"/>
              <w:right w:val="single" w:sz="8" w:space="0" w:color="auto"/>
            </w:tcBorders>
            <w:shd w:val="clear" w:color="auto" w:fill="auto"/>
            <w:noWrap/>
            <w:vAlign w:val="center"/>
            <w:hideMark/>
          </w:tcPr>
          <w:p w14:paraId="5AA6DD6E" w14:textId="5E23BCCC" w:rsidR="0061637C" w:rsidRPr="00B64020" w:rsidRDefault="0061637C" w:rsidP="0061637C">
            <w:pPr>
              <w:spacing w:line="276" w:lineRule="auto"/>
              <w:jc w:val="right"/>
              <w:rPr>
                <w:rFonts w:ascii="Segoe UI" w:eastAsia="Times New Roman" w:hAnsi="Segoe UI" w:cs="Segoe UI"/>
                <w:color w:val="000000"/>
                <w:sz w:val="22"/>
              </w:rPr>
            </w:pPr>
            <w:r w:rsidRPr="00B64020">
              <w:rPr>
                <w:rFonts w:ascii="Segoe UI" w:hAnsi="Segoe UI" w:cs="Segoe UI"/>
                <w:sz w:val="22"/>
              </w:rPr>
              <w:t>$1,012</w:t>
            </w:r>
          </w:p>
        </w:tc>
        <w:tc>
          <w:tcPr>
            <w:tcW w:w="1089" w:type="dxa"/>
            <w:tcBorders>
              <w:top w:val="nil"/>
              <w:left w:val="nil"/>
              <w:bottom w:val="single" w:sz="8" w:space="0" w:color="auto"/>
              <w:right w:val="single" w:sz="8" w:space="0" w:color="auto"/>
            </w:tcBorders>
            <w:shd w:val="clear" w:color="auto" w:fill="auto"/>
            <w:noWrap/>
            <w:vAlign w:val="center"/>
            <w:hideMark/>
          </w:tcPr>
          <w:p w14:paraId="4E89B0C8" w14:textId="6ABFA170" w:rsidR="0061637C" w:rsidRPr="00B64020" w:rsidRDefault="0061637C" w:rsidP="0061637C">
            <w:pPr>
              <w:spacing w:line="276" w:lineRule="auto"/>
              <w:jc w:val="right"/>
              <w:rPr>
                <w:rFonts w:ascii="Segoe UI" w:eastAsia="Times New Roman" w:hAnsi="Segoe UI" w:cs="Segoe UI"/>
                <w:color w:val="000000"/>
                <w:sz w:val="22"/>
              </w:rPr>
            </w:pPr>
          </w:p>
        </w:tc>
      </w:tr>
      <w:tr w:rsidR="0061637C" w:rsidRPr="009E6E5B" w14:paraId="5066F406" w14:textId="77777777" w:rsidTr="00B64020">
        <w:trPr>
          <w:gridAfter w:val="1"/>
          <w:wAfter w:w="21" w:type="dxa"/>
          <w:trHeight w:val="560"/>
          <w:jc w:val="center"/>
        </w:trPr>
        <w:tc>
          <w:tcPr>
            <w:tcW w:w="3269" w:type="dxa"/>
            <w:tcBorders>
              <w:top w:val="single" w:sz="4" w:space="0" w:color="auto"/>
              <w:left w:val="single" w:sz="8" w:space="0" w:color="auto"/>
              <w:bottom w:val="single" w:sz="8" w:space="0" w:color="auto"/>
              <w:right w:val="single" w:sz="8" w:space="0" w:color="auto"/>
            </w:tcBorders>
            <w:shd w:val="clear" w:color="auto" w:fill="D9D9D6"/>
            <w:vAlign w:val="center"/>
            <w:hideMark/>
          </w:tcPr>
          <w:p w14:paraId="7815DA96" w14:textId="262DDF01" w:rsidR="0061637C" w:rsidRPr="009E6E5B" w:rsidRDefault="0061637C" w:rsidP="0061637C">
            <w:pPr>
              <w:spacing w:line="276" w:lineRule="auto"/>
              <w:rPr>
                <w:rFonts w:ascii="Segoe UI" w:eastAsia="Times New Roman" w:hAnsi="Segoe UI" w:cs="Segoe UI"/>
                <w:b/>
                <w:bCs/>
                <w:szCs w:val="24"/>
              </w:rPr>
            </w:pPr>
            <w:r w:rsidRPr="009E6E5B">
              <w:rPr>
                <w:rFonts w:ascii="Segoe UI" w:eastAsia="Times New Roman" w:hAnsi="Segoe UI" w:cs="Segoe UI"/>
                <w:b/>
                <w:bCs/>
                <w:color w:val="000000" w:themeColor="text1"/>
                <w:sz w:val="22"/>
              </w:rPr>
              <w:t>Optimal operating reserve surplus (deficit)</w:t>
            </w:r>
          </w:p>
        </w:tc>
        <w:tc>
          <w:tcPr>
            <w:tcW w:w="1088" w:type="dxa"/>
            <w:tcBorders>
              <w:top w:val="nil"/>
              <w:left w:val="nil"/>
              <w:bottom w:val="single" w:sz="8" w:space="0" w:color="auto"/>
              <w:right w:val="single" w:sz="8" w:space="0" w:color="auto"/>
            </w:tcBorders>
            <w:shd w:val="clear" w:color="auto" w:fill="D9D9D6"/>
            <w:noWrap/>
            <w:vAlign w:val="center"/>
            <w:hideMark/>
          </w:tcPr>
          <w:p w14:paraId="796FAE44" w14:textId="54A144B1" w:rsidR="0061637C" w:rsidRPr="00B64020" w:rsidRDefault="0061637C" w:rsidP="0061637C">
            <w:pPr>
              <w:spacing w:line="276" w:lineRule="auto"/>
              <w:jc w:val="right"/>
              <w:rPr>
                <w:rFonts w:ascii="Segoe UI" w:eastAsia="Times New Roman" w:hAnsi="Segoe UI" w:cs="Segoe UI"/>
                <w:b/>
                <w:bCs/>
                <w:color w:val="FF0000"/>
                <w:sz w:val="22"/>
              </w:rPr>
            </w:pPr>
            <w:r w:rsidRPr="00B64020">
              <w:rPr>
                <w:rFonts w:ascii="Segoe UI" w:hAnsi="Segoe UI" w:cs="Segoe UI"/>
                <w:sz w:val="22"/>
              </w:rPr>
              <w:t>($72)</w:t>
            </w:r>
          </w:p>
        </w:tc>
        <w:tc>
          <w:tcPr>
            <w:tcW w:w="1089" w:type="dxa"/>
            <w:tcBorders>
              <w:top w:val="nil"/>
              <w:left w:val="nil"/>
              <w:bottom w:val="single" w:sz="8" w:space="0" w:color="auto"/>
              <w:right w:val="single" w:sz="8" w:space="0" w:color="auto"/>
            </w:tcBorders>
            <w:shd w:val="clear" w:color="auto" w:fill="D9D9D6"/>
            <w:noWrap/>
            <w:vAlign w:val="center"/>
            <w:hideMark/>
          </w:tcPr>
          <w:p w14:paraId="4C7D579F" w14:textId="1C0EC12B" w:rsidR="0061637C" w:rsidRPr="00B64020" w:rsidRDefault="0061637C" w:rsidP="0061637C">
            <w:pPr>
              <w:spacing w:line="276" w:lineRule="auto"/>
              <w:jc w:val="right"/>
              <w:rPr>
                <w:rFonts w:ascii="Segoe UI" w:eastAsia="Times New Roman" w:hAnsi="Segoe UI" w:cs="Segoe UI"/>
                <w:b/>
                <w:bCs/>
                <w:color w:val="FF0000"/>
                <w:sz w:val="22"/>
              </w:rPr>
            </w:pPr>
            <w:r w:rsidRPr="00B64020">
              <w:rPr>
                <w:rFonts w:ascii="Segoe UI" w:hAnsi="Segoe UI" w:cs="Segoe UI"/>
                <w:sz w:val="22"/>
              </w:rPr>
              <w:t>$76</w:t>
            </w:r>
          </w:p>
        </w:tc>
        <w:tc>
          <w:tcPr>
            <w:tcW w:w="1088" w:type="dxa"/>
            <w:tcBorders>
              <w:top w:val="nil"/>
              <w:left w:val="nil"/>
              <w:bottom w:val="single" w:sz="8" w:space="0" w:color="auto"/>
              <w:right w:val="single" w:sz="8" w:space="0" w:color="auto"/>
            </w:tcBorders>
            <w:shd w:val="clear" w:color="auto" w:fill="D9D9D6"/>
            <w:noWrap/>
            <w:vAlign w:val="center"/>
            <w:hideMark/>
          </w:tcPr>
          <w:p w14:paraId="7F973E68" w14:textId="7D15470A" w:rsidR="0061637C" w:rsidRPr="00B64020" w:rsidRDefault="0061637C" w:rsidP="0061637C">
            <w:pPr>
              <w:spacing w:line="276" w:lineRule="auto"/>
              <w:jc w:val="right"/>
              <w:rPr>
                <w:rFonts w:ascii="Segoe UI" w:eastAsia="Times New Roman" w:hAnsi="Segoe UI" w:cs="Segoe UI"/>
                <w:b/>
                <w:bCs/>
                <w:color w:val="FF0000"/>
                <w:sz w:val="22"/>
              </w:rPr>
            </w:pPr>
            <w:r w:rsidRPr="00B64020">
              <w:rPr>
                <w:rFonts w:ascii="Segoe UI" w:hAnsi="Segoe UI" w:cs="Segoe UI"/>
                <w:sz w:val="22"/>
              </w:rPr>
              <w:t>$157</w:t>
            </w:r>
          </w:p>
        </w:tc>
        <w:tc>
          <w:tcPr>
            <w:tcW w:w="1089" w:type="dxa"/>
            <w:tcBorders>
              <w:top w:val="nil"/>
              <w:left w:val="nil"/>
              <w:bottom w:val="single" w:sz="8" w:space="0" w:color="auto"/>
              <w:right w:val="single" w:sz="8" w:space="0" w:color="auto"/>
            </w:tcBorders>
            <w:shd w:val="clear" w:color="auto" w:fill="D9D9D6"/>
            <w:noWrap/>
            <w:vAlign w:val="center"/>
            <w:hideMark/>
          </w:tcPr>
          <w:p w14:paraId="68421F34" w14:textId="34534238" w:rsidR="0061637C" w:rsidRPr="00B64020" w:rsidRDefault="0061637C" w:rsidP="0061637C">
            <w:pPr>
              <w:spacing w:line="276" w:lineRule="auto"/>
              <w:jc w:val="right"/>
              <w:rPr>
                <w:rFonts w:ascii="Segoe UI" w:eastAsia="Times New Roman" w:hAnsi="Segoe UI" w:cs="Segoe UI"/>
                <w:b/>
                <w:bCs/>
                <w:color w:val="FF0000"/>
                <w:sz w:val="22"/>
              </w:rPr>
            </w:pPr>
            <w:r w:rsidRPr="00B64020">
              <w:rPr>
                <w:rFonts w:ascii="Segoe UI" w:hAnsi="Segoe UI" w:cs="Segoe UI"/>
                <w:sz w:val="22"/>
              </w:rPr>
              <w:t>$39</w:t>
            </w:r>
          </w:p>
        </w:tc>
        <w:tc>
          <w:tcPr>
            <w:tcW w:w="1088" w:type="dxa"/>
            <w:tcBorders>
              <w:top w:val="nil"/>
              <w:left w:val="nil"/>
              <w:bottom w:val="single" w:sz="8" w:space="0" w:color="auto"/>
              <w:right w:val="single" w:sz="8" w:space="0" w:color="auto"/>
            </w:tcBorders>
            <w:shd w:val="clear" w:color="auto" w:fill="D9D9D6"/>
            <w:noWrap/>
            <w:vAlign w:val="center"/>
            <w:hideMark/>
          </w:tcPr>
          <w:p w14:paraId="4BB3FECF" w14:textId="3F8FA3EF" w:rsidR="0061637C" w:rsidRPr="00B64020" w:rsidRDefault="0061637C" w:rsidP="0061637C">
            <w:pPr>
              <w:spacing w:line="276" w:lineRule="auto"/>
              <w:jc w:val="right"/>
              <w:rPr>
                <w:rFonts w:ascii="Segoe UI" w:eastAsia="Times New Roman" w:hAnsi="Segoe UI" w:cs="Segoe UI"/>
                <w:b/>
                <w:bCs/>
                <w:color w:val="000000"/>
                <w:sz w:val="22"/>
              </w:rPr>
            </w:pPr>
            <w:r w:rsidRPr="00B64020">
              <w:rPr>
                <w:rFonts w:ascii="Segoe UI" w:hAnsi="Segoe UI" w:cs="Segoe UI"/>
                <w:sz w:val="22"/>
              </w:rPr>
              <w:t>($243)</w:t>
            </w:r>
          </w:p>
        </w:tc>
        <w:tc>
          <w:tcPr>
            <w:tcW w:w="1089" w:type="dxa"/>
            <w:tcBorders>
              <w:top w:val="nil"/>
              <w:left w:val="nil"/>
              <w:bottom w:val="single" w:sz="8" w:space="0" w:color="auto"/>
              <w:right w:val="single" w:sz="8" w:space="0" w:color="auto"/>
            </w:tcBorders>
            <w:shd w:val="clear" w:color="auto" w:fill="D9D9D6"/>
            <w:noWrap/>
            <w:vAlign w:val="center"/>
            <w:hideMark/>
          </w:tcPr>
          <w:p w14:paraId="53431AC6" w14:textId="0490EA95" w:rsidR="0061637C" w:rsidRPr="00B64020" w:rsidRDefault="0061637C" w:rsidP="0061637C">
            <w:pPr>
              <w:spacing w:line="276" w:lineRule="auto"/>
              <w:jc w:val="right"/>
              <w:rPr>
                <w:rFonts w:ascii="Segoe UI" w:eastAsia="Times New Roman" w:hAnsi="Segoe UI" w:cs="Segoe UI"/>
                <w:color w:val="000000"/>
                <w:sz w:val="22"/>
              </w:rPr>
            </w:pPr>
          </w:p>
        </w:tc>
      </w:tr>
    </w:tbl>
    <w:p w14:paraId="4662B841" w14:textId="773B7F4E" w:rsidR="000C5444" w:rsidRPr="009008DD" w:rsidRDefault="00A62DA7" w:rsidP="17CECF10">
      <w:pPr>
        <w:spacing w:line="360" w:lineRule="auto"/>
        <w:rPr>
          <w:rFonts w:ascii="Segoe UI" w:hAnsi="Segoe UI" w:cs="Segoe UI"/>
          <w:szCs w:val="24"/>
        </w:rPr>
      </w:pPr>
      <w:r w:rsidRPr="17CECF10">
        <w:rPr>
          <w:rFonts w:ascii="Segoe UI" w:hAnsi="Segoe UI" w:cs="Segoe UI"/>
          <w:color w:val="2B579A"/>
        </w:rPr>
        <w:fldChar w:fldCharType="end"/>
      </w:r>
    </w:p>
    <w:p w14:paraId="7FE9A566" w14:textId="0F93657E" w:rsidR="00BB1917" w:rsidRPr="00CF6436" w:rsidRDefault="00BB1917" w:rsidP="000F20DC">
      <w:pPr>
        <w:pStyle w:val="Heading3Numbering"/>
        <w:numPr>
          <w:ilvl w:val="2"/>
          <w:numId w:val="14"/>
        </w:numPr>
        <w:spacing w:after="0" w:line="360" w:lineRule="auto"/>
        <w:ind w:left="810" w:hanging="810"/>
        <w:rPr>
          <w:rFonts w:ascii="Segoe UI" w:hAnsi="Segoe UI" w:cs="Segoe UI"/>
        </w:rPr>
      </w:pPr>
      <w:r w:rsidRPr="524BF87A">
        <w:rPr>
          <w:rFonts w:ascii="Segoe UI" w:hAnsi="Segoe UI" w:cs="Segoe UI"/>
        </w:rPr>
        <w:t xml:space="preserve"> Description of </w:t>
      </w:r>
      <w:r w:rsidR="00526AE7" w:rsidRPr="524BF87A">
        <w:rPr>
          <w:rFonts w:ascii="Segoe UI" w:hAnsi="Segoe UI" w:cs="Segoe UI"/>
        </w:rPr>
        <w:t>Across-the-Board Adjustment (</w:t>
      </w:r>
      <w:r w:rsidRPr="524BF87A">
        <w:rPr>
          <w:rFonts w:ascii="Segoe UI" w:hAnsi="Segoe UI" w:cs="Segoe UI"/>
        </w:rPr>
        <w:t>Alternative 3</w:t>
      </w:r>
      <w:r w:rsidR="00526AE7" w:rsidRPr="524BF87A">
        <w:rPr>
          <w:rFonts w:ascii="Segoe UI" w:hAnsi="Segoe UI" w:cs="Segoe UI"/>
        </w:rPr>
        <w:t>)</w:t>
      </w:r>
    </w:p>
    <w:p w14:paraId="28395050" w14:textId="537E6C5F" w:rsidR="00051113" w:rsidRPr="00CF6436" w:rsidRDefault="2B81DBD2" w:rsidP="17CECF10">
      <w:pPr>
        <w:spacing w:line="360" w:lineRule="auto"/>
        <w:ind w:firstLine="450"/>
        <w:rPr>
          <w:rFonts w:ascii="Segoe UI" w:hAnsi="Segoe UI" w:cs="Segoe UI"/>
          <w:szCs w:val="24"/>
        </w:rPr>
      </w:pPr>
      <w:r w:rsidRPr="17CECF10">
        <w:rPr>
          <w:rFonts w:ascii="Segoe UI" w:hAnsi="Segoe UI" w:cs="Segoe UI"/>
          <w:szCs w:val="24"/>
        </w:rPr>
        <w:t xml:space="preserve">Prior to enactment of the AIA, the </w:t>
      </w:r>
      <w:r w:rsidR="0284500C" w:rsidRPr="17CECF10">
        <w:rPr>
          <w:rFonts w:ascii="Segoe UI" w:hAnsi="Segoe UI" w:cs="Segoe UI"/>
          <w:szCs w:val="24"/>
        </w:rPr>
        <w:t>USPTO</w:t>
      </w:r>
      <w:r w:rsidRPr="17CECF10">
        <w:rPr>
          <w:rFonts w:ascii="Segoe UI" w:hAnsi="Segoe UI" w:cs="Segoe UI"/>
          <w:szCs w:val="24"/>
        </w:rPr>
        <w:t xml:space="preserve"> used its statutory authority to adjust statutory fees annually according to </w:t>
      </w:r>
      <w:r w:rsidR="0846D20E" w:rsidRPr="17CECF10">
        <w:rPr>
          <w:rFonts w:ascii="Segoe UI" w:hAnsi="Segoe UI" w:cs="Segoe UI"/>
          <w:szCs w:val="24"/>
        </w:rPr>
        <w:t xml:space="preserve">annual </w:t>
      </w:r>
      <w:r w:rsidRPr="17CECF10">
        <w:rPr>
          <w:rFonts w:ascii="Segoe UI" w:hAnsi="Segoe UI" w:cs="Segoe UI"/>
          <w:szCs w:val="24"/>
        </w:rPr>
        <w:t>changes in the CPI</w:t>
      </w:r>
      <w:r w:rsidR="66393189" w:rsidRPr="17CECF10">
        <w:rPr>
          <w:rFonts w:ascii="Segoe UI" w:hAnsi="Segoe UI" w:cs="Segoe UI"/>
          <w:szCs w:val="24"/>
        </w:rPr>
        <w:t>-U</w:t>
      </w:r>
      <w:r w:rsidRPr="17CECF10">
        <w:rPr>
          <w:rFonts w:ascii="Segoe UI" w:hAnsi="Segoe UI" w:cs="Segoe UI"/>
          <w:szCs w:val="24"/>
        </w:rPr>
        <w:t>, a commonly used measure of inflation.</w:t>
      </w:r>
      <w:r w:rsidR="71D376F7" w:rsidRPr="17CECF10">
        <w:rPr>
          <w:rFonts w:ascii="Segoe UI" w:hAnsi="Segoe UI" w:cs="Segoe UI"/>
          <w:szCs w:val="24"/>
        </w:rPr>
        <w:t xml:space="preserve"> </w:t>
      </w:r>
      <w:r w:rsidRPr="17CECF10">
        <w:rPr>
          <w:rFonts w:ascii="Segoe UI" w:hAnsi="Segoe UI" w:cs="Segoe UI"/>
          <w:szCs w:val="24"/>
        </w:rPr>
        <w:t xml:space="preserve">Building on this approach, </w:t>
      </w:r>
      <w:r w:rsidR="483F6607" w:rsidRPr="17CECF10">
        <w:rPr>
          <w:rFonts w:ascii="Segoe UI" w:hAnsi="Segoe UI" w:cs="Segoe UI"/>
          <w:szCs w:val="24"/>
        </w:rPr>
        <w:t>the Across-the-Board Adjustment (</w:t>
      </w:r>
      <w:r w:rsidRPr="17CECF10">
        <w:rPr>
          <w:rFonts w:ascii="Segoe UI" w:hAnsi="Segoe UI" w:cs="Segoe UI"/>
          <w:szCs w:val="24"/>
        </w:rPr>
        <w:t>Alternative 3</w:t>
      </w:r>
      <w:r w:rsidR="483F6607" w:rsidRPr="17CECF10">
        <w:rPr>
          <w:rFonts w:ascii="Segoe UI" w:hAnsi="Segoe UI" w:cs="Segoe UI"/>
          <w:szCs w:val="24"/>
        </w:rPr>
        <w:t>)</w:t>
      </w:r>
      <w:r w:rsidRPr="17CECF10">
        <w:rPr>
          <w:rFonts w:ascii="Segoe UI" w:hAnsi="Segoe UI" w:cs="Segoe UI"/>
          <w:szCs w:val="24"/>
        </w:rPr>
        <w:t xml:space="preserve"> uses the </w:t>
      </w:r>
      <w:r w:rsidR="227D4591" w:rsidRPr="17CECF10">
        <w:rPr>
          <w:rFonts w:ascii="Segoe UI" w:hAnsi="Segoe UI" w:cs="Segoe UI"/>
          <w:szCs w:val="24"/>
        </w:rPr>
        <w:t xml:space="preserve">AIA </w:t>
      </w:r>
      <w:r w:rsidR="31AA47E3" w:rsidRPr="17CECF10">
        <w:rPr>
          <w:rFonts w:ascii="Segoe UI" w:hAnsi="Segoe UI" w:cs="Segoe UI"/>
          <w:szCs w:val="24"/>
        </w:rPr>
        <w:t>s</w:t>
      </w:r>
      <w:r w:rsidRPr="17CECF10">
        <w:rPr>
          <w:rFonts w:ascii="Segoe UI" w:hAnsi="Segoe UI" w:cs="Segoe UI"/>
          <w:szCs w:val="24"/>
        </w:rPr>
        <w:t>ection 10 fee setting authority to apply</w:t>
      </w:r>
      <w:r w:rsidR="35012F35" w:rsidRPr="17CECF10">
        <w:rPr>
          <w:rFonts w:ascii="Segoe UI" w:hAnsi="Segoe UI" w:cs="Segoe UI"/>
          <w:szCs w:val="24"/>
        </w:rPr>
        <w:t xml:space="preserve"> an inflationary adjustment of 1</w:t>
      </w:r>
      <w:r w:rsidR="23D2CBE9" w:rsidRPr="17CECF10">
        <w:rPr>
          <w:rFonts w:ascii="Segoe UI" w:hAnsi="Segoe UI" w:cs="Segoe UI"/>
          <w:szCs w:val="24"/>
        </w:rPr>
        <w:t>2</w:t>
      </w:r>
      <w:r w:rsidRPr="17CECF10">
        <w:rPr>
          <w:rFonts w:ascii="Segoe UI" w:hAnsi="Segoe UI" w:cs="Segoe UI"/>
          <w:szCs w:val="24"/>
        </w:rPr>
        <w:t>.</w:t>
      </w:r>
      <w:r w:rsidR="23D2CBE9" w:rsidRPr="17CECF10">
        <w:rPr>
          <w:rFonts w:ascii="Segoe UI" w:hAnsi="Segoe UI" w:cs="Segoe UI"/>
          <w:szCs w:val="24"/>
        </w:rPr>
        <w:t>5</w:t>
      </w:r>
      <w:r w:rsidR="21B3B844" w:rsidRPr="17CECF10">
        <w:rPr>
          <w:rFonts w:ascii="Segoe UI" w:hAnsi="Segoe UI" w:cs="Segoe UI"/>
          <w:szCs w:val="24"/>
        </w:rPr>
        <w:t>%</w:t>
      </w:r>
      <w:r w:rsidRPr="17CECF10">
        <w:rPr>
          <w:rFonts w:ascii="Segoe UI" w:hAnsi="Segoe UI" w:cs="Segoe UI"/>
          <w:szCs w:val="24"/>
        </w:rPr>
        <w:t xml:space="preserve"> to the Baseline to achieve aggregate patent revenue roughly equivalent to </w:t>
      </w:r>
      <w:r w:rsidR="5EBCEE62" w:rsidRPr="17CECF10">
        <w:rPr>
          <w:rFonts w:ascii="Segoe UI" w:hAnsi="Segoe UI" w:cs="Segoe UI"/>
          <w:szCs w:val="24"/>
        </w:rPr>
        <w:t xml:space="preserve">the </w:t>
      </w:r>
      <w:r w:rsidR="497A267A" w:rsidRPr="17CECF10">
        <w:rPr>
          <w:rFonts w:ascii="Segoe UI" w:hAnsi="Segoe UI" w:cs="Segoe UI"/>
          <w:szCs w:val="24"/>
        </w:rPr>
        <w:t>Final</w:t>
      </w:r>
      <w:r w:rsidR="5EBCEE62" w:rsidRPr="17CECF10">
        <w:rPr>
          <w:rFonts w:ascii="Segoe UI" w:hAnsi="Segoe UI" w:cs="Segoe UI"/>
          <w:szCs w:val="24"/>
        </w:rPr>
        <w:t xml:space="preserve"> </w:t>
      </w:r>
      <w:r w:rsidR="227D4591" w:rsidRPr="17CECF10">
        <w:rPr>
          <w:rFonts w:ascii="Segoe UI" w:hAnsi="Segoe UI" w:cs="Segoe UI"/>
          <w:szCs w:val="24"/>
        </w:rPr>
        <w:t xml:space="preserve">Patent </w:t>
      </w:r>
      <w:r w:rsidR="5EBCEE62" w:rsidRPr="17CECF10">
        <w:rPr>
          <w:rFonts w:ascii="Segoe UI" w:hAnsi="Segoe UI" w:cs="Segoe UI"/>
          <w:szCs w:val="24"/>
        </w:rPr>
        <w:t>Fee Schedule (</w:t>
      </w:r>
      <w:r w:rsidRPr="17CECF10">
        <w:rPr>
          <w:rFonts w:ascii="Segoe UI" w:hAnsi="Segoe UI" w:cs="Segoe UI"/>
          <w:szCs w:val="24"/>
        </w:rPr>
        <w:t>Alternative 1</w:t>
      </w:r>
      <w:r w:rsidR="5EBCEE62" w:rsidRPr="17CECF10">
        <w:rPr>
          <w:rFonts w:ascii="Segoe UI" w:hAnsi="Segoe UI" w:cs="Segoe UI"/>
          <w:szCs w:val="24"/>
        </w:rPr>
        <w:t>)</w:t>
      </w:r>
      <w:r w:rsidRPr="17CECF10">
        <w:rPr>
          <w:rFonts w:ascii="Segoe UI" w:hAnsi="Segoe UI" w:cs="Segoe UI"/>
          <w:szCs w:val="24"/>
        </w:rPr>
        <w:t xml:space="preserve"> and</w:t>
      </w:r>
      <w:r w:rsidR="5EBCEE62" w:rsidRPr="17CECF10">
        <w:rPr>
          <w:rFonts w:ascii="Segoe UI" w:hAnsi="Segoe UI" w:cs="Segoe UI"/>
          <w:szCs w:val="24"/>
        </w:rPr>
        <w:t xml:space="preserve"> Unit Cost Recovery (Alternative</w:t>
      </w:r>
      <w:r w:rsidRPr="17CECF10">
        <w:rPr>
          <w:rFonts w:ascii="Segoe UI" w:hAnsi="Segoe UI" w:cs="Segoe UI"/>
          <w:szCs w:val="24"/>
        </w:rPr>
        <w:t xml:space="preserve"> 2</w:t>
      </w:r>
      <w:r w:rsidR="5EBCEE62" w:rsidRPr="17CECF10">
        <w:rPr>
          <w:rFonts w:ascii="Segoe UI" w:hAnsi="Segoe UI" w:cs="Segoe UI"/>
          <w:szCs w:val="24"/>
        </w:rPr>
        <w:t>)</w:t>
      </w:r>
      <w:r w:rsidR="0DE17D48" w:rsidRPr="17CECF10">
        <w:rPr>
          <w:rFonts w:ascii="Segoe UI" w:hAnsi="Segoe UI" w:cs="Segoe UI"/>
          <w:szCs w:val="24"/>
        </w:rPr>
        <w:t xml:space="preserve"> and </w:t>
      </w:r>
      <w:r w:rsidR="2342ED06" w:rsidRPr="17CECF10">
        <w:rPr>
          <w:rFonts w:ascii="Segoe UI" w:hAnsi="Segoe UI" w:cs="Segoe UI"/>
          <w:szCs w:val="24"/>
        </w:rPr>
        <w:t xml:space="preserve">to </w:t>
      </w:r>
      <w:r w:rsidR="290C06FE" w:rsidRPr="17CECF10">
        <w:rPr>
          <w:rFonts w:ascii="Segoe UI" w:hAnsi="Segoe UI" w:cs="Segoe UI"/>
          <w:szCs w:val="24"/>
        </w:rPr>
        <w:t>re</w:t>
      </w:r>
      <w:r w:rsidRPr="17CECF10">
        <w:rPr>
          <w:rFonts w:ascii="Segoe UI" w:hAnsi="Segoe UI" w:cs="Segoe UI"/>
          <w:szCs w:val="24"/>
        </w:rPr>
        <w:t>cover</w:t>
      </w:r>
      <w:r w:rsidR="0DE17D48" w:rsidRPr="17CECF10">
        <w:rPr>
          <w:rFonts w:ascii="Segoe UI" w:hAnsi="Segoe UI" w:cs="Segoe UI"/>
          <w:szCs w:val="24"/>
        </w:rPr>
        <w:t xml:space="preserve"> </w:t>
      </w:r>
      <w:r w:rsidR="2342ED06" w:rsidRPr="17CECF10">
        <w:rPr>
          <w:rFonts w:ascii="Segoe UI" w:hAnsi="Segoe UI" w:cs="Segoe UI"/>
          <w:szCs w:val="24"/>
        </w:rPr>
        <w:t xml:space="preserve">the </w:t>
      </w:r>
      <w:r w:rsidRPr="17CECF10">
        <w:rPr>
          <w:rFonts w:ascii="Segoe UI" w:hAnsi="Segoe UI" w:cs="Segoe UI"/>
          <w:szCs w:val="24"/>
        </w:rPr>
        <w:t>aggrega</w:t>
      </w:r>
      <w:r w:rsidR="35012F35" w:rsidRPr="17CECF10">
        <w:rPr>
          <w:rFonts w:ascii="Segoe UI" w:hAnsi="Segoe UI" w:cs="Segoe UI"/>
          <w:szCs w:val="24"/>
        </w:rPr>
        <w:t xml:space="preserve">te costs </w:t>
      </w:r>
      <w:r w:rsidR="240319B2" w:rsidRPr="17CECF10">
        <w:rPr>
          <w:rFonts w:ascii="Segoe UI" w:hAnsi="Segoe UI" w:cs="Segoe UI"/>
          <w:szCs w:val="24"/>
        </w:rPr>
        <w:t xml:space="preserve">detailed </w:t>
      </w:r>
      <w:r w:rsidR="35012F35" w:rsidRPr="17CECF10">
        <w:rPr>
          <w:rFonts w:ascii="Segoe UI" w:hAnsi="Segoe UI" w:cs="Segoe UI"/>
          <w:szCs w:val="24"/>
        </w:rPr>
        <w:t xml:space="preserve">in the FY </w:t>
      </w:r>
      <w:r w:rsidR="7E268FDC" w:rsidRPr="17CECF10">
        <w:rPr>
          <w:rFonts w:ascii="Segoe UI" w:hAnsi="Segoe UI" w:cs="Segoe UI"/>
          <w:szCs w:val="24"/>
        </w:rPr>
        <w:t>2025 Budget</w:t>
      </w:r>
      <w:r w:rsidRPr="17CECF10">
        <w:rPr>
          <w:rFonts w:ascii="Segoe UI" w:hAnsi="Segoe UI" w:cs="Segoe UI"/>
          <w:szCs w:val="24"/>
        </w:rPr>
        <w:t>.</w:t>
      </w:r>
    </w:p>
    <w:p w14:paraId="7D07BFF5" w14:textId="1A1E7D57" w:rsidR="006C1473" w:rsidRDefault="65118A66" w:rsidP="17CECF10">
      <w:pPr>
        <w:spacing w:line="360" w:lineRule="auto"/>
        <w:ind w:firstLine="450"/>
        <w:rPr>
          <w:rFonts w:ascii="Segoe UI" w:hAnsi="Segoe UI" w:cs="Segoe UI"/>
          <w:szCs w:val="24"/>
        </w:rPr>
      </w:pPr>
      <w:r w:rsidRPr="17CECF10">
        <w:rPr>
          <w:rFonts w:ascii="Segoe UI" w:hAnsi="Segoe UI" w:cs="Segoe UI"/>
          <w:szCs w:val="24"/>
        </w:rPr>
        <w:t xml:space="preserve">As shown in Table 4-9, </w:t>
      </w:r>
      <w:r w:rsidR="7F1D20BF" w:rsidRPr="17CECF10">
        <w:rPr>
          <w:rFonts w:ascii="Segoe UI" w:hAnsi="Segoe UI" w:cs="Segoe UI"/>
          <w:szCs w:val="24"/>
        </w:rPr>
        <w:t xml:space="preserve">based on assumptions in </w:t>
      </w:r>
      <w:r w:rsidR="011E871B" w:rsidRPr="17CECF10">
        <w:rPr>
          <w:rFonts w:ascii="Segoe UI" w:hAnsi="Segoe UI" w:cs="Segoe UI"/>
          <w:szCs w:val="24"/>
        </w:rPr>
        <w:t>the</w:t>
      </w:r>
      <w:r w:rsidR="41F4589E" w:rsidRPr="17CECF10">
        <w:rPr>
          <w:rFonts w:ascii="Segoe UI" w:hAnsi="Segoe UI" w:cs="Segoe UI"/>
          <w:szCs w:val="24"/>
        </w:rPr>
        <w:t xml:space="preserve"> final rule</w:t>
      </w:r>
      <w:r w:rsidR="7F1D20BF" w:rsidRPr="17CECF10">
        <w:rPr>
          <w:rFonts w:ascii="Segoe UI" w:hAnsi="Segoe UI" w:cs="Segoe UI"/>
          <w:szCs w:val="24"/>
        </w:rPr>
        <w:t xml:space="preserve"> and FY </w:t>
      </w:r>
      <w:r w:rsidR="7E268FDC" w:rsidRPr="17CECF10">
        <w:rPr>
          <w:rFonts w:ascii="Segoe UI" w:hAnsi="Segoe UI" w:cs="Segoe UI"/>
          <w:szCs w:val="24"/>
        </w:rPr>
        <w:t>2025 Budget</w:t>
      </w:r>
      <w:r w:rsidR="7F1D20BF" w:rsidRPr="17CECF10">
        <w:rPr>
          <w:rFonts w:ascii="Segoe UI" w:hAnsi="Segoe UI" w:cs="Segoe UI"/>
          <w:szCs w:val="24"/>
        </w:rPr>
        <w:t xml:space="preserve">, </w:t>
      </w:r>
      <w:r w:rsidR="20C846BD" w:rsidRPr="17CECF10">
        <w:rPr>
          <w:rFonts w:ascii="Segoe UI" w:hAnsi="Segoe UI" w:cs="Segoe UI"/>
          <w:szCs w:val="24"/>
        </w:rPr>
        <w:t xml:space="preserve">having </w:t>
      </w:r>
      <w:r w:rsidRPr="17CECF10">
        <w:rPr>
          <w:rFonts w:ascii="Segoe UI" w:hAnsi="Segoe UI" w:cs="Segoe UI"/>
          <w:szCs w:val="24"/>
        </w:rPr>
        <w:t xml:space="preserve">the </w:t>
      </w:r>
      <w:r w:rsidR="5EBCEE62" w:rsidRPr="17CECF10">
        <w:rPr>
          <w:rFonts w:ascii="Segoe UI" w:hAnsi="Segoe UI" w:cs="Segoe UI"/>
          <w:szCs w:val="24"/>
        </w:rPr>
        <w:t>Across</w:t>
      </w:r>
      <w:r w:rsidR="31AA47E3" w:rsidRPr="17CECF10">
        <w:rPr>
          <w:rFonts w:ascii="Segoe UI" w:hAnsi="Segoe UI" w:cs="Segoe UI"/>
          <w:szCs w:val="24"/>
        </w:rPr>
        <w:t>-</w:t>
      </w:r>
      <w:r w:rsidR="5EBCEE62" w:rsidRPr="17CECF10">
        <w:rPr>
          <w:rFonts w:ascii="Segoe UI" w:hAnsi="Segoe UI" w:cs="Segoe UI"/>
          <w:szCs w:val="24"/>
        </w:rPr>
        <w:t>the</w:t>
      </w:r>
      <w:r w:rsidR="31AA47E3" w:rsidRPr="17CECF10">
        <w:rPr>
          <w:rFonts w:ascii="Segoe UI" w:hAnsi="Segoe UI" w:cs="Segoe UI"/>
          <w:szCs w:val="24"/>
        </w:rPr>
        <w:t>-</w:t>
      </w:r>
      <w:r w:rsidR="5EBCEE62" w:rsidRPr="17CECF10">
        <w:rPr>
          <w:rFonts w:ascii="Segoe UI" w:hAnsi="Segoe UI" w:cs="Segoe UI"/>
          <w:szCs w:val="24"/>
        </w:rPr>
        <w:t xml:space="preserve">Board Adjustment </w:t>
      </w:r>
      <w:r w:rsidR="35012F35" w:rsidRPr="17CECF10">
        <w:rPr>
          <w:rFonts w:ascii="Segoe UI" w:hAnsi="Segoe UI" w:cs="Segoe UI"/>
          <w:szCs w:val="24"/>
        </w:rPr>
        <w:t>fee schedule in</w:t>
      </w:r>
      <w:r w:rsidR="0F211002" w:rsidRPr="17CECF10">
        <w:rPr>
          <w:rFonts w:ascii="Segoe UI" w:hAnsi="Segoe UI" w:cs="Segoe UI"/>
          <w:szCs w:val="24"/>
        </w:rPr>
        <w:t xml:space="preserve"> place f</w:t>
      </w:r>
      <w:r w:rsidR="20C846BD" w:rsidRPr="17CECF10">
        <w:rPr>
          <w:rFonts w:ascii="Segoe UI" w:hAnsi="Segoe UI" w:cs="Segoe UI"/>
          <w:szCs w:val="24"/>
        </w:rPr>
        <w:t>or part of</w:t>
      </w:r>
      <w:r w:rsidR="35012F35" w:rsidRPr="17CECF10">
        <w:rPr>
          <w:rFonts w:ascii="Segoe UI" w:hAnsi="Segoe UI" w:cs="Segoe UI"/>
          <w:szCs w:val="24"/>
        </w:rPr>
        <w:t xml:space="preserve"> FY 202</w:t>
      </w:r>
      <w:r w:rsidR="23D2CBE9" w:rsidRPr="17CECF10">
        <w:rPr>
          <w:rFonts w:ascii="Segoe UI" w:hAnsi="Segoe UI" w:cs="Segoe UI"/>
          <w:szCs w:val="24"/>
        </w:rPr>
        <w:t>5</w:t>
      </w:r>
      <w:r w:rsidRPr="17CECF10">
        <w:rPr>
          <w:rFonts w:ascii="Segoe UI" w:hAnsi="Segoe UI" w:cs="Segoe UI"/>
          <w:szCs w:val="24"/>
        </w:rPr>
        <w:t xml:space="preserve"> would provide the USPTO a </w:t>
      </w:r>
      <w:r w:rsidR="2AB550FA" w:rsidRPr="17CECF10">
        <w:rPr>
          <w:rFonts w:ascii="Segoe UI" w:hAnsi="Segoe UI" w:cs="Segoe UI"/>
          <w:szCs w:val="24"/>
        </w:rPr>
        <w:t>7.2</w:t>
      </w:r>
      <w:r w:rsidR="21B3B844" w:rsidRPr="17CECF10">
        <w:rPr>
          <w:rFonts w:ascii="Segoe UI" w:hAnsi="Segoe UI" w:cs="Segoe UI"/>
          <w:szCs w:val="24"/>
        </w:rPr>
        <w:t>%</w:t>
      </w:r>
      <w:r w:rsidRPr="17CECF10">
        <w:rPr>
          <w:rFonts w:ascii="Segoe UI" w:hAnsi="Segoe UI" w:cs="Segoe UI"/>
          <w:szCs w:val="24"/>
        </w:rPr>
        <w:t xml:space="preserve"> increase in fee collections from Baseline levels.</w:t>
      </w:r>
      <w:r w:rsidR="71D376F7" w:rsidRPr="17CECF10">
        <w:rPr>
          <w:rFonts w:ascii="Segoe UI" w:hAnsi="Segoe UI" w:cs="Segoe UI"/>
          <w:szCs w:val="24"/>
        </w:rPr>
        <w:t xml:space="preserve"> </w:t>
      </w:r>
      <w:r w:rsidR="1F3C3DEE" w:rsidRPr="17CECF10">
        <w:rPr>
          <w:rFonts w:ascii="Segoe UI" w:hAnsi="Segoe UI" w:cs="Segoe UI"/>
          <w:szCs w:val="24"/>
        </w:rPr>
        <w:t>T</w:t>
      </w:r>
      <w:r w:rsidR="2773017E" w:rsidRPr="17CECF10">
        <w:rPr>
          <w:rFonts w:ascii="Segoe UI" w:hAnsi="Segoe UI" w:cs="Segoe UI"/>
          <w:szCs w:val="24"/>
        </w:rPr>
        <w:t xml:space="preserve">he agency projects that </w:t>
      </w:r>
      <w:r w:rsidR="6C777110" w:rsidRPr="17CECF10">
        <w:rPr>
          <w:rFonts w:ascii="Segoe UI" w:hAnsi="Segoe UI" w:cs="Segoe UI"/>
          <w:szCs w:val="24"/>
        </w:rPr>
        <w:t xml:space="preserve">in </w:t>
      </w:r>
      <w:r w:rsidR="305F6E81" w:rsidRPr="17CECF10">
        <w:rPr>
          <w:rFonts w:ascii="Segoe UI" w:hAnsi="Segoe UI" w:cs="Segoe UI"/>
          <w:szCs w:val="24"/>
        </w:rPr>
        <w:t>FY 2026</w:t>
      </w:r>
      <w:r w:rsidR="6C777110" w:rsidRPr="17CECF10">
        <w:rPr>
          <w:rFonts w:ascii="Segoe UI" w:hAnsi="Segoe UI" w:cs="Segoe UI"/>
          <w:szCs w:val="24"/>
        </w:rPr>
        <w:t>, with the new fee levels in place for a full year,</w:t>
      </w:r>
      <w:r w:rsidR="305F6E81" w:rsidRPr="17CECF10">
        <w:rPr>
          <w:rFonts w:ascii="Segoe UI" w:hAnsi="Segoe UI" w:cs="Segoe UI"/>
          <w:szCs w:val="24"/>
        </w:rPr>
        <w:t xml:space="preserve"> </w:t>
      </w:r>
      <w:r w:rsidRPr="17CECF10">
        <w:rPr>
          <w:rFonts w:ascii="Segoe UI" w:hAnsi="Segoe UI" w:cs="Segoe UI"/>
          <w:szCs w:val="24"/>
        </w:rPr>
        <w:t>fee collections</w:t>
      </w:r>
      <w:r w:rsidR="305F6E81" w:rsidRPr="17CECF10">
        <w:rPr>
          <w:rFonts w:ascii="Segoe UI" w:hAnsi="Segoe UI" w:cs="Segoe UI"/>
          <w:szCs w:val="24"/>
        </w:rPr>
        <w:t xml:space="preserve"> would exceed the </w:t>
      </w:r>
      <w:r w:rsidRPr="17CECF10">
        <w:rPr>
          <w:rFonts w:ascii="Segoe UI" w:hAnsi="Segoe UI" w:cs="Segoe UI"/>
          <w:szCs w:val="24"/>
        </w:rPr>
        <w:t xml:space="preserve">Baseline by approximately </w:t>
      </w:r>
      <w:r w:rsidR="23D2CBE9" w:rsidRPr="17CECF10">
        <w:rPr>
          <w:rFonts w:ascii="Segoe UI" w:hAnsi="Segoe UI" w:cs="Segoe UI"/>
          <w:szCs w:val="24"/>
        </w:rPr>
        <w:t>11</w:t>
      </w:r>
      <w:r w:rsidR="38A77085" w:rsidRPr="17CECF10">
        <w:rPr>
          <w:rFonts w:ascii="Segoe UI" w:hAnsi="Segoe UI" w:cs="Segoe UI"/>
          <w:szCs w:val="24"/>
        </w:rPr>
        <w:t>.1</w:t>
      </w:r>
      <w:r w:rsidR="31AA47E3" w:rsidRPr="17CECF10">
        <w:rPr>
          <w:rFonts w:ascii="Segoe UI" w:hAnsi="Segoe UI" w:cs="Segoe UI"/>
          <w:szCs w:val="24"/>
        </w:rPr>
        <w:t>%</w:t>
      </w:r>
      <w:r w:rsidRPr="17CECF10">
        <w:rPr>
          <w:rFonts w:ascii="Segoe UI" w:hAnsi="Segoe UI" w:cs="Segoe UI"/>
          <w:szCs w:val="24"/>
        </w:rPr>
        <w:t>.</w:t>
      </w:r>
    </w:p>
    <w:p w14:paraId="3390F110" w14:textId="34F928EE" w:rsidR="00216BD8" w:rsidRPr="00CF6436" w:rsidRDefault="31C482F9" w:rsidP="17CECF10">
      <w:pPr>
        <w:spacing w:line="360" w:lineRule="auto"/>
        <w:ind w:firstLine="450"/>
        <w:rPr>
          <w:rFonts w:ascii="Segoe UI" w:hAnsi="Segoe UI" w:cs="Segoe UI"/>
          <w:szCs w:val="24"/>
        </w:rPr>
      </w:pPr>
      <w:r w:rsidRPr="17CECF10">
        <w:rPr>
          <w:rFonts w:ascii="Segoe UI" w:hAnsi="Segoe UI" w:cs="Segoe UI"/>
          <w:szCs w:val="24"/>
        </w:rPr>
        <w:t xml:space="preserve">The Across-the-Board Adjustment </w:t>
      </w:r>
      <w:r w:rsidR="0105FA03" w:rsidRPr="17CECF10">
        <w:rPr>
          <w:rFonts w:ascii="Segoe UI" w:hAnsi="Segoe UI" w:cs="Segoe UI"/>
          <w:szCs w:val="24"/>
        </w:rPr>
        <w:t xml:space="preserve">focuses on building resiliency against financial shocks by maintaining the minimum operating reserve balance (approximately three months of operating expenses) while building to the optimal </w:t>
      </w:r>
      <w:r w:rsidR="0105FA03" w:rsidRPr="17CECF10">
        <w:rPr>
          <w:rFonts w:ascii="Segoe UI" w:hAnsi="Segoe UI" w:cs="Segoe UI"/>
          <w:szCs w:val="24"/>
        </w:rPr>
        <w:lastRenderedPageBreak/>
        <w:t xml:space="preserve">reserve target. </w:t>
      </w:r>
      <w:r w:rsidR="72DF2DD8" w:rsidRPr="17CECF10">
        <w:rPr>
          <w:rFonts w:ascii="Segoe UI" w:hAnsi="Segoe UI" w:cs="Segoe UI"/>
          <w:szCs w:val="24"/>
        </w:rPr>
        <w:t xml:space="preserve">Under this alternative, </w:t>
      </w:r>
      <w:r w:rsidR="10DBDBB4" w:rsidRPr="17CECF10">
        <w:rPr>
          <w:rFonts w:ascii="Segoe UI" w:hAnsi="Segoe UI" w:cs="Segoe UI"/>
          <w:szCs w:val="24"/>
        </w:rPr>
        <w:t>the projected EOY</w:t>
      </w:r>
      <w:r w:rsidR="002E131C" w:rsidRPr="17CECF10">
        <w:rPr>
          <w:rFonts w:ascii="Segoe UI" w:hAnsi="Segoe UI" w:cs="Segoe UI"/>
          <w:szCs w:val="24"/>
        </w:rPr>
        <w:t xml:space="preserve"> </w:t>
      </w:r>
      <w:r w:rsidR="4221051F" w:rsidRPr="17CECF10">
        <w:rPr>
          <w:rFonts w:ascii="Segoe UI" w:hAnsi="Segoe UI" w:cs="Segoe UI"/>
          <w:szCs w:val="24"/>
        </w:rPr>
        <w:t xml:space="preserve">operating reserve </w:t>
      </w:r>
      <w:r w:rsidR="10DBDBB4" w:rsidRPr="17CECF10">
        <w:rPr>
          <w:rFonts w:ascii="Segoe UI" w:hAnsi="Segoe UI" w:cs="Segoe UI"/>
          <w:szCs w:val="24"/>
        </w:rPr>
        <w:t xml:space="preserve">balance </w:t>
      </w:r>
      <w:r w:rsidR="4221051F" w:rsidRPr="17CECF10">
        <w:rPr>
          <w:rFonts w:ascii="Segoe UI" w:hAnsi="Segoe UI" w:cs="Segoe UI"/>
          <w:szCs w:val="24"/>
        </w:rPr>
        <w:t>exceeds</w:t>
      </w:r>
      <w:r w:rsidR="10DBDBB4" w:rsidRPr="17CECF10">
        <w:rPr>
          <w:rFonts w:ascii="Segoe UI" w:hAnsi="Segoe UI" w:cs="Segoe UI"/>
          <w:szCs w:val="24"/>
        </w:rPr>
        <w:t xml:space="preserve"> </w:t>
      </w:r>
      <w:r w:rsidR="0105FA03" w:rsidRPr="17CECF10">
        <w:rPr>
          <w:rFonts w:ascii="Segoe UI" w:hAnsi="Segoe UI" w:cs="Segoe UI"/>
          <w:szCs w:val="24"/>
        </w:rPr>
        <w:t xml:space="preserve">the optimal reserve target </w:t>
      </w:r>
      <w:r w:rsidR="4221051F" w:rsidRPr="17CECF10">
        <w:rPr>
          <w:rFonts w:ascii="Segoe UI" w:hAnsi="Segoe UI" w:cs="Segoe UI"/>
          <w:szCs w:val="24"/>
        </w:rPr>
        <w:t>for FYs 2026-2028</w:t>
      </w:r>
      <w:r w:rsidR="0105FA03" w:rsidRPr="17CECF10">
        <w:rPr>
          <w:rFonts w:ascii="Segoe UI" w:hAnsi="Segoe UI" w:cs="Segoe UI"/>
          <w:szCs w:val="24"/>
        </w:rPr>
        <w:t xml:space="preserve">. </w:t>
      </w:r>
      <w:r w:rsidR="5186A35B" w:rsidRPr="17CECF10">
        <w:rPr>
          <w:rFonts w:ascii="Segoe UI" w:hAnsi="Segoe UI" w:cs="Segoe UI"/>
          <w:szCs w:val="24"/>
        </w:rPr>
        <w:t xml:space="preserve">During </w:t>
      </w:r>
      <w:r w:rsidR="0105FA03" w:rsidRPr="17CECF10">
        <w:rPr>
          <w:rFonts w:ascii="Segoe UI" w:hAnsi="Segoe UI" w:cs="Segoe UI"/>
          <w:szCs w:val="24"/>
        </w:rPr>
        <w:t xml:space="preserve">FY </w:t>
      </w:r>
      <w:r w:rsidR="4221051F" w:rsidRPr="17CECF10">
        <w:rPr>
          <w:rFonts w:ascii="Segoe UI" w:hAnsi="Segoe UI" w:cs="Segoe UI"/>
          <w:szCs w:val="24"/>
        </w:rPr>
        <w:t>2029</w:t>
      </w:r>
      <w:r w:rsidR="5186A35B" w:rsidRPr="17CECF10">
        <w:rPr>
          <w:rFonts w:ascii="Segoe UI" w:hAnsi="Segoe UI" w:cs="Segoe UI"/>
          <w:szCs w:val="24"/>
        </w:rPr>
        <w:t>, the agency projects</w:t>
      </w:r>
      <w:r w:rsidR="0105FA03" w:rsidRPr="17CECF10">
        <w:rPr>
          <w:rFonts w:ascii="Segoe UI" w:hAnsi="Segoe UI" w:cs="Segoe UI"/>
          <w:szCs w:val="24"/>
        </w:rPr>
        <w:t xml:space="preserve"> the balance </w:t>
      </w:r>
      <w:r w:rsidR="5186A35B" w:rsidRPr="17CECF10">
        <w:rPr>
          <w:rFonts w:ascii="Segoe UI" w:hAnsi="Segoe UI" w:cs="Segoe UI"/>
          <w:szCs w:val="24"/>
        </w:rPr>
        <w:t>w</w:t>
      </w:r>
      <w:r w:rsidR="1A277537" w:rsidRPr="17CECF10">
        <w:rPr>
          <w:rFonts w:ascii="Segoe UI" w:hAnsi="Segoe UI" w:cs="Segoe UI"/>
          <w:szCs w:val="24"/>
        </w:rPr>
        <w:t>ould</w:t>
      </w:r>
      <w:r w:rsidR="5186A35B" w:rsidRPr="17CECF10">
        <w:rPr>
          <w:rFonts w:ascii="Segoe UI" w:hAnsi="Segoe UI" w:cs="Segoe UI"/>
          <w:szCs w:val="24"/>
        </w:rPr>
        <w:t xml:space="preserve"> fall below</w:t>
      </w:r>
      <w:r w:rsidR="0105FA03" w:rsidRPr="17CECF10">
        <w:rPr>
          <w:rFonts w:ascii="Segoe UI" w:hAnsi="Segoe UI" w:cs="Segoe UI"/>
          <w:szCs w:val="24"/>
        </w:rPr>
        <w:t xml:space="preserve"> the optimal level </w:t>
      </w:r>
      <w:r w:rsidR="315E38C2" w:rsidRPr="17CECF10">
        <w:rPr>
          <w:rFonts w:ascii="Segoe UI" w:hAnsi="Segoe UI" w:cs="Segoe UI"/>
          <w:szCs w:val="24"/>
        </w:rPr>
        <w:t xml:space="preserve">as it </w:t>
      </w:r>
      <w:r w:rsidR="0105FA03" w:rsidRPr="17CECF10">
        <w:rPr>
          <w:rFonts w:ascii="Segoe UI" w:hAnsi="Segoe UI" w:cs="Segoe UI"/>
          <w:szCs w:val="24"/>
        </w:rPr>
        <w:t>supplement</w:t>
      </w:r>
      <w:r w:rsidR="315E38C2" w:rsidRPr="17CECF10">
        <w:rPr>
          <w:rFonts w:ascii="Segoe UI" w:hAnsi="Segoe UI" w:cs="Segoe UI"/>
          <w:szCs w:val="24"/>
        </w:rPr>
        <w:t>s</w:t>
      </w:r>
      <w:r w:rsidR="0105FA03" w:rsidRPr="17CECF10">
        <w:rPr>
          <w:rFonts w:ascii="Segoe UI" w:hAnsi="Segoe UI" w:cs="Segoe UI"/>
          <w:szCs w:val="24"/>
        </w:rPr>
        <w:t xml:space="preserve"> anticipated fee collections. </w:t>
      </w:r>
      <w:r w:rsidR="7BF4588D" w:rsidRPr="17CECF10">
        <w:rPr>
          <w:rFonts w:ascii="Segoe UI" w:hAnsi="Segoe UI" w:cs="Segoe UI"/>
          <w:szCs w:val="24"/>
        </w:rPr>
        <w:t xml:space="preserve">Overall, </w:t>
      </w:r>
      <w:r w:rsidRPr="17CECF10">
        <w:rPr>
          <w:rFonts w:ascii="Segoe UI" w:hAnsi="Segoe UI" w:cs="Segoe UI"/>
          <w:szCs w:val="24"/>
        </w:rPr>
        <w:t>a</w:t>
      </w:r>
      <w:r w:rsidR="65118A66" w:rsidRPr="17CECF10">
        <w:rPr>
          <w:rFonts w:ascii="Segoe UI" w:hAnsi="Segoe UI" w:cs="Segoe UI"/>
          <w:szCs w:val="24"/>
        </w:rPr>
        <w:t xml:space="preserve">ggregate revenue would be sufficient to </w:t>
      </w:r>
      <w:r w:rsidR="290C06FE" w:rsidRPr="17CECF10">
        <w:rPr>
          <w:rFonts w:ascii="Segoe UI" w:hAnsi="Segoe UI" w:cs="Segoe UI"/>
          <w:szCs w:val="24"/>
        </w:rPr>
        <w:t>re</w:t>
      </w:r>
      <w:r w:rsidR="7D28B8F1" w:rsidRPr="17CECF10">
        <w:rPr>
          <w:rFonts w:ascii="Segoe UI" w:hAnsi="Segoe UI" w:cs="Segoe UI"/>
          <w:szCs w:val="24"/>
        </w:rPr>
        <w:t>cover</w:t>
      </w:r>
      <w:r w:rsidR="65118A66" w:rsidRPr="17CECF10">
        <w:rPr>
          <w:rFonts w:ascii="Segoe UI" w:hAnsi="Segoe UI" w:cs="Segoe UI"/>
          <w:szCs w:val="24"/>
        </w:rPr>
        <w:t xml:space="preserve"> the aggregate cost</w:t>
      </w:r>
      <w:r w:rsidR="008D8244" w:rsidRPr="17CECF10">
        <w:rPr>
          <w:rFonts w:ascii="Segoe UI" w:hAnsi="Segoe UI" w:cs="Segoe UI"/>
          <w:szCs w:val="24"/>
        </w:rPr>
        <w:t>s</w:t>
      </w:r>
      <w:r w:rsidR="65118A66" w:rsidRPr="17CECF10">
        <w:rPr>
          <w:rFonts w:ascii="Segoe UI" w:hAnsi="Segoe UI" w:cs="Segoe UI"/>
          <w:szCs w:val="24"/>
        </w:rPr>
        <w:t xml:space="preserve"> of patent operations and strategic priorities</w:t>
      </w:r>
      <w:r w:rsidR="47406363" w:rsidRPr="17CECF10">
        <w:rPr>
          <w:rFonts w:ascii="Segoe UI" w:hAnsi="Segoe UI" w:cs="Segoe UI"/>
          <w:szCs w:val="24"/>
        </w:rPr>
        <w:t>, thereby</w:t>
      </w:r>
      <w:r w:rsidR="6EF1C155" w:rsidRPr="17CECF10">
        <w:rPr>
          <w:rFonts w:ascii="Segoe UI" w:hAnsi="Segoe UI" w:cs="Segoe UI"/>
          <w:szCs w:val="24"/>
        </w:rPr>
        <w:t xml:space="preserve"> maintain</w:t>
      </w:r>
      <w:r w:rsidR="47406363" w:rsidRPr="17CECF10">
        <w:rPr>
          <w:rFonts w:ascii="Segoe UI" w:hAnsi="Segoe UI" w:cs="Segoe UI"/>
          <w:szCs w:val="24"/>
        </w:rPr>
        <w:t>ing</w:t>
      </w:r>
      <w:r w:rsidR="6EF1C155" w:rsidRPr="17CECF10">
        <w:rPr>
          <w:rFonts w:ascii="Segoe UI" w:hAnsi="Segoe UI" w:cs="Segoe UI"/>
          <w:szCs w:val="24"/>
        </w:rPr>
        <w:t xml:space="preserve"> operations at desired service levels</w:t>
      </w:r>
      <w:r w:rsidR="65118A66" w:rsidRPr="17CECF10">
        <w:rPr>
          <w:rFonts w:ascii="Segoe UI" w:hAnsi="Segoe UI" w:cs="Segoe UI"/>
          <w:szCs w:val="24"/>
        </w:rPr>
        <w:t>.</w:t>
      </w:r>
      <w:r w:rsidR="71D376F7" w:rsidRPr="17CECF10">
        <w:rPr>
          <w:rFonts w:ascii="Segoe UI" w:hAnsi="Segoe UI" w:cs="Segoe UI"/>
          <w:szCs w:val="24"/>
        </w:rPr>
        <w:t xml:space="preserve"> </w:t>
      </w:r>
      <w:r w:rsidR="08C1AC07" w:rsidRPr="17CECF10">
        <w:rPr>
          <w:rFonts w:ascii="Segoe UI" w:hAnsi="Segoe UI" w:cs="Segoe UI"/>
          <w:szCs w:val="24"/>
        </w:rPr>
        <w:t xml:space="preserve">The Across-the-Board Adjustment </w:t>
      </w:r>
      <w:r w:rsidR="30DF0E2C" w:rsidRPr="17CECF10">
        <w:rPr>
          <w:rFonts w:ascii="Segoe UI" w:hAnsi="Segoe UI" w:cs="Segoe UI"/>
          <w:szCs w:val="24"/>
        </w:rPr>
        <w:t xml:space="preserve">gradually </w:t>
      </w:r>
      <w:r w:rsidR="65118A66" w:rsidRPr="17CECF10">
        <w:rPr>
          <w:rFonts w:ascii="Segoe UI" w:hAnsi="Segoe UI" w:cs="Segoe UI"/>
          <w:szCs w:val="24"/>
        </w:rPr>
        <w:t>builds</w:t>
      </w:r>
      <w:r w:rsidR="04721590" w:rsidRPr="17CECF10">
        <w:rPr>
          <w:rFonts w:ascii="Segoe UI" w:hAnsi="Segoe UI" w:cs="Segoe UI"/>
          <w:szCs w:val="24"/>
        </w:rPr>
        <w:t xml:space="preserve"> toward</w:t>
      </w:r>
      <w:r w:rsidR="65118A66" w:rsidRPr="17CECF10">
        <w:rPr>
          <w:rFonts w:ascii="Segoe UI" w:hAnsi="Segoe UI" w:cs="Segoe UI"/>
          <w:szCs w:val="24"/>
        </w:rPr>
        <w:t xml:space="preserve"> the </w:t>
      </w:r>
      <w:r w:rsidR="5EBCEE62" w:rsidRPr="17CECF10">
        <w:rPr>
          <w:rFonts w:ascii="Segoe UI" w:hAnsi="Segoe UI" w:cs="Segoe UI"/>
          <w:szCs w:val="24"/>
        </w:rPr>
        <w:t xml:space="preserve">optimal </w:t>
      </w:r>
      <w:r w:rsidR="65118A66" w:rsidRPr="17CECF10">
        <w:rPr>
          <w:rFonts w:ascii="Segoe UI" w:hAnsi="Segoe UI" w:cs="Segoe UI"/>
          <w:szCs w:val="24"/>
        </w:rPr>
        <w:t xml:space="preserve">patent operating reserve </w:t>
      </w:r>
      <w:r w:rsidR="08C1AC07" w:rsidRPr="17CECF10">
        <w:rPr>
          <w:rFonts w:ascii="Segoe UI" w:hAnsi="Segoe UI" w:cs="Segoe UI"/>
          <w:szCs w:val="24"/>
        </w:rPr>
        <w:t xml:space="preserve">balance </w:t>
      </w:r>
      <w:r w:rsidR="30DF0E2C" w:rsidRPr="17CECF10">
        <w:rPr>
          <w:rFonts w:ascii="Segoe UI" w:hAnsi="Segoe UI" w:cs="Segoe UI"/>
          <w:szCs w:val="24"/>
        </w:rPr>
        <w:t xml:space="preserve">while maintaining the minimum </w:t>
      </w:r>
      <w:r w:rsidR="0BC8B639" w:rsidRPr="17CECF10">
        <w:rPr>
          <w:rFonts w:ascii="Segoe UI" w:hAnsi="Segoe UI" w:cs="Segoe UI"/>
          <w:szCs w:val="24"/>
        </w:rPr>
        <w:t xml:space="preserve">for the entire </w:t>
      </w:r>
      <w:r w:rsidR="08C1AC07" w:rsidRPr="17CECF10">
        <w:rPr>
          <w:rFonts w:ascii="Segoe UI" w:hAnsi="Segoe UI" w:cs="Segoe UI"/>
          <w:szCs w:val="24"/>
        </w:rPr>
        <w:t>five</w:t>
      </w:r>
      <w:r w:rsidR="11B39998" w:rsidRPr="17CECF10">
        <w:rPr>
          <w:rFonts w:ascii="Segoe UI" w:hAnsi="Segoe UI" w:cs="Segoe UI"/>
          <w:szCs w:val="24"/>
        </w:rPr>
        <w:t>-</w:t>
      </w:r>
      <w:r w:rsidR="0BC8B639" w:rsidRPr="17CECF10">
        <w:rPr>
          <w:rFonts w:ascii="Segoe UI" w:hAnsi="Segoe UI" w:cs="Segoe UI"/>
          <w:szCs w:val="24"/>
        </w:rPr>
        <w:t>year outlook</w:t>
      </w:r>
      <w:r w:rsidR="65118A66" w:rsidRPr="17CECF10">
        <w:rPr>
          <w:rFonts w:ascii="Segoe UI" w:hAnsi="Segoe UI" w:cs="Segoe UI"/>
          <w:szCs w:val="24"/>
        </w:rPr>
        <w:t>.</w:t>
      </w:r>
    </w:p>
    <w:p w14:paraId="5A7CC2C2" w14:textId="3DA86267" w:rsidR="009A0CF2" w:rsidRPr="00CF6436" w:rsidRDefault="4F58249E" w:rsidP="17CECF10">
      <w:pPr>
        <w:spacing w:line="360" w:lineRule="auto"/>
        <w:ind w:firstLine="450"/>
        <w:rPr>
          <w:rFonts w:ascii="Segoe UI" w:hAnsi="Segoe UI" w:cs="Segoe UI"/>
          <w:color w:val="000000" w:themeColor="text1"/>
          <w:szCs w:val="24"/>
        </w:rPr>
      </w:pPr>
      <w:r w:rsidRPr="17CECF10">
        <w:rPr>
          <w:rFonts w:ascii="Segoe UI" w:hAnsi="Segoe UI" w:cs="Segoe UI"/>
          <w:szCs w:val="24"/>
        </w:rPr>
        <w:t>As shown in Table 4-</w:t>
      </w:r>
      <w:r w:rsidR="4A189F35" w:rsidRPr="17CECF10">
        <w:rPr>
          <w:rFonts w:ascii="Segoe UI" w:hAnsi="Segoe UI" w:cs="Segoe UI"/>
          <w:szCs w:val="24"/>
        </w:rPr>
        <w:t>10</w:t>
      </w:r>
      <w:r w:rsidRPr="17CECF10">
        <w:rPr>
          <w:rFonts w:ascii="Segoe UI" w:hAnsi="Segoe UI" w:cs="Segoe UI"/>
          <w:szCs w:val="24"/>
        </w:rPr>
        <w:t xml:space="preserve">, </w:t>
      </w:r>
      <w:r w:rsidR="45FD8159" w:rsidRPr="17CECF10">
        <w:rPr>
          <w:rFonts w:ascii="Segoe UI" w:hAnsi="Segoe UI" w:cs="Segoe UI"/>
          <w:szCs w:val="24"/>
        </w:rPr>
        <w:t>the Across</w:t>
      </w:r>
      <w:r w:rsidR="5BAD3A85" w:rsidRPr="17CECF10">
        <w:rPr>
          <w:rFonts w:ascii="Segoe UI" w:hAnsi="Segoe UI" w:cs="Segoe UI"/>
          <w:szCs w:val="24"/>
        </w:rPr>
        <w:t>-</w:t>
      </w:r>
      <w:r w:rsidR="45FD8159" w:rsidRPr="17CECF10">
        <w:rPr>
          <w:rFonts w:ascii="Segoe UI" w:hAnsi="Segoe UI" w:cs="Segoe UI"/>
          <w:szCs w:val="24"/>
        </w:rPr>
        <w:t>the</w:t>
      </w:r>
      <w:r w:rsidR="5BAD3A85" w:rsidRPr="17CECF10">
        <w:rPr>
          <w:rFonts w:ascii="Segoe UI" w:hAnsi="Segoe UI" w:cs="Segoe UI"/>
          <w:szCs w:val="24"/>
        </w:rPr>
        <w:t>-</w:t>
      </w:r>
      <w:r w:rsidR="45FD8159" w:rsidRPr="17CECF10">
        <w:rPr>
          <w:rFonts w:ascii="Segoe UI" w:hAnsi="Segoe UI" w:cs="Segoe UI"/>
          <w:szCs w:val="24"/>
        </w:rPr>
        <w:t xml:space="preserve">Board Adjustment </w:t>
      </w:r>
      <w:r w:rsidR="72E18B8D" w:rsidRPr="17CECF10">
        <w:rPr>
          <w:rFonts w:ascii="Segoe UI" w:hAnsi="Segoe UI" w:cs="Segoe UI"/>
          <w:szCs w:val="24"/>
        </w:rPr>
        <w:t>retains the same fee relationships and subsidization policies as the Baseline.</w:t>
      </w:r>
      <w:r w:rsidR="75DDF123" w:rsidRPr="17CECF10">
        <w:rPr>
          <w:rFonts w:ascii="Segoe UI" w:hAnsi="Segoe UI" w:cs="Segoe UI"/>
          <w:szCs w:val="24"/>
        </w:rPr>
        <w:t xml:space="preserve"> </w:t>
      </w:r>
      <w:r w:rsidR="7E3D3FE9" w:rsidRPr="17CECF10">
        <w:rPr>
          <w:rFonts w:ascii="Segoe UI" w:hAnsi="Segoe UI" w:cs="Segoe UI"/>
          <w:color w:val="000000" w:themeColor="text1"/>
          <w:szCs w:val="24"/>
        </w:rPr>
        <w:t xml:space="preserve">The </w:t>
      </w:r>
      <w:r w:rsidR="45FD8159" w:rsidRPr="17CECF10">
        <w:rPr>
          <w:rFonts w:ascii="Segoe UI" w:hAnsi="Segoe UI" w:cs="Segoe UI"/>
          <w:color w:val="000000" w:themeColor="text1"/>
          <w:szCs w:val="24"/>
        </w:rPr>
        <w:t>fees for</w:t>
      </w:r>
      <w:r w:rsidR="255C96F5" w:rsidRPr="17CECF10">
        <w:rPr>
          <w:rFonts w:ascii="Segoe UI" w:hAnsi="Segoe UI" w:cs="Segoe UI"/>
          <w:color w:val="000000" w:themeColor="text1"/>
          <w:szCs w:val="24"/>
        </w:rPr>
        <w:t xml:space="preserve"> </w:t>
      </w:r>
      <w:r w:rsidR="7E3D3FE9" w:rsidRPr="17CECF10">
        <w:rPr>
          <w:rFonts w:ascii="Segoe UI" w:hAnsi="Segoe UI" w:cs="Segoe UI"/>
          <w:color w:val="000000" w:themeColor="text1"/>
          <w:szCs w:val="24"/>
        </w:rPr>
        <w:t>securing and maintaining a patent through a typical prosecution sequence for its ful</w:t>
      </w:r>
      <w:r w:rsidR="3E9935E4" w:rsidRPr="17CECF10">
        <w:rPr>
          <w:rFonts w:ascii="Segoe UI" w:hAnsi="Segoe UI" w:cs="Segoe UI"/>
          <w:color w:val="000000" w:themeColor="text1"/>
          <w:szCs w:val="24"/>
        </w:rPr>
        <w:t>l 20-year term increase by $</w:t>
      </w:r>
      <w:r w:rsidR="13870C6B" w:rsidRPr="17CECF10">
        <w:rPr>
          <w:rFonts w:ascii="Segoe UI" w:hAnsi="Segoe UI" w:cs="Segoe UI"/>
          <w:color w:val="000000" w:themeColor="text1"/>
          <w:szCs w:val="24"/>
        </w:rPr>
        <w:t>2,235</w:t>
      </w:r>
      <w:r w:rsidR="3E9935E4" w:rsidRPr="17CECF10">
        <w:rPr>
          <w:rFonts w:ascii="Segoe UI" w:hAnsi="Segoe UI" w:cs="Segoe UI"/>
          <w:color w:val="000000" w:themeColor="text1"/>
          <w:szCs w:val="24"/>
        </w:rPr>
        <w:t xml:space="preserve"> (1</w:t>
      </w:r>
      <w:r w:rsidR="13870C6B" w:rsidRPr="17CECF10">
        <w:rPr>
          <w:rFonts w:ascii="Segoe UI" w:hAnsi="Segoe UI" w:cs="Segoe UI"/>
          <w:color w:val="000000" w:themeColor="text1"/>
          <w:szCs w:val="24"/>
        </w:rPr>
        <w:t>2</w:t>
      </w:r>
      <w:r w:rsidR="7E3D3FE9" w:rsidRPr="17CECF10">
        <w:rPr>
          <w:rFonts w:ascii="Segoe UI" w:hAnsi="Segoe UI" w:cs="Segoe UI"/>
          <w:color w:val="000000" w:themeColor="text1"/>
          <w:szCs w:val="24"/>
        </w:rPr>
        <w:t>.</w:t>
      </w:r>
      <w:r w:rsidR="13870C6B" w:rsidRPr="17CECF10">
        <w:rPr>
          <w:rFonts w:ascii="Segoe UI" w:hAnsi="Segoe UI" w:cs="Segoe UI"/>
          <w:color w:val="000000" w:themeColor="text1"/>
          <w:szCs w:val="24"/>
        </w:rPr>
        <w:t>5</w:t>
      </w:r>
      <w:r w:rsidR="185A863D" w:rsidRPr="17CECF10">
        <w:rPr>
          <w:rFonts w:ascii="Segoe UI" w:hAnsi="Segoe UI" w:cs="Segoe UI"/>
          <w:color w:val="000000" w:themeColor="text1"/>
          <w:szCs w:val="24"/>
        </w:rPr>
        <w:t>%</w:t>
      </w:r>
      <w:r w:rsidR="7E3D3FE9" w:rsidRPr="17CECF10">
        <w:rPr>
          <w:rFonts w:ascii="Segoe UI" w:hAnsi="Segoe UI" w:cs="Segoe UI"/>
          <w:color w:val="000000" w:themeColor="text1"/>
          <w:szCs w:val="24"/>
        </w:rPr>
        <w:t xml:space="preserve">) </w:t>
      </w:r>
      <w:r w:rsidR="38D92710" w:rsidRPr="17CECF10">
        <w:rPr>
          <w:rFonts w:ascii="Segoe UI" w:hAnsi="Segoe UI" w:cs="Segoe UI"/>
          <w:color w:val="000000" w:themeColor="text1"/>
          <w:szCs w:val="24"/>
        </w:rPr>
        <w:t>under this alternative.</w:t>
      </w:r>
      <w:r w:rsidR="75DDF123" w:rsidRPr="17CECF10">
        <w:rPr>
          <w:rFonts w:ascii="Segoe UI" w:hAnsi="Segoe UI" w:cs="Segoe UI"/>
          <w:color w:val="000000" w:themeColor="text1"/>
          <w:szCs w:val="24"/>
        </w:rPr>
        <w:t xml:space="preserve"> </w:t>
      </w:r>
      <w:r w:rsidR="7E3D3FE9" w:rsidRPr="17CECF10">
        <w:rPr>
          <w:rFonts w:ascii="Segoe UI" w:hAnsi="Segoe UI" w:cs="Segoe UI"/>
          <w:color w:val="000000" w:themeColor="text1"/>
          <w:szCs w:val="24"/>
        </w:rPr>
        <w:t xml:space="preserve">Assuming a </w:t>
      </w:r>
      <w:r w:rsidR="39DB6129" w:rsidRPr="17CECF10">
        <w:rPr>
          <w:rFonts w:ascii="Segoe UI" w:hAnsi="Segoe UI" w:cs="Segoe UI"/>
          <w:color w:val="000000" w:themeColor="text1"/>
          <w:szCs w:val="24"/>
        </w:rPr>
        <w:t>3</w:t>
      </w:r>
      <w:r w:rsidR="185A863D" w:rsidRPr="17CECF10">
        <w:rPr>
          <w:rFonts w:ascii="Segoe UI" w:hAnsi="Segoe UI" w:cs="Segoe UI"/>
          <w:color w:val="000000" w:themeColor="text1"/>
          <w:szCs w:val="24"/>
        </w:rPr>
        <w:t>%</w:t>
      </w:r>
      <w:r w:rsidR="7E3D3FE9" w:rsidRPr="17CECF10">
        <w:rPr>
          <w:rFonts w:ascii="Segoe UI" w:hAnsi="Segoe UI" w:cs="Segoe UI"/>
          <w:color w:val="000000" w:themeColor="text1"/>
          <w:szCs w:val="24"/>
        </w:rPr>
        <w:t xml:space="preserve"> discount rate, the net </w:t>
      </w:r>
      <w:r w:rsidRPr="17CECF10">
        <w:rPr>
          <w:rFonts w:ascii="Segoe UI" w:hAnsi="Segoe UI" w:cs="Segoe UI"/>
          <w:color w:val="000000" w:themeColor="text1"/>
          <w:szCs w:val="24"/>
        </w:rPr>
        <w:t xml:space="preserve">present </w:t>
      </w:r>
      <w:r w:rsidR="7E3D3FE9" w:rsidRPr="17CECF10">
        <w:rPr>
          <w:rFonts w:ascii="Segoe UI" w:hAnsi="Segoe UI" w:cs="Segoe UI"/>
          <w:color w:val="000000" w:themeColor="text1"/>
          <w:szCs w:val="24"/>
        </w:rPr>
        <w:t xml:space="preserve">value of investing in a patent </w:t>
      </w:r>
      <w:r w:rsidR="643CC11B" w:rsidRPr="17CECF10">
        <w:rPr>
          <w:rFonts w:ascii="Segoe UI" w:hAnsi="Segoe UI" w:cs="Segoe UI"/>
          <w:color w:val="000000" w:themeColor="text1"/>
          <w:szCs w:val="24"/>
        </w:rPr>
        <w:t xml:space="preserve">in the Across-the-Board Adjustment fee schedule would be </w:t>
      </w:r>
      <w:r w:rsidR="3E9935E4" w:rsidRPr="17CECF10">
        <w:rPr>
          <w:rFonts w:ascii="Segoe UI" w:hAnsi="Segoe UI" w:cs="Segoe UI"/>
          <w:color w:val="000000" w:themeColor="text1"/>
          <w:szCs w:val="24"/>
        </w:rPr>
        <w:t>$</w:t>
      </w:r>
      <w:r w:rsidR="4221051F" w:rsidRPr="17CECF10">
        <w:rPr>
          <w:rFonts w:ascii="Segoe UI" w:hAnsi="Segoe UI" w:cs="Segoe UI"/>
          <w:color w:val="000000" w:themeColor="text1"/>
          <w:szCs w:val="24"/>
        </w:rPr>
        <w:t>16</w:t>
      </w:r>
      <w:r w:rsidR="3E9935E4" w:rsidRPr="17CECF10">
        <w:rPr>
          <w:rFonts w:ascii="Segoe UI" w:hAnsi="Segoe UI" w:cs="Segoe UI"/>
          <w:color w:val="000000" w:themeColor="text1"/>
          <w:szCs w:val="24"/>
        </w:rPr>
        <w:t>,</w:t>
      </w:r>
      <w:r w:rsidR="4221051F" w:rsidRPr="17CECF10">
        <w:rPr>
          <w:rFonts w:ascii="Segoe UI" w:hAnsi="Segoe UI" w:cs="Segoe UI"/>
          <w:color w:val="000000" w:themeColor="text1"/>
          <w:szCs w:val="24"/>
        </w:rPr>
        <w:t>742</w:t>
      </w:r>
      <w:r w:rsidR="7E3D3FE9" w:rsidRPr="17CECF10">
        <w:rPr>
          <w:rFonts w:ascii="Segoe UI" w:hAnsi="Segoe UI" w:cs="Segoe UI"/>
          <w:color w:val="000000" w:themeColor="text1"/>
          <w:szCs w:val="24"/>
        </w:rPr>
        <w:t>, compared t</w:t>
      </w:r>
      <w:r w:rsidR="3E9935E4" w:rsidRPr="17CECF10">
        <w:rPr>
          <w:rFonts w:ascii="Segoe UI" w:hAnsi="Segoe UI" w:cs="Segoe UI"/>
          <w:color w:val="000000" w:themeColor="text1"/>
          <w:szCs w:val="24"/>
        </w:rPr>
        <w:t>o a net present value of $</w:t>
      </w:r>
      <w:r w:rsidR="4221051F" w:rsidRPr="17CECF10">
        <w:rPr>
          <w:rFonts w:ascii="Segoe UI" w:hAnsi="Segoe UI" w:cs="Segoe UI"/>
          <w:color w:val="000000" w:themeColor="text1"/>
          <w:szCs w:val="24"/>
        </w:rPr>
        <w:t>15</w:t>
      </w:r>
      <w:r w:rsidR="3E9935E4" w:rsidRPr="17CECF10">
        <w:rPr>
          <w:rFonts w:ascii="Segoe UI" w:hAnsi="Segoe UI" w:cs="Segoe UI"/>
          <w:color w:val="000000" w:themeColor="text1"/>
          <w:szCs w:val="24"/>
        </w:rPr>
        <w:t>,</w:t>
      </w:r>
      <w:r w:rsidR="4221051F" w:rsidRPr="17CECF10">
        <w:rPr>
          <w:rFonts w:ascii="Segoe UI" w:hAnsi="Segoe UI" w:cs="Segoe UI"/>
          <w:color w:val="000000" w:themeColor="text1"/>
          <w:szCs w:val="24"/>
        </w:rPr>
        <w:t xml:space="preserve">189 </w:t>
      </w:r>
      <w:r w:rsidR="7E3D3FE9" w:rsidRPr="17CECF10">
        <w:rPr>
          <w:rFonts w:ascii="Segoe UI" w:hAnsi="Segoe UI" w:cs="Segoe UI"/>
          <w:color w:val="000000" w:themeColor="text1"/>
          <w:szCs w:val="24"/>
        </w:rPr>
        <w:t>for the Baseline.</w:t>
      </w:r>
    </w:p>
    <w:p w14:paraId="7F488568" w14:textId="77777777" w:rsidR="00224D4D" w:rsidRPr="00726140" w:rsidRDefault="00224D4D" w:rsidP="17CECF10">
      <w:pPr>
        <w:spacing w:after="200" w:line="360" w:lineRule="auto"/>
        <w:rPr>
          <w:rFonts w:ascii="Segoe UI" w:hAnsi="Segoe UI" w:cs="Segoe UI"/>
          <w:b/>
          <w:bCs/>
          <w:szCs w:val="24"/>
        </w:rPr>
      </w:pPr>
    </w:p>
    <w:p w14:paraId="1C32ED6E" w14:textId="77777777" w:rsidR="00CC447F" w:rsidRPr="00CF6436" w:rsidRDefault="636DA58B" w:rsidP="17CECF10">
      <w:pPr>
        <w:keepNext/>
        <w:spacing w:line="360" w:lineRule="auto"/>
        <w:jc w:val="center"/>
        <w:rPr>
          <w:rFonts w:ascii="Segoe UI" w:hAnsi="Segoe UI" w:cs="Segoe UI"/>
          <w:b/>
          <w:bCs/>
          <w:szCs w:val="24"/>
        </w:rPr>
      </w:pPr>
      <w:r w:rsidRPr="17CECF10">
        <w:rPr>
          <w:rFonts w:ascii="Segoe UI" w:hAnsi="Segoe UI" w:cs="Segoe UI"/>
          <w:b/>
          <w:bCs/>
          <w:szCs w:val="24"/>
        </w:rPr>
        <w:t>Table 4-</w:t>
      </w:r>
      <w:r w:rsidR="4BAA0087" w:rsidRPr="17CECF10">
        <w:rPr>
          <w:rFonts w:ascii="Segoe UI" w:hAnsi="Segoe UI" w:cs="Segoe UI"/>
          <w:b/>
          <w:bCs/>
          <w:szCs w:val="24"/>
        </w:rPr>
        <w:t>10</w:t>
      </w:r>
    </w:p>
    <w:tbl>
      <w:tblPr>
        <w:tblStyle w:val="TableGrid"/>
        <w:tblW w:w="7200" w:type="dxa"/>
        <w:jc w:val="center"/>
        <w:tblLook w:val="04A0" w:firstRow="1" w:lastRow="0" w:firstColumn="1" w:lastColumn="0" w:noHBand="0" w:noVBand="1"/>
        <w:tblCaption w:val="Patent Fee Rates: Alternative 3"/>
        <w:tblDescription w:val="Presents baseline fee rates and the proposed fee rates for Alternative 3 for commonly pursued front-end and back-end fees."/>
      </w:tblPr>
      <w:tblGrid>
        <w:gridCol w:w="3505"/>
        <w:gridCol w:w="2520"/>
        <w:gridCol w:w="2610"/>
      </w:tblGrid>
      <w:tr w:rsidR="0063538D" w:rsidRPr="001207F5" w14:paraId="5BA6F05E" w14:textId="77777777" w:rsidTr="17CECF10">
        <w:trPr>
          <w:trHeight w:val="302"/>
          <w:tblHeader/>
          <w:jc w:val="center"/>
        </w:trPr>
        <w:tc>
          <w:tcPr>
            <w:tcW w:w="8635" w:type="dxa"/>
            <w:gridSpan w:val="3"/>
            <w:noWrap/>
            <w:hideMark/>
          </w:tcPr>
          <w:p w14:paraId="633DF9D9" w14:textId="7E0CD282" w:rsidR="0063538D" w:rsidRPr="001207F5" w:rsidRDefault="50A3DC65" w:rsidP="17CECF10">
            <w:pPr>
              <w:spacing w:line="240" w:lineRule="auto"/>
              <w:jc w:val="center"/>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Patent Fee Rates</w:t>
            </w:r>
          </w:p>
        </w:tc>
      </w:tr>
      <w:tr w:rsidR="0063538D" w:rsidRPr="001207F5" w14:paraId="68D38871" w14:textId="77777777" w:rsidTr="17CECF10">
        <w:trPr>
          <w:trHeight w:val="312"/>
          <w:tblHeader/>
          <w:jc w:val="center"/>
        </w:trPr>
        <w:tc>
          <w:tcPr>
            <w:tcW w:w="3505" w:type="dxa"/>
            <w:noWrap/>
            <w:hideMark/>
          </w:tcPr>
          <w:p w14:paraId="2E602DA0" w14:textId="77777777" w:rsidR="0063538D" w:rsidRPr="001207F5" w:rsidRDefault="78CAE4BA" w:rsidP="17CECF10">
            <w:pPr>
              <w:spacing w:line="240" w:lineRule="auto"/>
              <w:rPr>
                <w:rFonts w:ascii="Segoe UI" w:eastAsia="Times New Roman" w:hAnsi="Segoe UI" w:cs="Segoe UI"/>
                <w:color w:val="000000"/>
                <w:szCs w:val="24"/>
              </w:rPr>
            </w:pPr>
            <w:r w:rsidRPr="17CECF10">
              <w:rPr>
                <w:rFonts w:ascii="Segoe UI" w:eastAsia="Times New Roman" w:hAnsi="Segoe UI" w:cs="Segoe UI"/>
                <w:color w:val="000000" w:themeColor="text1"/>
                <w:sz w:val="22"/>
              </w:rPr>
              <w:t> </w:t>
            </w:r>
          </w:p>
        </w:tc>
        <w:tc>
          <w:tcPr>
            <w:tcW w:w="2520" w:type="dxa"/>
            <w:hideMark/>
          </w:tcPr>
          <w:p w14:paraId="3AC3270C" w14:textId="6370E32E" w:rsidR="0063538D" w:rsidRPr="001207F5" w:rsidRDefault="50A3DC65" w:rsidP="17CECF10">
            <w:pPr>
              <w:spacing w:line="240" w:lineRule="auto"/>
              <w:jc w:val="center"/>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 xml:space="preserve">Baseline </w:t>
            </w:r>
            <w:r w:rsidR="0C3C486F" w:rsidRPr="17CECF10">
              <w:rPr>
                <w:rFonts w:ascii="Segoe UI" w:eastAsia="Times New Roman" w:hAnsi="Segoe UI" w:cs="Segoe UI"/>
                <w:b/>
                <w:bCs/>
                <w:color w:val="000000" w:themeColor="text1"/>
                <w:sz w:val="22"/>
              </w:rPr>
              <w:t>f</w:t>
            </w:r>
            <w:r w:rsidRPr="17CECF10">
              <w:rPr>
                <w:rFonts w:ascii="Segoe UI" w:eastAsia="Times New Roman" w:hAnsi="Segoe UI" w:cs="Segoe UI"/>
                <w:b/>
                <w:bCs/>
                <w:color w:val="000000" w:themeColor="text1"/>
                <w:sz w:val="22"/>
              </w:rPr>
              <w:t xml:space="preserve">ee </w:t>
            </w:r>
            <w:r w:rsidR="45C281A8" w:rsidRPr="17CECF10">
              <w:rPr>
                <w:rFonts w:ascii="Segoe UI" w:eastAsia="Times New Roman" w:hAnsi="Segoe UI" w:cs="Segoe UI"/>
                <w:b/>
                <w:bCs/>
                <w:color w:val="000000" w:themeColor="text1"/>
                <w:sz w:val="22"/>
              </w:rPr>
              <w:t>r</w:t>
            </w:r>
            <w:r w:rsidRPr="17CECF10">
              <w:rPr>
                <w:rFonts w:ascii="Segoe UI" w:eastAsia="Times New Roman" w:hAnsi="Segoe UI" w:cs="Segoe UI"/>
                <w:b/>
                <w:bCs/>
                <w:color w:val="000000" w:themeColor="text1"/>
                <w:sz w:val="22"/>
              </w:rPr>
              <w:t>ate</w:t>
            </w:r>
          </w:p>
        </w:tc>
        <w:tc>
          <w:tcPr>
            <w:tcW w:w="2610" w:type="dxa"/>
            <w:hideMark/>
          </w:tcPr>
          <w:p w14:paraId="6BBDBB9E" w14:textId="2BB1E63E" w:rsidR="0063538D" w:rsidRPr="001207F5" w:rsidRDefault="34F17602" w:rsidP="17CECF10">
            <w:pPr>
              <w:spacing w:line="240" w:lineRule="auto"/>
              <w:jc w:val="center"/>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Alternative 3</w:t>
            </w:r>
            <w:r w:rsidR="50A3DC65" w:rsidRPr="17CECF10">
              <w:rPr>
                <w:rFonts w:ascii="Segoe UI" w:eastAsia="Times New Roman" w:hAnsi="Segoe UI" w:cs="Segoe UI"/>
                <w:b/>
                <w:bCs/>
                <w:color w:val="000000" w:themeColor="text1"/>
                <w:sz w:val="22"/>
              </w:rPr>
              <w:t xml:space="preserve"> </w:t>
            </w:r>
            <w:r w:rsidR="77F45646" w:rsidRPr="17CECF10">
              <w:rPr>
                <w:rFonts w:ascii="Segoe UI" w:eastAsia="Times New Roman" w:hAnsi="Segoe UI" w:cs="Segoe UI"/>
                <w:b/>
                <w:bCs/>
                <w:color w:val="000000" w:themeColor="text1"/>
                <w:sz w:val="22"/>
              </w:rPr>
              <w:t>f</w:t>
            </w:r>
            <w:r w:rsidR="50A3DC65" w:rsidRPr="17CECF10">
              <w:rPr>
                <w:rFonts w:ascii="Segoe UI" w:eastAsia="Times New Roman" w:hAnsi="Segoe UI" w:cs="Segoe UI"/>
                <w:b/>
                <w:bCs/>
                <w:color w:val="000000" w:themeColor="text1"/>
                <w:sz w:val="22"/>
              </w:rPr>
              <w:t xml:space="preserve">ee </w:t>
            </w:r>
            <w:r w:rsidR="0129029E" w:rsidRPr="17CECF10">
              <w:rPr>
                <w:rFonts w:ascii="Segoe UI" w:eastAsia="Times New Roman" w:hAnsi="Segoe UI" w:cs="Segoe UI"/>
                <w:b/>
                <w:bCs/>
                <w:color w:val="000000" w:themeColor="text1"/>
                <w:sz w:val="22"/>
              </w:rPr>
              <w:t>r</w:t>
            </w:r>
            <w:r w:rsidR="50A3DC65" w:rsidRPr="17CECF10">
              <w:rPr>
                <w:rFonts w:ascii="Segoe UI" w:eastAsia="Times New Roman" w:hAnsi="Segoe UI" w:cs="Segoe UI"/>
                <w:b/>
                <w:bCs/>
                <w:color w:val="000000" w:themeColor="text1"/>
                <w:sz w:val="22"/>
              </w:rPr>
              <w:t>ate</w:t>
            </w:r>
          </w:p>
        </w:tc>
      </w:tr>
      <w:tr w:rsidR="00AD50AC" w:rsidRPr="001207F5" w14:paraId="38EF7092" w14:textId="77777777" w:rsidTr="17CECF10">
        <w:trPr>
          <w:trHeight w:val="324"/>
          <w:jc w:val="center"/>
        </w:trPr>
        <w:tc>
          <w:tcPr>
            <w:tcW w:w="3505" w:type="dxa"/>
            <w:noWrap/>
            <w:vAlign w:val="center"/>
            <w:hideMark/>
          </w:tcPr>
          <w:p w14:paraId="1626548F" w14:textId="77777777" w:rsidR="00AD50AC" w:rsidRPr="001207F5" w:rsidRDefault="4F173E86" w:rsidP="17CECF10">
            <w:pPr>
              <w:spacing w:line="240" w:lineRule="auto"/>
              <w:rPr>
                <w:rFonts w:ascii="Segoe UI" w:eastAsia="Times New Roman" w:hAnsi="Segoe UI" w:cs="Segoe UI"/>
                <w:color w:val="000000"/>
                <w:szCs w:val="24"/>
              </w:rPr>
            </w:pPr>
            <w:r w:rsidRPr="17CECF10">
              <w:rPr>
                <w:rFonts w:ascii="Segoe UI" w:eastAsia="Times New Roman" w:hAnsi="Segoe UI" w:cs="Segoe UI"/>
                <w:color w:val="000000" w:themeColor="text1"/>
                <w:sz w:val="22"/>
              </w:rPr>
              <w:t>Filing</w:t>
            </w:r>
          </w:p>
        </w:tc>
        <w:tc>
          <w:tcPr>
            <w:tcW w:w="2520" w:type="dxa"/>
            <w:tcBorders>
              <w:top w:val="nil"/>
              <w:left w:val="nil"/>
              <w:bottom w:val="single" w:sz="8" w:space="0" w:color="auto"/>
              <w:right w:val="single" w:sz="8" w:space="0" w:color="auto"/>
            </w:tcBorders>
            <w:shd w:val="clear" w:color="auto" w:fill="auto"/>
            <w:noWrap/>
            <w:vAlign w:val="center"/>
            <w:hideMark/>
          </w:tcPr>
          <w:p w14:paraId="5786AEF1" w14:textId="1FDAEB0D" w:rsidR="00AD50AC" w:rsidRPr="001207F5" w:rsidRDefault="5F495B55" w:rsidP="17CECF10">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$320</w:t>
            </w:r>
          </w:p>
        </w:tc>
        <w:tc>
          <w:tcPr>
            <w:tcW w:w="2610" w:type="dxa"/>
            <w:tcBorders>
              <w:top w:val="nil"/>
              <w:left w:val="nil"/>
              <w:bottom w:val="single" w:sz="8" w:space="0" w:color="auto"/>
              <w:right w:val="single" w:sz="8" w:space="0" w:color="auto"/>
            </w:tcBorders>
            <w:shd w:val="clear" w:color="auto" w:fill="auto"/>
            <w:noWrap/>
            <w:vAlign w:val="center"/>
            <w:hideMark/>
          </w:tcPr>
          <w:p w14:paraId="64F227D8" w14:textId="2C782472" w:rsidR="00AD50AC" w:rsidRPr="000F20DC" w:rsidRDefault="5F495B55" w:rsidP="17CECF10">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$360</w:t>
            </w:r>
          </w:p>
        </w:tc>
      </w:tr>
      <w:tr w:rsidR="00AD50AC" w:rsidRPr="001207F5" w14:paraId="7B4E1381" w14:textId="77777777" w:rsidTr="17CECF10">
        <w:trPr>
          <w:trHeight w:val="324"/>
          <w:jc w:val="center"/>
        </w:trPr>
        <w:tc>
          <w:tcPr>
            <w:tcW w:w="3505" w:type="dxa"/>
            <w:noWrap/>
            <w:vAlign w:val="center"/>
            <w:hideMark/>
          </w:tcPr>
          <w:p w14:paraId="54BE687B" w14:textId="77777777" w:rsidR="00AD50AC" w:rsidRPr="001207F5" w:rsidRDefault="4F173E86" w:rsidP="17CECF10">
            <w:pPr>
              <w:spacing w:line="240" w:lineRule="auto"/>
              <w:rPr>
                <w:rFonts w:ascii="Segoe UI" w:eastAsia="Times New Roman" w:hAnsi="Segoe UI" w:cs="Segoe UI"/>
                <w:color w:val="000000"/>
                <w:szCs w:val="24"/>
              </w:rPr>
            </w:pPr>
            <w:r w:rsidRPr="17CECF10">
              <w:rPr>
                <w:rFonts w:ascii="Segoe UI" w:eastAsia="Times New Roman" w:hAnsi="Segoe UI" w:cs="Segoe UI"/>
                <w:color w:val="000000" w:themeColor="text1"/>
                <w:sz w:val="22"/>
              </w:rPr>
              <w:t>Search</w:t>
            </w:r>
          </w:p>
        </w:tc>
        <w:tc>
          <w:tcPr>
            <w:tcW w:w="2520" w:type="dxa"/>
            <w:tcBorders>
              <w:top w:val="nil"/>
              <w:left w:val="nil"/>
              <w:bottom w:val="single" w:sz="8" w:space="0" w:color="auto"/>
              <w:right w:val="single" w:sz="8" w:space="0" w:color="auto"/>
            </w:tcBorders>
            <w:shd w:val="clear" w:color="auto" w:fill="auto"/>
            <w:noWrap/>
            <w:vAlign w:val="center"/>
            <w:hideMark/>
          </w:tcPr>
          <w:p w14:paraId="27BB0F8D" w14:textId="181AF146" w:rsidR="00AD50AC" w:rsidRPr="001207F5" w:rsidRDefault="5F495B55" w:rsidP="17CECF10">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$700</w:t>
            </w:r>
          </w:p>
        </w:tc>
        <w:tc>
          <w:tcPr>
            <w:tcW w:w="2610" w:type="dxa"/>
            <w:tcBorders>
              <w:top w:val="nil"/>
              <w:left w:val="nil"/>
              <w:bottom w:val="single" w:sz="8" w:space="0" w:color="auto"/>
              <w:right w:val="single" w:sz="8" w:space="0" w:color="auto"/>
            </w:tcBorders>
            <w:shd w:val="clear" w:color="auto" w:fill="auto"/>
            <w:noWrap/>
            <w:vAlign w:val="center"/>
            <w:hideMark/>
          </w:tcPr>
          <w:p w14:paraId="4E505808" w14:textId="5CA6C552" w:rsidR="00AD50AC" w:rsidRPr="000F20DC" w:rsidRDefault="5F495B55" w:rsidP="17CECF10">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$790</w:t>
            </w:r>
          </w:p>
        </w:tc>
      </w:tr>
      <w:tr w:rsidR="00AD50AC" w:rsidRPr="001207F5" w14:paraId="165E0D16" w14:textId="77777777" w:rsidTr="17CECF10">
        <w:trPr>
          <w:trHeight w:val="324"/>
          <w:jc w:val="center"/>
        </w:trPr>
        <w:tc>
          <w:tcPr>
            <w:tcW w:w="3505" w:type="dxa"/>
            <w:noWrap/>
            <w:vAlign w:val="center"/>
            <w:hideMark/>
          </w:tcPr>
          <w:p w14:paraId="7D4F2B94" w14:textId="77777777" w:rsidR="00AD50AC" w:rsidRPr="001207F5" w:rsidRDefault="4F173E86" w:rsidP="17CECF10">
            <w:pPr>
              <w:spacing w:line="240" w:lineRule="auto"/>
              <w:rPr>
                <w:rFonts w:ascii="Segoe UI" w:eastAsia="Times New Roman" w:hAnsi="Segoe UI" w:cs="Segoe UI"/>
                <w:color w:val="000000"/>
                <w:szCs w:val="24"/>
              </w:rPr>
            </w:pPr>
            <w:r w:rsidRPr="17CECF10">
              <w:rPr>
                <w:rFonts w:ascii="Segoe UI" w:eastAsia="Times New Roman" w:hAnsi="Segoe UI" w:cs="Segoe UI"/>
                <w:color w:val="000000" w:themeColor="text1"/>
                <w:sz w:val="22"/>
              </w:rPr>
              <w:t>Examination</w:t>
            </w:r>
          </w:p>
        </w:tc>
        <w:tc>
          <w:tcPr>
            <w:tcW w:w="2520" w:type="dxa"/>
            <w:tcBorders>
              <w:top w:val="nil"/>
              <w:left w:val="nil"/>
              <w:bottom w:val="single" w:sz="8" w:space="0" w:color="auto"/>
              <w:right w:val="single" w:sz="8" w:space="0" w:color="auto"/>
            </w:tcBorders>
            <w:shd w:val="clear" w:color="auto" w:fill="auto"/>
            <w:noWrap/>
            <w:vAlign w:val="center"/>
            <w:hideMark/>
          </w:tcPr>
          <w:p w14:paraId="6147C65F" w14:textId="04ECD227" w:rsidR="00AD50AC" w:rsidRPr="001207F5" w:rsidRDefault="5F495B55" w:rsidP="17CECF10">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$800</w:t>
            </w:r>
          </w:p>
        </w:tc>
        <w:tc>
          <w:tcPr>
            <w:tcW w:w="2610" w:type="dxa"/>
            <w:tcBorders>
              <w:top w:val="nil"/>
              <w:left w:val="nil"/>
              <w:bottom w:val="single" w:sz="8" w:space="0" w:color="auto"/>
              <w:right w:val="single" w:sz="8" w:space="0" w:color="auto"/>
            </w:tcBorders>
            <w:shd w:val="clear" w:color="auto" w:fill="auto"/>
            <w:noWrap/>
            <w:vAlign w:val="center"/>
            <w:hideMark/>
          </w:tcPr>
          <w:p w14:paraId="19922339" w14:textId="0C46E336" w:rsidR="00AD50AC" w:rsidRPr="000F20DC" w:rsidRDefault="5F495B55" w:rsidP="17CECF10">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$900</w:t>
            </w:r>
          </w:p>
        </w:tc>
      </w:tr>
      <w:tr w:rsidR="00AD50AC" w:rsidRPr="001207F5" w14:paraId="187BC1C8" w14:textId="77777777" w:rsidTr="17CECF10">
        <w:trPr>
          <w:trHeight w:val="324"/>
          <w:jc w:val="center"/>
        </w:trPr>
        <w:tc>
          <w:tcPr>
            <w:tcW w:w="3505" w:type="dxa"/>
            <w:noWrap/>
            <w:vAlign w:val="center"/>
            <w:hideMark/>
          </w:tcPr>
          <w:p w14:paraId="3128D47E" w14:textId="77777777" w:rsidR="00AD50AC" w:rsidRPr="001207F5" w:rsidRDefault="4F173E86" w:rsidP="17CECF10">
            <w:pPr>
              <w:spacing w:line="240" w:lineRule="auto"/>
              <w:rPr>
                <w:rFonts w:ascii="Segoe UI" w:eastAsia="Times New Roman" w:hAnsi="Segoe UI" w:cs="Segoe UI"/>
                <w:color w:val="000000"/>
                <w:szCs w:val="24"/>
              </w:rPr>
            </w:pPr>
            <w:r w:rsidRPr="17CECF10">
              <w:rPr>
                <w:rFonts w:ascii="Segoe UI" w:eastAsia="Times New Roman" w:hAnsi="Segoe UI" w:cs="Segoe UI"/>
                <w:color w:val="000000" w:themeColor="text1"/>
                <w:sz w:val="22"/>
              </w:rPr>
              <w:t>First RCE</w:t>
            </w:r>
          </w:p>
        </w:tc>
        <w:tc>
          <w:tcPr>
            <w:tcW w:w="2520" w:type="dxa"/>
            <w:tcBorders>
              <w:top w:val="nil"/>
              <w:left w:val="nil"/>
              <w:bottom w:val="single" w:sz="8" w:space="0" w:color="auto"/>
              <w:right w:val="single" w:sz="8" w:space="0" w:color="auto"/>
            </w:tcBorders>
            <w:shd w:val="clear" w:color="auto" w:fill="auto"/>
            <w:noWrap/>
            <w:vAlign w:val="center"/>
            <w:hideMark/>
          </w:tcPr>
          <w:p w14:paraId="066CB4E7" w14:textId="16873535" w:rsidR="00AD50AC" w:rsidRPr="001207F5" w:rsidRDefault="5F495B55" w:rsidP="17CECF10">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$1,360</w:t>
            </w:r>
          </w:p>
        </w:tc>
        <w:tc>
          <w:tcPr>
            <w:tcW w:w="2610" w:type="dxa"/>
            <w:tcBorders>
              <w:top w:val="nil"/>
              <w:left w:val="nil"/>
              <w:bottom w:val="single" w:sz="8" w:space="0" w:color="auto"/>
              <w:right w:val="single" w:sz="8" w:space="0" w:color="auto"/>
            </w:tcBorders>
            <w:shd w:val="clear" w:color="auto" w:fill="auto"/>
            <w:noWrap/>
            <w:vAlign w:val="center"/>
            <w:hideMark/>
          </w:tcPr>
          <w:p w14:paraId="1364AE34" w14:textId="5C10FAA2" w:rsidR="00AD50AC" w:rsidRPr="000F20DC" w:rsidRDefault="5F495B55" w:rsidP="17CECF10">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$1,530</w:t>
            </w:r>
          </w:p>
        </w:tc>
      </w:tr>
      <w:tr w:rsidR="00AD50AC" w:rsidRPr="001207F5" w14:paraId="101AF87E" w14:textId="77777777" w:rsidTr="00726140">
        <w:trPr>
          <w:trHeight w:val="324"/>
          <w:jc w:val="center"/>
        </w:trPr>
        <w:tc>
          <w:tcPr>
            <w:tcW w:w="3505" w:type="dxa"/>
            <w:shd w:val="clear" w:color="auto" w:fill="D9D9D6"/>
            <w:noWrap/>
            <w:hideMark/>
          </w:tcPr>
          <w:p w14:paraId="5EC5D4AB" w14:textId="71AD339F" w:rsidR="00AD50AC" w:rsidRPr="001207F5" w:rsidRDefault="5F495B55" w:rsidP="17CECF10">
            <w:pPr>
              <w:spacing w:line="240" w:lineRule="auto"/>
              <w:jc w:val="right"/>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Front-</w:t>
            </w:r>
            <w:r w:rsidR="4485C309" w:rsidRPr="17CECF10">
              <w:rPr>
                <w:rFonts w:ascii="Segoe UI" w:eastAsia="Times New Roman" w:hAnsi="Segoe UI" w:cs="Segoe UI"/>
                <w:b/>
                <w:bCs/>
                <w:color w:val="000000" w:themeColor="text1"/>
                <w:sz w:val="22"/>
              </w:rPr>
              <w:t>e</w:t>
            </w:r>
            <w:r w:rsidRPr="17CECF10">
              <w:rPr>
                <w:rFonts w:ascii="Segoe UI" w:eastAsia="Times New Roman" w:hAnsi="Segoe UI" w:cs="Segoe UI"/>
                <w:b/>
                <w:bCs/>
                <w:color w:val="000000" w:themeColor="text1"/>
                <w:sz w:val="22"/>
              </w:rPr>
              <w:t xml:space="preserve">nd </w:t>
            </w:r>
            <w:r w:rsidR="2CB90BA2" w:rsidRPr="17CECF10">
              <w:rPr>
                <w:rFonts w:ascii="Segoe UI" w:eastAsia="Times New Roman" w:hAnsi="Segoe UI" w:cs="Segoe UI"/>
                <w:b/>
                <w:bCs/>
                <w:color w:val="000000" w:themeColor="text1"/>
                <w:sz w:val="22"/>
              </w:rPr>
              <w:t>f</w:t>
            </w:r>
            <w:r w:rsidRPr="17CECF10">
              <w:rPr>
                <w:rFonts w:ascii="Segoe UI" w:eastAsia="Times New Roman" w:hAnsi="Segoe UI" w:cs="Segoe UI"/>
                <w:b/>
                <w:bCs/>
                <w:color w:val="000000" w:themeColor="text1"/>
                <w:sz w:val="22"/>
              </w:rPr>
              <w:t>ees</w:t>
            </w:r>
          </w:p>
        </w:tc>
        <w:tc>
          <w:tcPr>
            <w:tcW w:w="2520" w:type="dxa"/>
            <w:tcBorders>
              <w:top w:val="nil"/>
              <w:left w:val="nil"/>
              <w:bottom w:val="single" w:sz="8" w:space="0" w:color="auto"/>
              <w:right w:val="single" w:sz="8" w:space="0" w:color="auto"/>
            </w:tcBorders>
            <w:shd w:val="clear" w:color="auto" w:fill="D9D9D6"/>
            <w:noWrap/>
            <w:vAlign w:val="center"/>
            <w:hideMark/>
          </w:tcPr>
          <w:p w14:paraId="667C9B1B" w14:textId="126C0487" w:rsidR="00AD50AC" w:rsidRPr="001207F5" w:rsidRDefault="5F495B55" w:rsidP="17CECF10">
            <w:pPr>
              <w:spacing w:line="240" w:lineRule="auto"/>
              <w:jc w:val="right"/>
              <w:rPr>
                <w:rFonts w:ascii="Segoe UI" w:eastAsia="Times New Roman" w:hAnsi="Segoe UI" w:cs="Segoe UI"/>
                <w:b/>
                <w:bCs/>
                <w:color w:val="000000"/>
                <w:szCs w:val="24"/>
              </w:rPr>
            </w:pPr>
            <w:r w:rsidRPr="17CECF10">
              <w:rPr>
                <w:rFonts w:ascii="Segoe UI" w:hAnsi="Segoe UI" w:cs="Segoe UI"/>
                <w:b/>
                <w:bCs/>
                <w:color w:val="000000" w:themeColor="text1"/>
                <w:sz w:val="22"/>
              </w:rPr>
              <w:t>$3,180</w:t>
            </w:r>
          </w:p>
        </w:tc>
        <w:tc>
          <w:tcPr>
            <w:tcW w:w="2610" w:type="dxa"/>
            <w:tcBorders>
              <w:top w:val="nil"/>
              <w:left w:val="nil"/>
              <w:bottom w:val="single" w:sz="8" w:space="0" w:color="auto"/>
              <w:right w:val="single" w:sz="8" w:space="0" w:color="auto"/>
            </w:tcBorders>
            <w:shd w:val="clear" w:color="auto" w:fill="D9D9D6"/>
            <w:noWrap/>
            <w:vAlign w:val="center"/>
            <w:hideMark/>
          </w:tcPr>
          <w:p w14:paraId="555745BB" w14:textId="54F66331" w:rsidR="00AD50AC" w:rsidRPr="000F20DC" w:rsidRDefault="5F495B55" w:rsidP="17CECF10">
            <w:pPr>
              <w:spacing w:line="240" w:lineRule="auto"/>
              <w:jc w:val="right"/>
              <w:rPr>
                <w:rFonts w:ascii="Segoe UI" w:eastAsia="Times New Roman" w:hAnsi="Segoe UI" w:cs="Segoe UI"/>
                <w:b/>
                <w:bCs/>
                <w:color w:val="000000"/>
                <w:szCs w:val="24"/>
              </w:rPr>
            </w:pPr>
            <w:r w:rsidRPr="17CECF10">
              <w:rPr>
                <w:rFonts w:ascii="Segoe UI" w:hAnsi="Segoe UI" w:cs="Segoe UI"/>
                <w:b/>
                <w:bCs/>
                <w:color w:val="000000" w:themeColor="text1"/>
                <w:sz w:val="22"/>
              </w:rPr>
              <w:t>$3,580</w:t>
            </w:r>
          </w:p>
        </w:tc>
      </w:tr>
      <w:tr w:rsidR="00AD50AC" w:rsidRPr="001207F5" w14:paraId="53A9315A" w14:textId="77777777" w:rsidTr="17CECF10">
        <w:trPr>
          <w:trHeight w:val="324"/>
          <w:jc w:val="center"/>
        </w:trPr>
        <w:tc>
          <w:tcPr>
            <w:tcW w:w="3505" w:type="dxa"/>
            <w:noWrap/>
            <w:vAlign w:val="center"/>
            <w:hideMark/>
          </w:tcPr>
          <w:p w14:paraId="75BBC047" w14:textId="77777777" w:rsidR="00AD50AC" w:rsidRPr="001207F5" w:rsidRDefault="4F173E86" w:rsidP="17CECF10">
            <w:pPr>
              <w:spacing w:line="240" w:lineRule="auto"/>
              <w:rPr>
                <w:rFonts w:ascii="Segoe UI" w:eastAsia="Times New Roman" w:hAnsi="Segoe UI" w:cs="Segoe UI"/>
                <w:color w:val="000000"/>
                <w:szCs w:val="24"/>
              </w:rPr>
            </w:pPr>
            <w:r w:rsidRPr="17CECF10">
              <w:rPr>
                <w:rFonts w:ascii="Segoe UI" w:eastAsia="Times New Roman" w:hAnsi="Segoe UI" w:cs="Segoe UI"/>
                <w:color w:val="000000" w:themeColor="text1"/>
                <w:sz w:val="22"/>
              </w:rPr>
              <w:t>Issue</w:t>
            </w:r>
          </w:p>
        </w:tc>
        <w:tc>
          <w:tcPr>
            <w:tcW w:w="2520" w:type="dxa"/>
            <w:tcBorders>
              <w:top w:val="nil"/>
              <w:left w:val="nil"/>
              <w:bottom w:val="single" w:sz="8" w:space="0" w:color="auto"/>
              <w:right w:val="single" w:sz="8" w:space="0" w:color="auto"/>
            </w:tcBorders>
            <w:shd w:val="clear" w:color="auto" w:fill="auto"/>
            <w:noWrap/>
            <w:vAlign w:val="center"/>
            <w:hideMark/>
          </w:tcPr>
          <w:p w14:paraId="3ECC6113" w14:textId="0B4838D4" w:rsidR="00AD50AC" w:rsidRPr="001207F5" w:rsidRDefault="5F495B55" w:rsidP="17CECF10">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$1,200</w:t>
            </w:r>
          </w:p>
        </w:tc>
        <w:tc>
          <w:tcPr>
            <w:tcW w:w="2610" w:type="dxa"/>
            <w:tcBorders>
              <w:top w:val="nil"/>
              <w:left w:val="nil"/>
              <w:bottom w:val="single" w:sz="8" w:space="0" w:color="auto"/>
              <w:right w:val="single" w:sz="8" w:space="0" w:color="auto"/>
            </w:tcBorders>
            <w:shd w:val="clear" w:color="auto" w:fill="auto"/>
            <w:noWrap/>
            <w:vAlign w:val="center"/>
            <w:hideMark/>
          </w:tcPr>
          <w:p w14:paraId="41B4E45A" w14:textId="6CB8D150" w:rsidR="00AD50AC" w:rsidRPr="000F20DC" w:rsidRDefault="5F495B55" w:rsidP="17CECF10">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$1,350</w:t>
            </w:r>
          </w:p>
        </w:tc>
      </w:tr>
      <w:tr w:rsidR="00AD50AC" w:rsidRPr="001207F5" w14:paraId="4659B620" w14:textId="77777777" w:rsidTr="17CECF10">
        <w:trPr>
          <w:trHeight w:val="324"/>
          <w:jc w:val="center"/>
        </w:trPr>
        <w:tc>
          <w:tcPr>
            <w:tcW w:w="3505" w:type="dxa"/>
            <w:noWrap/>
            <w:vAlign w:val="center"/>
            <w:hideMark/>
          </w:tcPr>
          <w:p w14:paraId="1CD72FAD" w14:textId="4ABD4445" w:rsidR="00AD50AC" w:rsidRPr="001207F5" w:rsidRDefault="5F495B55" w:rsidP="17CECF10">
            <w:pPr>
              <w:spacing w:line="240" w:lineRule="auto"/>
              <w:rPr>
                <w:rFonts w:ascii="Segoe UI" w:eastAsia="Times New Roman" w:hAnsi="Segoe UI" w:cs="Segoe UI"/>
                <w:color w:val="000000"/>
                <w:szCs w:val="24"/>
              </w:rPr>
            </w:pPr>
            <w:r w:rsidRPr="17CECF10">
              <w:rPr>
                <w:rFonts w:ascii="Segoe UI" w:eastAsia="Times New Roman" w:hAnsi="Segoe UI" w:cs="Segoe UI"/>
                <w:color w:val="000000" w:themeColor="text1"/>
                <w:sz w:val="22"/>
              </w:rPr>
              <w:t xml:space="preserve">1st </w:t>
            </w:r>
            <w:r w:rsidR="30E2EF35" w:rsidRPr="17CECF10">
              <w:rPr>
                <w:rFonts w:ascii="Segoe UI" w:eastAsia="Times New Roman" w:hAnsi="Segoe UI" w:cs="Segoe UI"/>
                <w:color w:val="000000" w:themeColor="text1"/>
                <w:sz w:val="22"/>
              </w:rPr>
              <w:t>s</w:t>
            </w:r>
            <w:r w:rsidRPr="17CECF10">
              <w:rPr>
                <w:rFonts w:ascii="Segoe UI" w:eastAsia="Times New Roman" w:hAnsi="Segoe UI" w:cs="Segoe UI"/>
                <w:color w:val="000000" w:themeColor="text1"/>
                <w:sz w:val="22"/>
              </w:rPr>
              <w:t xml:space="preserve">tage </w:t>
            </w:r>
            <w:r w:rsidR="2E8A3F81" w:rsidRPr="17CECF10">
              <w:rPr>
                <w:rFonts w:ascii="Segoe UI" w:eastAsia="Times New Roman" w:hAnsi="Segoe UI" w:cs="Segoe UI"/>
                <w:color w:val="000000" w:themeColor="text1"/>
                <w:sz w:val="22"/>
              </w:rPr>
              <w:t>m</w:t>
            </w:r>
            <w:r w:rsidRPr="17CECF10">
              <w:rPr>
                <w:rFonts w:ascii="Segoe UI" w:eastAsia="Times New Roman" w:hAnsi="Segoe UI" w:cs="Segoe UI"/>
                <w:color w:val="000000" w:themeColor="text1"/>
                <w:sz w:val="22"/>
              </w:rPr>
              <w:t>aintenance</w:t>
            </w:r>
          </w:p>
        </w:tc>
        <w:tc>
          <w:tcPr>
            <w:tcW w:w="2520" w:type="dxa"/>
            <w:tcBorders>
              <w:top w:val="nil"/>
              <w:left w:val="nil"/>
              <w:bottom w:val="single" w:sz="8" w:space="0" w:color="auto"/>
              <w:right w:val="single" w:sz="8" w:space="0" w:color="auto"/>
            </w:tcBorders>
            <w:shd w:val="clear" w:color="auto" w:fill="auto"/>
            <w:noWrap/>
            <w:vAlign w:val="center"/>
            <w:hideMark/>
          </w:tcPr>
          <w:p w14:paraId="064CBB7F" w14:textId="0942E207" w:rsidR="00AD50AC" w:rsidRPr="001207F5" w:rsidRDefault="5F495B55" w:rsidP="17CECF10">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$2,000</w:t>
            </w:r>
          </w:p>
        </w:tc>
        <w:tc>
          <w:tcPr>
            <w:tcW w:w="2610" w:type="dxa"/>
            <w:tcBorders>
              <w:top w:val="nil"/>
              <w:left w:val="nil"/>
              <w:bottom w:val="single" w:sz="8" w:space="0" w:color="auto"/>
              <w:right w:val="single" w:sz="8" w:space="0" w:color="auto"/>
            </w:tcBorders>
            <w:shd w:val="clear" w:color="auto" w:fill="auto"/>
            <w:noWrap/>
            <w:vAlign w:val="center"/>
            <w:hideMark/>
          </w:tcPr>
          <w:p w14:paraId="48C19ABA" w14:textId="65E5D2AC" w:rsidR="00AD50AC" w:rsidRPr="000F20DC" w:rsidRDefault="5F495B55" w:rsidP="17CECF10">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$2,250</w:t>
            </w:r>
          </w:p>
        </w:tc>
      </w:tr>
      <w:tr w:rsidR="00AD50AC" w:rsidRPr="001207F5" w14:paraId="50F8CC30" w14:textId="77777777" w:rsidTr="17CECF10">
        <w:trPr>
          <w:trHeight w:val="324"/>
          <w:jc w:val="center"/>
        </w:trPr>
        <w:tc>
          <w:tcPr>
            <w:tcW w:w="3505" w:type="dxa"/>
            <w:noWrap/>
            <w:vAlign w:val="center"/>
            <w:hideMark/>
          </w:tcPr>
          <w:p w14:paraId="7AACBA52" w14:textId="17FC8558" w:rsidR="00AD50AC" w:rsidRPr="001207F5" w:rsidRDefault="5F495B55" w:rsidP="17CECF10">
            <w:pPr>
              <w:spacing w:line="240" w:lineRule="auto"/>
              <w:rPr>
                <w:rFonts w:ascii="Segoe UI" w:eastAsia="Times New Roman" w:hAnsi="Segoe UI" w:cs="Segoe UI"/>
                <w:color w:val="000000"/>
                <w:szCs w:val="24"/>
              </w:rPr>
            </w:pPr>
            <w:r w:rsidRPr="17CECF10">
              <w:rPr>
                <w:rFonts w:ascii="Segoe UI" w:eastAsia="Times New Roman" w:hAnsi="Segoe UI" w:cs="Segoe UI"/>
                <w:color w:val="000000" w:themeColor="text1"/>
                <w:sz w:val="22"/>
              </w:rPr>
              <w:t xml:space="preserve">2nd </w:t>
            </w:r>
            <w:r w:rsidR="6F6AD714" w:rsidRPr="17CECF10">
              <w:rPr>
                <w:rFonts w:ascii="Segoe UI" w:eastAsia="Times New Roman" w:hAnsi="Segoe UI" w:cs="Segoe UI"/>
                <w:color w:val="000000" w:themeColor="text1"/>
                <w:sz w:val="22"/>
              </w:rPr>
              <w:t>s</w:t>
            </w:r>
            <w:r w:rsidRPr="17CECF10">
              <w:rPr>
                <w:rFonts w:ascii="Segoe UI" w:eastAsia="Times New Roman" w:hAnsi="Segoe UI" w:cs="Segoe UI"/>
                <w:color w:val="000000" w:themeColor="text1"/>
                <w:sz w:val="22"/>
              </w:rPr>
              <w:t xml:space="preserve">tage </w:t>
            </w:r>
            <w:r w:rsidR="3CBF0188" w:rsidRPr="17CECF10">
              <w:rPr>
                <w:rFonts w:ascii="Segoe UI" w:eastAsia="Times New Roman" w:hAnsi="Segoe UI" w:cs="Segoe UI"/>
                <w:color w:val="000000" w:themeColor="text1"/>
                <w:sz w:val="22"/>
              </w:rPr>
              <w:t>m</w:t>
            </w:r>
            <w:r w:rsidRPr="17CECF10">
              <w:rPr>
                <w:rFonts w:ascii="Segoe UI" w:eastAsia="Times New Roman" w:hAnsi="Segoe UI" w:cs="Segoe UI"/>
                <w:color w:val="000000" w:themeColor="text1"/>
                <w:sz w:val="22"/>
              </w:rPr>
              <w:t>aintenance</w:t>
            </w:r>
          </w:p>
        </w:tc>
        <w:tc>
          <w:tcPr>
            <w:tcW w:w="2520" w:type="dxa"/>
            <w:tcBorders>
              <w:top w:val="nil"/>
              <w:left w:val="nil"/>
              <w:bottom w:val="single" w:sz="8" w:space="0" w:color="auto"/>
              <w:right w:val="single" w:sz="8" w:space="0" w:color="auto"/>
            </w:tcBorders>
            <w:shd w:val="clear" w:color="auto" w:fill="auto"/>
            <w:noWrap/>
            <w:vAlign w:val="center"/>
            <w:hideMark/>
          </w:tcPr>
          <w:p w14:paraId="4F74CDAE" w14:textId="3CD0102A" w:rsidR="00AD50AC" w:rsidRPr="001207F5" w:rsidRDefault="5F495B55" w:rsidP="17CECF10">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$3,760</w:t>
            </w:r>
          </w:p>
        </w:tc>
        <w:tc>
          <w:tcPr>
            <w:tcW w:w="2610" w:type="dxa"/>
            <w:tcBorders>
              <w:top w:val="nil"/>
              <w:left w:val="nil"/>
              <w:bottom w:val="single" w:sz="8" w:space="0" w:color="auto"/>
              <w:right w:val="single" w:sz="8" w:space="0" w:color="auto"/>
            </w:tcBorders>
            <w:shd w:val="clear" w:color="auto" w:fill="auto"/>
            <w:noWrap/>
            <w:vAlign w:val="center"/>
            <w:hideMark/>
          </w:tcPr>
          <w:p w14:paraId="4F0369A5" w14:textId="1508E284" w:rsidR="00AD50AC" w:rsidRPr="000F20DC" w:rsidRDefault="5F495B55" w:rsidP="17CECF10">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$4,230</w:t>
            </w:r>
          </w:p>
        </w:tc>
      </w:tr>
      <w:tr w:rsidR="00AD50AC" w:rsidRPr="001207F5" w14:paraId="3F75868D" w14:textId="77777777" w:rsidTr="17CECF10">
        <w:trPr>
          <w:trHeight w:val="324"/>
          <w:jc w:val="center"/>
        </w:trPr>
        <w:tc>
          <w:tcPr>
            <w:tcW w:w="3505" w:type="dxa"/>
            <w:noWrap/>
            <w:vAlign w:val="center"/>
            <w:hideMark/>
          </w:tcPr>
          <w:p w14:paraId="73BE20D4" w14:textId="3B251D5D" w:rsidR="00AD50AC" w:rsidRPr="001207F5" w:rsidRDefault="5F495B55" w:rsidP="17CECF10">
            <w:pPr>
              <w:spacing w:line="240" w:lineRule="auto"/>
              <w:rPr>
                <w:rFonts w:ascii="Segoe UI" w:eastAsia="Times New Roman" w:hAnsi="Segoe UI" w:cs="Segoe UI"/>
                <w:color w:val="000000"/>
                <w:szCs w:val="24"/>
              </w:rPr>
            </w:pPr>
            <w:r w:rsidRPr="17CECF10">
              <w:rPr>
                <w:rFonts w:ascii="Segoe UI" w:eastAsia="Times New Roman" w:hAnsi="Segoe UI" w:cs="Segoe UI"/>
                <w:color w:val="000000" w:themeColor="text1"/>
                <w:sz w:val="22"/>
              </w:rPr>
              <w:t xml:space="preserve">3rd </w:t>
            </w:r>
            <w:r w:rsidR="6D7E5469" w:rsidRPr="17CECF10">
              <w:rPr>
                <w:rFonts w:ascii="Segoe UI" w:eastAsia="Times New Roman" w:hAnsi="Segoe UI" w:cs="Segoe UI"/>
                <w:color w:val="000000" w:themeColor="text1"/>
                <w:sz w:val="22"/>
              </w:rPr>
              <w:t>s</w:t>
            </w:r>
            <w:r w:rsidRPr="17CECF10">
              <w:rPr>
                <w:rFonts w:ascii="Segoe UI" w:eastAsia="Times New Roman" w:hAnsi="Segoe UI" w:cs="Segoe UI"/>
                <w:color w:val="000000" w:themeColor="text1"/>
                <w:sz w:val="22"/>
              </w:rPr>
              <w:t xml:space="preserve">tage </w:t>
            </w:r>
            <w:r w:rsidR="766476DF" w:rsidRPr="17CECF10">
              <w:rPr>
                <w:rFonts w:ascii="Segoe UI" w:eastAsia="Times New Roman" w:hAnsi="Segoe UI" w:cs="Segoe UI"/>
                <w:color w:val="000000" w:themeColor="text1"/>
                <w:sz w:val="22"/>
              </w:rPr>
              <w:t>m</w:t>
            </w:r>
            <w:r w:rsidRPr="17CECF10">
              <w:rPr>
                <w:rFonts w:ascii="Segoe UI" w:eastAsia="Times New Roman" w:hAnsi="Segoe UI" w:cs="Segoe UI"/>
                <w:color w:val="000000" w:themeColor="text1"/>
                <w:sz w:val="22"/>
              </w:rPr>
              <w:t>aintenance</w:t>
            </w:r>
          </w:p>
        </w:tc>
        <w:tc>
          <w:tcPr>
            <w:tcW w:w="2520" w:type="dxa"/>
            <w:tcBorders>
              <w:top w:val="nil"/>
              <w:left w:val="nil"/>
              <w:bottom w:val="single" w:sz="8" w:space="0" w:color="auto"/>
              <w:right w:val="single" w:sz="8" w:space="0" w:color="auto"/>
            </w:tcBorders>
            <w:shd w:val="clear" w:color="auto" w:fill="auto"/>
            <w:noWrap/>
            <w:vAlign w:val="center"/>
            <w:hideMark/>
          </w:tcPr>
          <w:p w14:paraId="5FFE6B96" w14:textId="10E6B1D4" w:rsidR="00AD50AC" w:rsidRPr="001207F5" w:rsidRDefault="5F495B55" w:rsidP="17CECF10">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$7,700</w:t>
            </w:r>
          </w:p>
        </w:tc>
        <w:tc>
          <w:tcPr>
            <w:tcW w:w="2610" w:type="dxa"/>
            <w:tcBorders>
              <w:top w:val="nil"/>
              <w:left w:val="nil"/>
              <w:bottom w:val="single" w:sz="8" w:space="0" w:color="auto"/>
              <w:right w:val="single" w:sz="8" w:space="0" w:color="auto"/>
            </w:tcBorders>
            <w:shd w:val="clear" w:color="auto" w:fill="auto"/>
            <w:noWrap/>
            <w:vAlign w:val="center"/>
            <w:hideMark/>
          </w:tcPr>
          <w:p w14:paraId="3E723C06" w14:textId="7D40DD9D" w:rsidR="00AD50AC" w:rsidRPr="000F20DC" w:rsidRDefault="5F495B55" w:rsidP="17CECF10">
            <w:pPr>
              <w:spacing w:line="240" w:lineRule="auto"/>
              <w:jc w:val="right"/>
              <w:rPr>
                <w:rFonts w:ascii="Segoe UI" w:eastAsia="Times New Roman" w:hAnsi="Segoe UI" w:cs="Segoe UI"/>
                <w:color w:val="000000"/>
                <w:szCs w:val="24"/>
              </w:rPr>
            </w:pPr>
            <w:r w:rsidRPr="17CECF10">
              <w:rPr>
                <w:rFonts w:ascii="Segoe UI" w:hAnsi="Segoe UI" w:cs="Segoe UI"/>
                <w:color w:val="000000" w:themeColor="text1"/>
                <w:sz w:val="22"/>
              </w:rPr>
              <w:t>$8,665</w:t>
            </w:r>
          </w:p>
        </w:tc>
      </w:tr>
      <w:tr w:rsidR="00AD50AC" w:rsidRPr="001207F5" w14:paraId="51E437D8" w14:textId="77777777" w:rsidTr="00726140">
        <w:trPr>
          <w:trHeight w:val="324"/>
          <w:jc w:val="center"/>
        </w:trPr>
        <w:tc>
          <w:tcPr>
            <w:tcW w:w="3505" w:type="dxa"/>
            <w:shd w:val="clear" w:color="auto" w:fill="D9D9D6"/>
            <w:noWrap/>
            <w:hideMark/>
          </w:tcPr>
          <w:p w14:paraId="1AB796EE" w14:textId="2B350A9E" w:rsidR="00AD50AC" w:rsidRPr="001207F5" w:rsidRDefault="5F495B55" w:rsidP="17CECF10">
            <w:pPr>
              <w:spacing w:line="240" w:lineRule="auto"/>
              <w:jc w:val="right"/>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Back-</w:t>
            </w:r>
            <w:r w:rsidR="1DAD41CB" w:rsidRPr="17CECF10">
              <w:rPr>
                <w:rFonts w:ascii="Segoe UI" w:eastAsia="Times New Roman" w:hAnsi="Segoe UI" w:cs="Segoe UI"/>
                <w:b/>
                <w:bCs/>
                <w:color w:val="000000" w:themeColor="text1"/>
                <w:sz w:val="22"/>
              </w:rPr>
              <w:t>e</w:t>
            </w:r>
            <w:r w:rsidRPr="17CECF10">
              <w:rPr>
                <w:rFonts w:ascii="Segoe UI" w:eastAsia="Times New Roman" w:hAnsi="Segoe UI" w:cs="Segoe UI"/>
                <w:b/>
                <w:bCs/>
                <w:color w:val="000000" w:themeColor="text1"/>
                <w:sz w:val="22"/>
              </w:rPr>
              <w:t xml:space="preserve">nd </w:t>
            </w:r>
            <w:r w:rsidR="721E058C" w:rsidRPr="17CECF10">
              <w:rPr>
                <w:rFonts w:ascii="Segoe UI" w:eastAsia="Times New Roman" w:hAnsi="Segoe UI" w:cs="Segoe UI"/>
                <w:b/>
                <w:bCs/>
                <w:color w:val="000000" w:themeColor="text1"/>
                <w:sz w:val="22"/>
              </w:rPr>
              <w:t>f</w:t>
            </w:r>
            <w:r w:rsidRPr="17CECF10">
              <w:rPr>
                <w:rFonts w:ascii="Segoe UI" w:eastAsia="Times New Roman" w:hAnsi="Segoe UI" w:cs="Segoe UI"/>
                <w:b/>
                <w:bCs/>
                <w:color w:val="000000" w:themeColor="text1"/>
                <w:sz w:val="22"/>
              </w:rPr>
              <w:t>ees</w:t>
            </w:r>
          </w:p>
        </w:tc>
        <w:tc>
          <w:tcPr>
            <w:tcW w:w="2520" w:type="dxa"/>
            <w:tcBorders>
              <w:top w:val="nil"/>
              <w:left w:val="nil"/>
              <w:bottom w:val="single" w:sz="8" w:space="0" w:color="auto"/>
              <w:right w:val="single" w:sz="8" w:space="0" w:color="auto"/>
            </w:tcBorders>
            <w:shd w:val="clear" w:color="auto" w:fill="D9D9D6"/>
            <w:noWrap/>
            <w:vAlign w:val="center"/>
            <w:hideMark/>
          </w:tcPr>
          <w:p w14:paraId="1025FBC9" w14:textId="3C82DACE" w:rsidR="00AD50AC" w:rsidRPr="001207F5" w:rsidRDefault="5F495B55" w:rsidP="17CECF10">
            <w:pPr>
              <w:spacing w:line="240" w:lineRule="auto"/>
              <w:jc w:val="right"/>
              <w:rPr>
                <w:rFonts w:ascii="Segoe UI" w:eastAsia="Times New Roman" w:hAnsi="Segoe UI" w:cs="Segoe UI"/>
                <w:b/>
                <w:bCs/>
                <w:color w:val="000000"/>
                <w:szCs w:val="24"/>
              </w:rPr>
            </w:pPr>
            <w:r w:rsidRPr="17CECF10">
              <w:rPr>
                <w:rFonts w:ascii="Segoe UI" w:hAnsi="Segoe UI" w:cs="Segoe UI"/>
                <w:b/>
                <w:bCs/>
                <w:color w:val="000000" w:themeColor="text1"/>
                <w:sz w:val="22"/>
              </w:rPr>
              <w:t>$14,660</w:t>
            </w:r>
          </w:p>
        </w:tc>
        <w:tc>
          <w:tcPr>
            <w:tcW w:w="2610" w:type="dxa"/>
            <w:tcBorders>
              <w:top w:val="nil"/>
              <w:left w:val="nil"/>
              <w:bottom w:val="single" w:sz="8" w:space="0" w:color="auto"/>
              <w:right w:val="single" w:sz="8" w:space="0" w:color="auto"/>
            </w:tcBorders>
            <w:shd w:val="clear" w:color="auto" w:fill="D9D9D6"/>
            <w:noWrap/>
            <w:vAlign w:val="center"/>
            <w:hideMark/>
          </w:tcPr>
          <w:p w14:paraId="1C3900E6" w14:textId="0310D39A" w:rsidR="00AD50AC" w:rsidRPr="000F20DC" w:rsidRDefault="5F495B55" w:rsidP="17CECF10">
            <w:pPr>
              <w:spacing w:line="240" w:lineRule="auto"/>
              <w:jc w:val="right"/>
              <w:rPr>
                <w:rFonts w:ascii="Segoe UI" w:eastAsia="Times New Roman" w:hAnsi="Segoe UI" w:cs="Segoe UI"/>
                <w:b/>
                <w:bCs/>
                <w:color w:val="000000"/>
                <w:szCs w:val="24"/>
              </w:rPr>
            </w:pPr>
            <w:r w:rsidRPr="17CECF10">
              <w:rPr>
                <w:rFonts w:ascii="Segoe UI" w:hAnsi="Segoe UI" w:cs="Segoe UI"/>
                <w:b/>
                <w:bCs/>
                <w:color w:val="000000" w:themeColor="text1"/>
                <w:sz w:val="22"/>
              </w:rPr>
              <w:t>$16,495</w:t>
            </w:r>
          </w:p>
        </w:tc>
      </w:tr>
      <w:tr w:rsidR="00AD50AC" w:rsidRPr="001207F5" w14:paraId="5B5B8454" w14:textId="77777777" w:rsidTr="00726140">
        <w:trPr>
          <w:trHeight w:val="324"/>
          <w:jc w:val="center"/>
        </w:trPr>
        <w:tc>
          <w:tcPr>
            <w:tcW w:w="3505" w:type="dxa"/>
            <w:shd w:val="clear" w:color="auto" w:fill="A7A8AA"/>
            <w:noWrap/>
            <w:hideMark/>
          </w:tcPr>
          <w:p w14:paraId="3B3F2D77" w14:textId="58F1EB39" w:rsidR="00AD50AC" w:rsidRPr="001207F5" w:rsidRDefault="5F495B55" w:rsidP="17CECF10">
            <w:pPr>
              <w:spacing w:line="240" w:lineRule="auto"/>
              <w:jc w:val="right"/>
              <w:rPr>
                <w:rFonts w:ascii="Segoe UI" w:eastAsia="Times New Roman" w:hAnsi="Segoe UI" w:cs="Segoe UI"/>
                <w:b/>
                <w:bCs/>
                <w:color w:val="000000"/>
                <w:szCs w:val="24"/>
              </w:rPr>
            </w:pPr>
            <w:r w:rsidRPr="17CECF10">
              <w:rPr>
                <w:rFonts w:ascii="Segoe UI" w:eastAsia="Times New Roman" w:hAnsi="Segoe UI" w:cs="Segoe UI"/>
                <w:b/>
                <w:bCs/>
                <w:color w:val="000000" w:themeColor="text1"/>
                <w:sz w:val="22"/>
              </w:rPr>
              <w:t xml:space="preserve">Total </w:t>
            </w:r>
            <w:r w:rsidR="60C0ABEB" w:rsidRPr="17CECF10">
              <w:rPr>
                <w:rFonts w:ascii="Segoe UI" w:eastAsia="Times New Roman" w:hAnsi="Segoe UI" w:cs="Segoe UI"/>
                <w:b/>
                <w:bCs/>
                <w:color w:val="000000" w:themeColor="text1"/>
                <w:sz w:val="22"/>
              </w:rPr>
              <w:t>f</w:t>
            </w:r>
            <w:r w:rsidRPr="17CECF10">
              <w:rPr>
                <w:rFonts w:ascii="Segoe UI" w:eastAsia="Times New Roman" w:hAnsi="Segoe UI" w:cs="Segoe UI"/>
                <w:b/>
                <w:bCs/>
                <w:color w:val="000000" w:themeColor="text1"/>
                <w:sz w:val="22"/>
              </w:rPr>
              <w:t>ees</w:t>
            </w:r>
          </w:p>
        </w:tc>
        <w:tc>
          <w:tcPr>
            <w:tcW w:w="2520" w:type="dxa"/>
            <w:tcBorders>
              <w:top w:val="nil"/>
              <w:left w:val="nil"/>
              <w:bottom w:val="single" w:sz="8" w:space="0" w:color="auto"/>
              <w:right w:val="single" w:sz="8" w:space="0" w:color="auto"/>
            </w:tcBorders>
            <w:shd w:val="clear" w:color="auto" w:fill="A7A8AA"/>
            <w:noWrap/>
            <w:vAlign w:val="center"/>
            <w:hideMark/>
          </w:tcPr>
          <w:p w14:paraId="01BFF976" w14:textId="3792685A" w:rsidR="00AD50AC" w:rsidRPr="001207F5" w:rsidRDefault="5F495B55" w:rsidP="17CECF10">
            <w:pPr>
              <w:spacing w:line="240" w:lineRule="auto"/>
              <w:jc w:val="right"/>
              <w:rPr>
                <w:rFonts w:ascii="Segoe UI" w:eastAsia="Times New Roman" w:hAnsi="Segoe UI" w:cs="Segoe UI"/>
                <w:b/>
                <w:bCs/>
                <w:color w:val="000000"/>
                <w:szCs w:val="24"/>
              </w:rPr>
            </w:pPr>
            <w:r w:rsidRPr="17CECF10">
              <w:rPr>
                <w:rFonts w:ascii="Segoe UI" w:hAnsi="Segoe UI" w:cs="Segoe UI"/>
                <w:b/>
                <w:bCs/>
                <w:color w:val="000000" w:themeColor="text1"/>
                <w:sz w:val="22"/>
              </w:rPr>
              <w:t>$17,840</w:t>
            </w:r>
          </w:p>
        </w:tc>
        <w:tc>
          <w:tcPr>
            <w:tcW w:w="2610" w:type="dxa"/>
            <w:tcBorders>
              <w:top w:val="nil"/>
              <w:left w:val="nil"/>
              <w:bottom w:val="single" w:sz="8" w:space="0" w:color="auto"/>
              <w:right w:val="single" w:sz="8" w:space="0" w:color="auto"/>
            </w:tcBorders>
            <w:shd w:val="clear" w:color="auto" w:fill="A7A8AA"/>
            <w:noWrap/>
            <w:vAlign w:val="center"/>
            <w:hideMark/>
          </w:tcPr>
          <w:p w14:paraId="3CD1E56E" w14:textId="06BA2163" w:rsidR="00AD50AC" w:rsidRPr="000F20DC" w:rsidRDefault="5F495B55" w:rsidP="17CECF10">
            <w:pPr>
              <w:spacing w:line="240" w:lineRule="auto"/>
              <w:jc w:val="right"/>
              <w:rPr>
                <w:rFonts w:ascii="Segoe UI" w:eastAsia="Times New Roman" w:hAnsi="Segoe UI" w:cs="Segoe UI"/>
                <w:b/>
                <w:bCs/>
                <w:color w:val="000000"/>
                <w:szCs w:val="24"/>
              </w:rPr>
            </w:pPr>
            <w:r w:rsidRPr="17CECF10">
              <w:rPr>
                <w:rFonts w:ascii="Segoe UI" w:hAnsi="Segoe UI" w:cs="Segoe UI"/>
                <w:b/>
                <w:bCs/>
                <w:color w:val="000000" w:themeColor="text1"/>
                <w:sz w:val="22"/>
              </w:rPr>
              <w:t>$20,075</w:t>
            </w:r>
          </w:p>
        </w:tc>
      </w:tr>
    </w:tbl>
    <w:p w14:paraId="60F0736A" w14:textId="77777777" w:rsidR="00CC447F" w:rsidRPr="009008DD" w:rsidRDefault="00CC447F" w:rsidP="17CECF10">
      <w:pPr>
        <w:spacing w:line="360" w:lineRule="auto"/>
        <w:rPr>
          <w:rFonts w:ascii="Segoe UI" w:hAnsi="Segoe UI" w:cs="Segoe UI"/>
          <w:szCs w:val="24"/>
        </w:rPr>
      </w:pPr>
    </w:p>
    <w:p w14:paraId="28D8AB59" w14:textId="404A7154" w:rsidR="009C343B" w:rsidRPr="00CF6436" w:rsidRDefault="182C1656" w:rsidP="17CECF10">
      <w:pPr>
        <w:spacing w:line="360" w:lineRule="auto"/>
        <w:ind w:firstLine="450"/>
        <w:rPr>
          <w:rFonts w:ascii="Segoe UI" w:hAnsi="Segoe UI" w:cs="Segoe UI"/>
          <w:szCs w:val="24"/>
        </w:rPr>
      </w:pPr>
      <w:bookmarkStart w:id="310" w:name="_Ref324240072"/>
      <w:r w:rsidRPr="17CECF10">
        <w:rPr>
          <w:rFonts w:ascii="Segoe UI" w:hAnsi="Segoe UI" w:cs="Segoe UI"/>
          <w:szCs w:val="24"/>
        </w:rPr>
        <w:lastRenderedPageBreak/>
        <w:t>T</w:t>
      </w:r>
      <w:r w:rsidR="5937F3E6" w:rsidRPr="17CECF10">
        <w:rPr>
          <w:rFonts w:ascii="Segoe UI" w:hAnsi="Segoe UI" w:cs="Segoe UI"/>
          <w:szCs w:val="24"/>
        </w:rPr>
        <w:t xml:space="preserve">his alternative </w:t>
      </w:r>
      <w:r w:rsidR="117B05B7" w:rsidRPr="17CECF10">
        <w:rPr>
          <w:rFonts w:ascii="Segoe UI" w:hAnsi="Segoe UI" w:cs="Segoe UI"/>
          <w:szCs w:val="24"/>
        </w:rPr>
        <w:t>maintains the status quo ratio of front-end and back-end fees</w:t>
      </w:r>
      <w:r w:rsidR="02647009" w:rsidRPr="17CECF10">
        <w:rPr>
          <w:rFonts w:ascii="Segoe UI" w:hAnsi="Segoe UI" w:cs="Segoe UI"/>
          <w:szCs w:val="24"/>
        </w:rPr>
        <w:t>.</w:t>
      </w:r>
      <w:r w:rsidR="0BDD4E7C" w:rsidRPr="17CECF10">
        <w:rPr>
          <w:rFonts w:ascii="Segoe UI" w:hAnsi="Segoe UI" w:cs="Segoe UI"/>
          <w:szCs w:val="24"/>
        </w:rPr>
        <w:t xml:space="preserve"> </w:t>
      </w:r>
      <w:r w:rsidR="02647009" w:rsidRPr="17CECF10">
        <w:rPr>
          <w:rFonts w:ascii="Segoe UI" w:hAnsi="Segoe UI" w:cs="Segoe UI"/>
          <w:szCs w:val="24"/>
        </w:rPr>
        <w:t>A</w:t>
      </w:r>
      <w:r w:rsidR="117B05B7" w:rsidRPr="17CECF10">
        <w:rPr>
          <w:rFonts w:ascii="Segoe UI" w:hAnsi="Segoe UI" w:cs="Segoe UI"/>
          <w:szCs w:val="24"/>
        </w:rPr>
        <w:t xml:space="preserve">ll fees would be adjusted by the same escalation factor, thereby </w:t>
      </w:r>
      <w:r w:rsidR="657698B4" w:rsidRPr="17CECF10">
        <w:rPr>
          <w:rFonts w:ascii="Segoe UI" w:hAnsi="Segoe UI" w:cs="Segoe UI"/>
          <w:szCs w:val="24"/>
        </w:rPr>
        <w:t xml:space="preserve">promoting </w:t>
      </w:r>
      <w:r w:rsidR="117B05B7" w:rsidRPr="17CECF10">
        <w:rPr>
          <w:rFonts w:ascii="Segoe UI" w:hAnsi="Segoe UI" w:cs="Segoe UI"/>
          <w:szCs w:val="24"/>
        </w:rPr>
        <w:t>innovation</w:t>
      </w:r>
      <w:r w:rsidR="657698B4" w:rsidRPr="17CECF10">
        <w:rPr>
          <w:rFonts w:ascii="Segoe UI" w:hAnsi="Segoe UI" w:cs="Segoe UI"/>
          <w:szCs w:val="24"/>
        </w:rPr>
        <w:t xml:space="preserve"> strategies</w:t>
      </w:r>
      <w:r w:rsidR="64DFBB28" w:rsidRPr="17CECF10">
        <w:rPr>
          <w:rFonts w:ascii="Segoe UI" w:hAnsi="Segoe UI" w:cs="Segoe UI"/>
          <w:szCs w:val="24"/>
        </w:rPr>
        <w:t xml:space="preserve"> and allowing </w:t>
      </w:r>
      <w:r w:rsidR="117B05B7" w:rsidRPr="17CECF10">
        <w:rPr>
          <w:rFonts w:ascii="Segoe UI" w:hAnsi="Segoe UI" w:cs="Segoe UI"/>
          <w:szCs w:val="24"/>
        </w:rPr>
        <w:t xml:space="preserve">applicants to gain access to the patent system through </w:t>
      </w:r>
      <w:r w:rsidR="0D5983B4" w:rsidRPr="17CECF10">
        <w:rPr>
          <w:rFonts w:ascii="Segoe UI" w:hAnsi="Segoe UI" w:cs="Segoe UI"/>
          <w:szCs w:val="24"/>
        </w:rPr>
        <w:t xml:space="preserve">front-end </w:t>
      </w:r>
      <w:r w:rsidR="117B05B7" w:rsidRPr="17CECF10">
        <w:rPr>
          <w:rFonts w:ascii="Segoe UI" w:hAnsi="Segoe UI" w:cs="Segoe UI"/>
          <w:szCs w:val="24"/>
        </w:rPr>
        <w:t>fees set below cost</w:t>
      </w:r>
      <w:r w:rsidR="104DBA8A" w:rsidRPr="17CECF10">
        <w:rPr>
          <w:rFonts w:ascii="Segoe UI" w:hAnsi="Segoe UI" w:cs="Segoe UI"/>
          <w:szCs w:val="24"/>
        </w:rPr>
        <w:t xml:space="preserve">. Patent </w:t>
      </w:r>
      <w:r w:rsidR="117B05B7" w:rsidRPr="17CECF10">
        <w:rPr>
          <w:rFonts w:ascii="Segoe UI" w:hAnsi="Segoe UI" w:cs="Segoe UI"/>
          <w:szCs w:val="24"/>
        </w:rPr>
        <w:t xml:space="preserve">holders </w:t>
      </w:r>
      <w:r w:rsidR="79C67759" w:rsidRPr="17CECF10">
        <w:rPr>
          <w:rFonts w:ascii="Segoe UI" w:hAnsi="Segoe UI" w:cs="Segoe UI"/>
          <w:szCs w:val="24"/>
        </w:rPr>
        <w:t xml:space="preserve">would </w:t>
      </w:r>
      <w:r w:rsidR="117B05B7" w:rsidRPr="17CECF10">
        <w:rPr>
          <w:rFonts w:ascii="Segoe UI" w:hAnsi="Segoe UI" w:cs="Segoe UI"/>
          <w:szCs w:val="24"/>
        </w:rPr>
        <w:t xml:space="preserve">pay </w:t>
      </w:r>
      <w:r w:rsidR="64DFBB28" w:rsidRPr="17CECF10">
        <w:rPr>
          <w:rFonts w:ascii="Segoe UI" w:hAnsi="Segoe UI" w:cs="Segoe UI"/>
          <w:szCs w:val="24"/>
        </w:rPr>
        <w:t xml:space="preserve">issue and </w:t>
      </w:r>
      <w:r w:rsidR="117B05B7" w:rsidRPr="17CECF10">
        <w:rPr>
          <w:rFonts w:ascii="Segoe UI" w:hAnsi="Segoe UI" w:cs="Segoe UI"/>
          <w:szCs w:val="24"/>
        </w:rPr>
        <w:t xml:space="preserve">maintenance fees above cost to subsidize the </w:t>
      </w:r>
      <w:r w:rsidR="29B5F1C8" w:rsidRPr="17CECF10">
        <w:rPr>
          <w:rFonts w:ascii="Segoe UI" w:hAnsi="Segoe UI" w:cs="Segoe UI"/>
          <w:szCs w:val="24"/>
        </w:rPr>
        <w:t>below</w:t>
      </w:r>
      <w:r w:rsidR="26E83DBF" w:rsidRPr="17CECF10">
        <w:rPr>
          <w:rFonts w:ascii="Segoe UI" w:hAnsi="Segoe UI" w:cs="Segoe UI"/>
          <w:szCs w:val="24"/>
        </w:rPr>
        <w:t>-</w:t>
      </w:r>
      <w:r w:rsidR="29B5F1C8" w:rsidRPr="17CECF10">
        <w:rPr>
          <w:rFonts w:ascii="Segoe UI" w:hAnsi="Segoe UI" w:cs="Segoe UI"/>
          <w:szCs w:val="24"/>
        </w:rPr>
        <w:t xml:space="preserve">cost </w:t>
      </w:r>
      <w:r w:rsidR="117B05B7" w:rsidRPr="17CECF10">
        <w:rPr>
          <w:rFonts w:ascii="Segoe UI" w:hAnsi="Segoe UI" w:cs="Segoe UI"/>
          <w:szCs w:val="24"/>
        </w:rPr>
        <w:t>front-end fees.</w:t>
      </w:r>
      <w:r w:rsidR="2171104A" w:rsidRPr="17CECF10">
        <w:rPr>
          <w:rFonts w:ascii="Segoe UI" w:hAnsi="Segoe UI" w:cs="Segoe UI"/>
          <w:szCs w:val="24"/>
        </w:rPr>
        <w:t xml:space="preserve"> </w:t>
      </w:r>
      <w:r w:rsidR="79C67759" w:rsidRPr="17CECF10">
        <w:rPr>
          <w:rFonts w:ascii="Segoe UI" w:hAnsi="Segoe UI" w:cs="Segoe UI"/>
          <w:szCs w:val="24"/>
        </w:rPr>
        <w:t xml:space="preserve">The Across-the-Board Adjustment alternative </w:t>
      </w:r>
      <w:r w:rsidR="633603D5" w:rsidRPr="17CECF10">
        <w:rPr>
          <w:rFonts w:ascii="Segoe UI" w:hAnsi="Segoe UI" w:cs="Segoe UI"/>
          <w:szCs w:val="24"/>
        </w:rPr>
        <w:t xml:space="preserve">nevertheless </w:t>
      </w:r>
      <w:r w:rsidR="117B05B7" w:rsidRPr="17CECF10">
        <w:rPr>
          <w:rFonts w:ascii="Segoe UI" w:hAnsi="Segoe UI" w:cs="Segoe UI"/>
          <w:szCs w:val="24"/>
        </w:rPr>
        <w:t xml:space="preserve">fails to implement policy factors and deliver benefits beyond what exists in the Baseline </w:t>
      </w:r>
      <w:r w:rsidR="64DFBB28" w:rsidRPr="17CECF10">
        <w:rPr>
          <w:rFonts w:ascii="Segoe UI" w:hAnsi="Segoe UI" w:cs="Segoe UI"/>
          <w:szCs w:val="24"/>
        </w:rPr>
        <w:t>fee schedule (e.g., no fee adjustments</w:t>
      </w:r>
      <w:r w:rsidR="117B05B7" w:rsidRPr="17CECF10">
        <w:rPr>
          <w:rFonts w:ascii="Segoe UI" w:hAnsi="Segoe UI" w:cs="Segoe UI"/>
          <w:szCs w:val="24"/>
        </w:rPr>
        <w:t xml:space="preserve"> to offer patent pr</w:t>
      </w:r>
      <w:r w:rsidR="64DFBB28" w:rsidRPr="17CECF10">
        <w:rPr>
          <w:rFonts w:ascii="Segoe UI" w:hAnsi="Segoe UI" w:cs="Segoe UI"/>
          <w:szCs w:val="24"/>
        </w:rPr>
        <w:t>osecution options</w:t>
      </w:r>
      <w:r w:rsidR="117B05B7" w:rsidRPr="17CECF10">
        <w:rPr>
          <w:rFonts w:ascii="Segoe UI" w:hAnsi="Segoe UI" w:cs="Segoe UI"/>
          <w:szCs w:val="24"/>
        </w:rPr>
        <w:t xml:space="preserve"> or facilitate </w:t>
      </w:r>
      <w:r w:rsidR="64DFBB28" w:rsidRPr="17CECF10">
        <w:rPr>
          <w:rFonts w:ascii="Segoe UI" w:hAnsi="Segoe UI" w:cs="Segoe UI"/>
          <w:szCs w:val="24"/>
        </w:rPr>
        <w:t>more</w:t>
      </w:r>
      <w:r w:rsidR="117B05B7" w:rsidRPr="17CECF10">
        <w:rPr>
          <w:rFonts w:ascii="Segoe UI" w:hAnsi="Segoe UI" w:cs="Segoe UI"/>
          <w:szCs w:val="24"/>
        </w:rPr>
        <w:t xml:space="preserve"> effective administration of the patent system).</w:t>
      </w:r>
    </w:p>
    <w:p w14:paraId="721FF328" w14:textId="083D000C" w:rsidR="00AE2DD1" w:rsidRPr="001207F5" w:rsidRDefault="55B1A466" w:rsidP="17CECF10">
      <w:pPr>
        <w:spacing w:line="360" w:lineRule="auto"/>
        <w:ind w:firstLine="450"/>
        <w:rPr>
          <w:rFonts w:ascii="Segoe UI" w:hAnsi="Segoe UI" w:cs="Segoe UI"/>
          <w:szCs w:val="24"/>
        </w:rPr>
      </w:pPr>
      <w:r w:rsidRPr="17CECF10">
        <w:rPr>
          <w:rFonts w:ascii="Segoe UI" w:hAnsi="Segoe UI" w:cs="Segoe UI"/>
          <w:szCs w:val="24"/>
        </w:rPr>
        <w:t xml:space="preserve">Table 4-11 presents the major fee changes between the Baseline and </w:t>
      </w:r>
      <w:r w:rsidR="4475AF5F" w:rsidRPr="17CECF10">
        <w:rPr>
          <w:rFonts w:ascii="Segoe UI" w:hAnsi="Segoe UI" w:cs="Segoe UI"/>
          <w:szCs w:val="24"/>
        </w:rPr>
        <w:t>the Across</w:t>
      </w:r>
      <w:r w:rsidR="7DA9B10D" w:rsidRPr="17CECF10">
        <w:rPr>
          <w:rFonts w:ascii="Segoe UI" w:hAnsi="Segoe UI" w:cs="Segoe UI"/>
          <w:szCs w:val="24"/>
        </w:rPr>
        <w:t>-</w:t>
      </w:r>
      <w:r w:rsidR="4475AF5F" w:rsidRPr="17CECF10">
        <w:rPr>
          <w:rFonts w:ascii="Segoe UI" w:hAnsi="Segoe UI" w:cs="Segoe UI"/>
          <w:szCs w:val="24"/>
        </w:rPr>
        <w:t>the</w:t>
      </w:r>
      <w:r w:rsidR="7DA9B10D" w:rsidRPr="17CECF10">
        <w:rPr>
          <w:rFonts w:ascii="Segoe UI" w:hAnsi="Segoe UI" w:cs="Segoe UI"/>
          <w:szCs w:val="24"/>
        </w:rPr>
        <w:t>-</w:t>
      </w:r>
      <w:r w:rsidR="4475AF5F" w:rsidRPr="17CECF10">
        <w:rPr>
          <w:rFonts w:ascii="Segoe UI" w:hAnsi="Segoe UI" w:cs="Segoe UI"/>
          <w:szCs w:val="24"/>
        </w:rPr>
        <w:t>Board Adjustment</w:t>
      </w:r>
      <w:r w:rsidR="6978D45C" w:rsidRPr="17CECF10">
        <w:rPr>
          <w:rFonts w:ascii="Segoe UI" w:hAnsi="Segoe UI" w:cs="Segoe UI"/>
          <w:szCs w:val="24"/>
        </w:rPr>
        <w:t xml:space="preserve"> alternative for the same fees shown in Table 4-4</w:t>
      </w:r>
      <w:r w:rsidRPr="17CECF10">
        <w:rPr>
          <w:rFonts w:ascii="Segoe UI" w:hAnsi="Segoe UI" w:cs="Segoe UI"/>
          <w:szCs w:val="24"/>
        </w:rPr>
        <w:t>.</w:t>
      </w:r>
      <w:r w:rsidR="73CE5D64" w:rsidRPr="17CECF10">
        <w:rPr>
          <w:rFonts w:ascii="Segoe UI" w:hAnsi="Segoe UI" w:cs="Segoe UI"/>
          <w:szCs w:val="24"/>
        </w:rPr>
        <w:t xml:space="preserve"> </w:t>
      </w:r>
      <w:r w:rsidRPr="17CECF10">
        <w:rPr>
          <w:rFonts w:ascii="Segoe UI" w:hAnsi="Segoe UI" w:cs="Segoe UI"/>
          <w:szCs w:val="24"/>
        </w:rPr>
        <w:t xml:space="preserve">A complete list of </w:t>
      </w:r>
      <w:r w:rsidR="3B0394D8" w:rsidRPr="17CECF10">
        <w:rPr>
          <w:rFonts w:ascii="Segoe UI" w:hAnsi="Segoe UI" w:cs="Segoe UI"/>
          <w:szCs w:val="24"/>
        </w:rPr>
        <w:t xml:space="preserve">the Across-the-Board Adjustment </w:t>
      </w:r>
      <w:r w:rsidRPr="17CECF10">
        <w:rPr>
          <w:rFonts w:ascii="Segoe UI" w:hAnsi="Segoe UI" w:cs="Segoe UI"/>
          <w:szCs w:val="24"/>
        </w:rPr>
        <w:t xml:space="preserve">fee changes is available </w:t>
      </w:r>
      <w:r w:rsidR="15860FD0" w:rsidRPr="17CECF10">
        <w:rPr>
          <w:rFonts w:ascii="Segoe UI" w:hAnsi="Segoe UI" w:cs="Segoe UI"/>
          <w:szCs w:val="24"/>
        </w:rPr>
        <w:t xml:space="preserve">on the </w:t>
      </w:r>
      <w:hyperlink r:id="rId41">
        <w:r w:rsidR="23232FD0" w:rsidRPr="17CECF10">
          <w:rPr>
            <w:rStyle w:val="Hyperlink"/>
            <w:rFonts w:ascii="Segoe UI" w:hAnsi="Segoe UI" w:cs="Segoe UI"/>
            <w:szCs w:val="24"/>
          </w:rPr>
          <w:t>fee setting section of the USPTO website</w:t>
        </w:r>
      </w:hyperlink>
      <w:r w:rsidR="686F4F02" w:rsidRPr="17CECF10">
        <w:rPr>
          <w:rFonts w:ascii="Segoe UI" w:hAnsi="Segoe UI" w:cs="Segoe UI"/>
          <w:szCs w:val="24"/>
        </w:rPr>
        <w:t xml:space="preserve"> </w:t>
      </w:r>
      <w:r w:rsidR="25016FD8" w:rsidRPr="17CECF10">
        <w:rPr>
          <w:rFonts w:ascii="Segoe UI" w:hAnsi="Segoe UI" w:cs="Segoe UI"/>
          <w:szCs w:val="24"/>
        </w:rPr>
        <w:t>in the document titled “</w:t>
      </w:r>
      <w:r w:rsidR="78964331" w:rsidRPr="17CECF10">
        <w:rPr>
          <w:rFonts w:ascii="Segoe UI" w:hAnsi="Segoe UI" w:cs="Segoe UI"/>
          <w:szCs w:val="24"/>
        </w:rPr>
        <w:t>Initial</w:t>
      </w:r>
      <w:r w:rsidR="3CA13C2C" w:rsidRPr="17CECF10">
        <w:rPr>
          <w:rFonts w:ascii="Segoe UI" w:hAnsi="Segoe UI" w:cs="Segoe UI"/>
          <w:szCs w:val="24"/>
        </w:rPr>
        <w:t xml:space="preserve"> Regulatory Flexibility A</w:t>
      </w:r>
      <w:r w:rsidR="6263E623" w:rsidRPr="17CECF10">
        <w:rPr>
          <w:rFonts w:ascii="Segoe UI" w:hAnsi="Segoe UI" w:cs="Segoe UI"/>
          <w:szCs w:val="24"/>
        </w:rPr>
        <w:t>nalysis</w:t>
      </w:r>
      <w:r w:rsidR="25016FD8" w:rsidRPr="17CECF10">
        <w:rPr>
          <w:rFonts w:ascii="Segoe UI" w:hAnsi="Segoe UI" w:cs="Segoe UI"/>
          <w:szCs w:val="24"/>
        </w:rPr>
        <w:t xml:space="preserve"> Tables.”</w:t>
      </w:r>
    </w:p>
    <w:p w14:paraId="4EC03972" w14:textId="27378754" w:rsidR="00E52351" w:rsidRDefault="6549E89B" w:rsidP="17CECF10">
      <w:pPr>
        <w:keepNext/>
        <w:spacing w:line="360" w:lineRule="auto"/>
        <w:jc w:val="center"/>
        <w:rPr>
          <w:rFonts w:ascii="Segoe UI" w:hAnsi="Segoe UI" w:cs="Segoe UI"/>
          <w:b/>
          <w:bCs/>
          <w:szCs w:val="24"/>
        </w:rPr>
      </w:pPr>
      <w:r w:rsidRPr="17CECF10">
        <w:rPr>
          <w:rFonts w:ascii="Segoe UI" w:hAnsi="Segoe UI" w:cs="Segoe UI"/>
          <w:b/>
          <w:bCs/>
          <w:szCs w:val="24"/>
        </w:rPr>
        <w:t xml:space="preserve">Table </w:t>
      </w:r>
      <w:r w:rsidR="614ACBA6" w:rsidRPr="17CECF10">
        <w:rPr>
          <w:rFonts w:ascii="Segoe UI" w:hAnsi="Segoe UI" w:cs="Segoe UI"/>
          <w:b/>
          <w:bCs/>
          <w:szCs w:val="24"/>
        </w:rPr>
        <w:t>4</w:t>
      </w:r>
      <w:r w:rsidR="3A64B802" w:rsidRPr="17CECF10">
        <w:rPr>
          <w:rFonts w:ascii="Segoe UI" w:hAnsi="Segoe UI" w:cs="Segoe UI"/>
          <w:b/>
          <w:bCs/>
          <w:szCs w:val="24"/>
        </w:rPr>
        <w:t>-</w:t>
      </w:r>
      <w:bookmarkEnd w:id="310"/>
      <w:r w:rsidR="6BF3A32F" w:rsidRPr="17CECF10">
        <w:rPr>
          <w:rFonts w:ascii="Segoe UI" w:hAnsi="Segoe UI" w:cs="Segoe UI"/>
          <w:b/>
          <w:bCs/>
          <w:szCs w:val="24"/>
        </w:rPr>
        <w:t>11</w:t>
      </w:r>
    </w:p>
    <w:tbl>
      <w:tblPr>
        <w:tblW w:w="9821" w:type="dxa"/>
        <w:jc w:val="center"/>
        <w:tblLook w:val="04A0" w:firstRow="1" w:lastRow="0" w:firstColumn="1" w:lastColumn="0" w:noHBand="0" w:noVBand="1"/>
      </w:tblPr>
      <w:tblGrid>
        <w:gridCol w:w="3645"/>
        <w:gridCol w:w="1651"/>
        <w:gridCol w:w="1507"/>
        <w:gridCol w:w="1511"/>
        <w:gridCol w:w="1507"/>
      </w:tblGrid>
      <w:tr w:rsidR="001610D6" w:rsidRPr="001610D6" w14:paraId="3083D610" w14:textId="77777777" w:rsidTr="17CECF10">
        <w:trPr>
          <w:trHeight w:val="288"/>
          <w:jc w:val="center"/>
        </w:trPr>
        <w:tc>
          <w:tcPr>
            <w:tcW w:w="9821" w:type="dxa"/>
            <w:gridSpan w:val="5"/>
            <w:tcBorders>
              <w:top w:val="single" w:sz="4" w:space="0" w:color="auto"/>
              <w:left w:val="single" w:sz="4" w:space="0" w:color="auto"/>
              <w:bottom w:val="nil"/>
              <w:right w:val="single" w:sz="4" w:space="0" w:color="000000" w:themeColor="text1"/>
            </w:tcBorders>
            <w:shd w:val="clear" w:color="auto" w:fill="FFFFFF" w:themeFill="background1"/>
            <w:vAlign w:val="center"/>
            <w:hideMark/>
          </w:tcPr>
          <w:p w14:paraId="3C1298FC" w14:textId="68C589F7" w:rsidR="001610D6" w:rsidRPr="000D77FE" w:rsidRDefault="656441E1" w:rsidP="17CECF10">
            <w:pPr>
              <w:spacing w:line="240" w:lineRule="auto"/>
              <w:jc w:val="center"/>
              <w:rPr>
                <w:rFonts w:ascii="Segoe UI" w:eastAsia="Segoe UI" w:hAnsi="Segoe UI" w:cs="Segoe UI"/>
                <w:b/>
                <w:bCs/>
                <w:color w:val="000000"/>
                <w:szCs w:val="24"/>
              </w:rPr>
            </w:pPr>
            <w:r w:rsidRPr="17CECF10">
              <w:rPr>
                <w:rFonts w:ascii="Segoe UI" w:eastAsia="Segoe UI" w:hAnsi="Segoe UI" w:cs="Segoe UI"/>
                <w:b/>
                <w:bCs/>
                <w:color w:val="000000" w:themeColor="text1"/>
                <w:sz w:val="22"/>
              </w:rPr>
              <w:t>Across-the-Board Adjustment</w:t>
            </w:r>
            <w:r w:rsidR="6312EB75" w:rsidRPr="17CECF10">
              <w:rPr>
                <w:rFonts w:ascii="Segoe UI" w:eastAsia="Segoe UI" w:hAnsi="Segoe UI" w:cs="Segoe UI"/>
                <w:b/>
                <w:bCs/>
                <w:color w:val="000000" w:themeColor="text1"/>
                <w:sz w:val="22"/>
              </w:rPr>
              <w:t xml:space="preserve"> (Alternative 3)</w:t>
            </w:r>
          </w:p>
        </w:tc>
      </w:tr>
      <w:tr w:rsidR="001610D6" w:rsidRPr="001610D6" w14:paraId="4637E79F" w14:textId="77777777" w:rsidTr="17CECF10">
        <w:trPr>
          <w:trHeight w:val="288"/>
          <w:jc w:val="center"/>
        </w:trPr>
        <w:tc>
          <w:tcPr>
            <w:tcW w:w="9821" w:type="dxa"/>
            <w:gridSpan w:val="5"/>
            <w:tcBorders>
              <w:top w:val="nil"/>
              <w:left w:val="single" w:sz="4" w:space="0" w:color="auto"/>
              <w:bottom w:val="single" w:sz="4" w:space="0" w:color="auto"/>
              <w:right w:val="single" w:sz="4" w:space="0" w:color="000000" w:themeColor="text1"/>
            </w:tcBorders>
            <w:shd w:val="clear" w:color="auto" w:fill="FFFFFF" w:themeFill="background1"/>
            <w:vAlign w:val="center"/>
            <w:hideMark/>
          </w:tcPr>
          <w:p w14:paraId="4CB7E779" w14:textId="709E9F17" w:rsidR="001610D6" w:rsidRPr="00B54B53" w:rsidRDefault="2A6665D5" w:rsidP="17CECF10">
            <w:pPr>
              <w:spacing w:line="240" w:lineRule="auto"/>
              <w:jc w:val="center"/>
              <w:rPr>
                <w:rFonts w:ascii="Segoe UI" w:eastAsia="Segoe UI" w:hAnsi="Segoe UI" w:cs="Segoe UI"/>
                <w:b/>
                <w:bCs/>
                <w:color w:val="000000"/>
                <w:szCs w:val="24"/>
              </w:rPr>
            </w:pPr>
            <w:r w:rsidRPr="17CECF10">
              <w:rPr>
                <w:rFonts w:ascii="Segoe UI" w:eastAsia="Segoe UI" w:hAnsi="Segoe UI" w:cs="Segoe UI"/>
                <w:b/>
                <w:bCs/>
                <w:color w:val="000000" w:themeColor="text1"/>
                <w:sz w:val="22"/>
              </w:rPr>
              <w:t xml:space="preserve">Select </w:t>
            </w:r>
            <w:r w:rsidR="656441E1" w:rsidRPr="17CECF10">
              <w:rPr>
                <w:rFonts w:ascii="Segoe UI" w:eastAsia="Segoe UI" w:hAnsi="Segoe UI" w:cs="Segoe UI"/>
                <w:b/>
                <w:bCs/>
                <w:color w:val="000000" w:themeColor="text1"/>
                <w:sz w:val="22"/>
              </w:rPr>
              <w:t xml:space="preserve">Current and </w:t>
            </w:r>
            <w:r w:rsidR="497A267A" w:rsidRPr="17CECF10">
              <w:rPr>
                <w:rFonts w:ascii="Segoe UI" w:eastAsia="Segoe UI" w:hAnsi="Segoe UI" w:cs="Segoe UI"/>
                <w:b/>
                <w:bCs/>
                <w:color w:val="000000" w:themeColor="text1"/>
                <w:sz w:val="22"/>
              </w:rPr>
              <w:t>Final</w:t>
            </w:r>
            <w:r w:rsidR="656441E1" w:rsidRPr="17CECF10">
              <w:rPr>
                <w:rFonts w:ascii="Segoe UI" w:eastAsia="Segoe UI" w:hAnsi="Segoe UI" w:cs="Segoe UI"/>
                <w:b/>
                <w:bCs/>
                <w:color w:val="000000" w:themeColor="text1"/>
                <w:sz w:val="22"/>
              </w:rPr>
              <w:t xml:space="preserve"> Fees</w:t>
            </w:r>
          </w:p>
        </w:tc>
      </w:tr>
      <w:tr w:rsidR="001610D6" w:rsidRPr="001610D6" w14:paraId="34AE93DE" w14:textId="77777777" w:rsidTr="17CECF10">
        <w:trPr>
          <w:trHeight w:val="792"/>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9BD905B" w14:textId="77777777" w:rsidR="001610D6" w:rsidRPr="00B54B53" w:rsidRDefault="656441E1" w:rsidP="17CECF10">
            <w:pPr>
              <w:spacing w:line="240" w:lineRule="auto"/>
              <w:jc w:val="center"/>
              <w:rPr>
                <w:rFonts w:ascii="Segoe UI" w:eastAsia="Segoe UI" w:hAnsi="Segoe UI" w:cs="Segoe UI"/>
                <w:b/>
                <w:bCs/>
                <w:szCs w:val="24"/>
              </w:rPr>
            </w:pPr>
            <w:r w:rsidRPr="17CECF10">
              <w:rPr>
                <w:rFonts w:ascii="Segoe UI" w:eastAsia="Segoe UI" w:hAnsi="Segoe UI" w:cs="Segoe UI"/>
                <w:b/>
                <w:bCs/>
                <w:sz w:val="22"/>
              </w:rPr>
              <w:t>Description</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2857EBD8" w14:textId="4A14D63A" w:rsidR="001610D6" w:rsidRPr="00B54B53" w:rsidRDefault="656441E1" w:rsidP="17CECF10">
            <w:pPr>
              <w:spacing w:line="240" w:lineRule="auto"/>
              <w:jc w:val="center"/>
              <w:rPr>
                <w:rFonts w:ascii="Segoe UI" w:eastAsia="Segoe UI" w:hAnsi="Segoe UI" w:cs="Segoe UI"/>
                <w:b/>
                <w:bCs/>
                <w:szCs w:val="24"/>
              </w:rPr>
            </w:pPr>
            <w:r w:rsidRPr="17CECF10">
              <w:rPr>
                <w:rFonts w:ascii="Segoe UI" w:eastAsia="Segoe UI" w:hAnsi="Segoe UI" w:cs="Segoe UI"/>
                <w:b/>
                <w:bCs/>
                <w:sz w:val="22"/>
              </w:rPr>
              <w:t>Entity type</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4FFF8FD0" w14:textId="5D376907" w:rsidR="001610D6" w:rsidRPr="00B54B53" w:rsidRDefault="656441E1" w:rsidP="17CECF10">
            <w:pPr>
              <w:spacing w:line="240" w:lineRule="auto"/>
              <w:jc w:val="center"/>
              <w:rPr>
                <w:rFonts w:ascii="Segoe UI" w:eastAsia="Segoe UI" w:hAnsi="Segoe UI" w:cs="Segoe UI"/>
                <w:b/>
                <w:bCs/>
                <w:szCs w:val="24"/>
              </w:rPr>
            </w:pPr>
            <w:r w:rsidRPr="17CECF10">
              <w:rPr>
                <w:rFonts w:ascii="Segoe UI" w:eastAsia="Segoe UI" w:hAnsi="Segoe UI" w:cs="Segoe UI"/>
                <w:b/>
                <w:bCs/>
                <w:sz w:val="22"/>
              </w:rPr>
              <w:t xml:space="preserve">Current </w:t>
            </w:r>
            <w:r w:rsidR="50496615" w:rsidRPr="17CECF10">
              <w:rPr>
                <w:rFonts w:ascii="Segoe UI" w:eastAsia="Segoe UI" w:hAnsi="Segoe UI" w:cs="Segoe UI"/>
                <w:b/>
                <w:bCs/>
                <w:sz w:val="22"/>
              </w:rPr>
              <w:t>f</w:t>
            </w:r>
            <w:r w:rsidRPr="17CECF10">
              <w:rPr>
                <w:rFonts w:ascii="Segoe UI" w:eastAsia="Segoe UI" w:hAnsi="Segoe UI" w:cs="Segoe UI"/>
                <w:b/>
                <w:bCs/>
                <w:sz w:val="22"/>
              </w:rPr>
              <w:t>ee</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1A3D104E" w14:textId="0782DCE5" w:rsidR="001610D6" w:rsidRPr="00B54B53" w:rsidRDefault="497A267A" w:rsidP="17CECF10">
            <w:pPr>
              <w:spacing w:line="240" w:lineRule="auto"/>
              <w:jc w:val="center"/>
              <w:rPr>
                <w:rFonts w:ascii="Segoe UI" w:eastAsia="Segoe UI" w:hAnsi="Segoe UI" w:cs="Segoe UI"/>
                <w:b/>
                <w:bCs/>
                <w:szCs w:val="24"/>
              </w:rPr>
            </w:pPr>
            <w:r w:rsidRPr="17CECF10">
              <w:rPr>
                <w:rFonts w:ascii="Segoe UI" w:eastAsia="Segoe UI" w:hAnsi="Segoe UI" w:cs="Segoe UI"/>
                <w:b/>
                <w:bCs/>
                <w:sz w:val="22"/>
              </w:rPr>
              <w:t>Final</w:t>
            </w:r>
            <w:r w:rsidR="656441E1" w:rsidRPr="17CECF10">
              <w:rPr>
                <w:rFonts w:ascii="Segoe UI" w:eastAsia="Segoe UI" w:hAnsi="Segoe UI" w:cs="Segoe UI"/>
                <w:b/>
                <w:bCs/>
                <w:sz w:val="22"/>
              </w:rPr>
              <w:t xml:space="preserve"> </w:t>
            </w:r>
            <w:r w:rsidR="50496615" w:rsidRPr="17CECF10">
              <w:rPr>
                <w:rFonts w:ascii="Segoe UI" w:eastAsia="Segoe UI" w:hAnsi="Segoe UI" w:cs="Segoe UI"/>
                <w:b/>
                <w:bCs/>
                <w:sz w:val="22"/>
              </w:rPr>
              <w:t>f</w:t>
            </w:r>
            <w:r w:rsidR="656441E1" w:rsidRPr="17CECF10">
              <w:rPr>
                <w:rFonts w:ascii="Segoe UI" w:eastAsia="Segoe UI" w:hAnsi="Segoe UI" w:cs="Segoe UI"/>
                <w:b/>
                <w:bCs/>
                <w:sz w:val="22"/>
              </w:rPr>
              <w:t>ee</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3A74FD6" w14:textId="5E7216C7" w:rsidR="001610D6" w:rsidRPr="00E11DB0" w:rsidRDefault="656441E1" w:rsidP="17CECF10">
            <w:pPr>
              <w:spacing w:line="240" w:lineRule="auto"/>
              <w:jc w:val="center"/>
              <w:rPr>
                <w:rFonts w:ascii="Segoe UI" w:eastAsia="Segoe UI" w:hAnsi="Segoe UI" w:cs="Segoe UI"/>
                <w:b/>
                <w:bCs/>
                <w:szCs w:val="24"/>
              </w:rPr>
            </w:pPr>
            <w:r w:rsidRPr="17CECF10">
              <w:rPr>
                <w:rFonts w:ascii="Segoe UI" w:eastAsia="Segoe UI" w:hAnsi="Segoe UI" w:cs="Segoe UI"/>
                <w:b/>
                <w:bCs/>
                <w:sz w:val="22"/>
              </w:rPr>
              <w:t xml:space="preserve">Fee </w:t>
            </w:r>
            <w:r w:rsidR="50496615" w:rsidRPr="17CECF10">
              <w:rPr>
                <w:rFonts w:ascii="Segoe UI" w:eastAsia="Segoe UI" w:hAnsi="Segoe UI" w:cs="Segoe UI"/>
                <w:b/>
                <w:bCs/>
                <w:sz w:val="22"/>
              </w:rPr>
              <w:t>c</w:t>
            </w:r>
            <w:r w:rsidRPr="17CECF10">
              <w:rPr>
                <w:rFonts w:ascii="Segoe UI" w:eastAsia="Segoe UI" w:hAnsi="Segoe UI" w:cs="Segoe UI"/>
                <w:b/>
                <w:bCs/>
                <w:sz w:val="22"/>
              </w:rPr>
              <w:t>hange (%)</w:t>
            </w:r>
          </w:p>
        </w:tc>
      </w:tr>
      <w:tr w:rsidR="001610D6" w:rsidRPr="001610D6" w14:paraId="108B3EB6"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86B7E4C" w14:textId="317F72FA" w:rsidR="001610D6" w:rsidRPr="006F5D66"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Basic filing fee - Utility (paper filing also requires non-electronic filing fee under 1.16(t))</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3ED8EA7F" w14:textId="77777777" w:rsidR="001610D6" w:rsidRPr="006F5D66"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2A8EF84" w14:textId="2D9F9188" w:rsidR="001610D6" w:rsidRPr="006F5D66"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$320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45F96B93" w14:textId="5D9EDB95" w:rsidR="001610D6" w:rsidRPr="006F5D66"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$360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CA0D154" w14:textId="77777777" w:rsidR="001610D6" w:rsidRPr="006F5D66"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53B260CB"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8F192A0" w14:textId="4CEF5874" w:rsidR="001610D6" w:rsidRPr="008D3AEC"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Basic filing fee - Utility (paper filing also requires non-electronic filing fee under 1.16(t))</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7692DB0A" w14:textId="77777777" w:rsidR="001610D6" w:rsidRPr="008D3AEC"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7AEA0371" w14:textId="325AC06A" w:rsidR="001610D6" w:rsidRPr="008D3AEC"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$128</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7E930D25" w14:textId="5E9481D1" w:rsidR="001610D6" w:rsidRPr="009E1CE7"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$144</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6A6C3176" w14:textId="77777777" w:rsidR="001610D6" w:rsidRPr="009E1CE7"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1A7B47E1"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D383F48" w14:textId="3EE9CEB5" w:rsidR="001610D6" w:rsidRPr="00F1059F"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Basic filing fee - Utility (paper filing also requires non-electronic filing fee under 1.16(t))</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71E0B0CD" w14:textId="77777777" w:rsidR="001610D6" w:rsidRPr="00F1059F"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53EBAE38" w14:textId="02450A91" w:rsidR="001610D6" w:rsidRPr="00F1059F"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$64</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13877D07" w14:textId="2DB315C6" w:rsidR="001610D6" w:rsidRPr="00F1059F"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$72</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4FD4317C" w14:textId="77777777" w:rsidR="001610D6" w:rsidRPr="00F1059F"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506B6A20"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6813073" w14:textId="683B8D20" w:rsidR="001610D6" w:rsidRPr="008C62E7"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Basic filing fee - Utility (electronic filing for small entities)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252C579D" w14:textId="77777777" w:rsidR="001610D6" w:rsidRPr="008C62E7"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129DF7A" w14:textId="4A571024" w:rsidR="001610D6" w:rsidRPr="008C62E7"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$64</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2E6F2310" w14:textId="0913234D" w:rsidR="001610D6" w:rsidRPr="008C62E7"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$72</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78A0EB2F" w14:textId="77777777" w:rsidR="001610D6" w:rsidRPr="008C62E7"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69C9DBC6"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3D337CC" w14:textId="77777777" w:rsidR="001610D6" w:rsidRPr="008C62E7"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Each claim in excess of 20</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191075B6" w14:textId="77777777" w:rsidR="001610D6" w:rsidRPr="008C62E7"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7809079" w14:textId="3E3DFBDE" w:rsidR="001610D6" w:rsidRPr="008C62E7"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$100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0A334522" w14:textId="6AF444A5" w:rsidR="001610D6" w:rsidRPr="008C62E7"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$115</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6BEFCE4A" w14:textId="77777777" w:rsidR="001610D6" w:rsidRPr="008C62E7"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15%</w:t>
            </w:r>
          </w:p>
        </w:tc>
      </w:tr>
      <w:tr w:rsidR="001610D6" w:rsidRPr="001610D6" w14:paraId="66C4317C"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001348B" w14:textId="77777777" w:rsidR="001610D6" w:rsidRPr="008C62E7"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Each claim in excess of 20</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49496467" w14:textId="77777777" w:rsidR="001610D6" w:rsidRPr="008C62E7"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1F9DAE32" w14:textId="37FA5558" w:rsidR="001610D6" w:rsidRPr="008C62E7"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$40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7F306F47" w14:textId="19A8DDEC" w:rsidR="001610D6" w:rsidRPr="008C62E7"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$46</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02A0310" w14:textId="77777777" w:rsidR="001610D6" w:rsidRPr="008C62E7"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15%</w:t>
            </w:r>
          </w:p>
        </w:tc>
      </w:tr>
      <w:tr w:rsidR="001610D6" w:rsidRPr="001610D6" w14:paraId="549768CA"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FAB567D" w14:textId="77777777" w:rsidR="001610D6" w:rsidRPr="008C62E7"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Each claim in excess of 20</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3B21C59D" w14:textId="77777777" w:rsidR="001610D6" w:rsidRPr="008C62E7"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19A6E776" w14:textId="7E566F1D" w:rsidR="001610D6" w:rsidRPr="008C62E7"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$20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330A6206" w14:textId="54F19735" w:rsidR="001610D6" w:rsidRPr="008C62E7"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$23</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05F56F3" w14:textId="77777777" w:rsidR="001610D6" w:rsidRPr="008C62E7"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15%</w:t>
            </w:r>
          </w:p>
        </w:tc>
      </w:tr>
      <w:tr w:rsidR="001610D6" w:rsidRPr="001610D6" w14:paraId="088768F9"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F9BF648" w14:textId="77777777" w:rsidR="001610D6" w:rsidRPr="00583F6C"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Utility search fee</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2D440D63" w14:textId="77777777" w:rsidR="001610D6" w:rsidRPr="00583F6C"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6C251A7" w14:textId="5342A6D7" w:rsidR="001610D6" w:rsidRPr="00583F6C"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$700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07C34079" w14:textId="3F077719" w:rsidR="001610D6" w:rsidRPr="00583F6C"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$790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688D1C66" w14:textId="77777777" w:rsidR="001610D6" w:rsidRPr="00583F6C"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3A54E23B"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DD2CBDB" w14:textId="77777777" w:rsidR="001610D6" w:rsidRPr="00583F6C"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lastRenderedPageBreak/>
              <w:t>Utility search fee</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2AE381A1" w14:textId="77777777" w:rsidR="001610D6" w:rsidRPr="00583F6C"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74F0B4A2" w14:textId="1C70D0A0" w:rsidR="001610D6" w:rsidRPr="00583F6C"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$280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514E9F11" w14:textId="2F005C19" w:rsidR="001610D6" w:rsidRPr="00583F6C"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$316</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50391E86" w14:textId="77777777" w:rsidR="001610D6" w:rsidRPr="00583F6C"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2BB640F7"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577CC52" w14:textId="77777777" w:rsidR="001610D6" w:rsidRPr="00583F6C"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Utility search fee</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3FE64C4B" w14:textId="77777777" w:rsidR="001610D6" w:rsidRPr="00583F6C"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1099F4F" w14:textId="3BD9F9FB" w:rsidR="001610D6" w:rsidRPr="00583F6C"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$140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693146CE" w14:textId="3457F64A" w:rsidR="001610D6" w:rsidRPr="00583F6C"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$158</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2763404" w14:textId="77777777" w:rsidR="001610D6" w:rsidRPr="00583F6C"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71159CC1"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9E71076" w14:textId="77777777" w:rsidR="001610D6" w:rsidRPr="00583F6C"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Utility examination fee</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006F3259" w14:textId="77777777" w:rsidR="001610D6" w:rsidRPr="00583F6C"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44EB2BA4" w14:textId="2D904223" w:rsidR="001610D6" w:rsidRPr="00583F6C"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$800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0CF60BF9" w14:textId="1245F69C" w:rsidR="001610D6" w:rsidRPr="00583F6C"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$900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563602C8" w14:textId="77777777" w:rsidR="001610D6" w:rsidRPr="00583F6C"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464A8968"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52B79BE" w14:textId="77777777" w:rsidR="001610D6" w:rsidRPr="00583F6C"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Utility examination fee</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4FEA61F0" w14:textId="77777777" w:rsidR="001610D6" w:rsidRPr="00583F6C"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6DBC0DF3" w14:textId="21127380" w:rsidR="001610D6" w:rsidRPr="00583F6C"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$320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62701458" w14:textId="5BE5AB26" w:rsidR="001610D6" w:rsidRPr="00583F6C"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$360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0C9518F" w14:textId="77777777" w:rsidR="001610D6" w:rsidRPr="00583F6C"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3726EE00"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48625F0" w14:textId="77777777" w:rsidR="001610D6" w:rsidRPr="00583F6C"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Utility examination fee</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196A2E40" w14:textId="77777777" w:rsidR="001610D6" w:rsidRPr="00583F6C"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197CFA5C" w14:textId="14E3ACBF" w:rsidR="001610D6" w:rsidRPr="00583F6C"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$160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6A9D5C3C" w14:textId="7D66C9FD" w:rsidR="001610D6" w:rsidRPr="00583F6C"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$180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1E84835" w14:textId="77777777" w:rsidR="001610D6" w:rsidRPr="00583F6C"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5FAED50C"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B853A2F" w14:textId="77777777" w:rsidR="001610D6" w:rsidRPr="00583F6C"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Utility issue fee</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71160226" w14:textId="77777777" w:rsidR="001610D6" w:rsidRPr="00583F6C"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745D6D5A" w14:textId="6B5FEE5C" w:rsidR="001610D6" w:rsidRPr="00583F6C"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$1,200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3F391825" w14:textId="5A483E93" w:rsidR="001610D6" w:rsidRPr="00583F6C"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$1,350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C60266D" w14:textId="77777777" w:rsidR="001610D6" w:rsidRPr="00226A8A"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785434ED"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1302911" w14:textId="77777777" w:rsidR="001610D6" w:rsidRPr="00226A8A"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Utility issue fee</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3FA446BF" w14:textId="77777777" w:rsidR="001610D6" w:rsidRPr="00226A8A"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1C3AD180" w14:textId="209570AF" w:rsidR="001610D6" w:rsidRPr="00226A8A"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$480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1783D340" w14:textId="2010B6E7" w:rsidR="001610D6" w:rsidRPr="00226A8A"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$540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74BF71F" w14:textId="77777777" w:rsidR="001610D6" w:rsidRPr="00226A8A"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1CCCE180"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17F720A" w14:textId="77777777" w:rsidR="001610D6" w:rsidRPr="00226A8A"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Utility issue fee</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2146D2E9" w14:textId="77777777" w:rsidR="001610D6" w:rsidRPr="00226A8A"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515EFFD" w14:textId="3C4580C7" w:rsidR="001610D6" w:rsidRPr="00226A8A"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$240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25A4915B" w14:textId="516A295C" w:rsidR="001610D6" w:rsidRPr="00226A8A"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$270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5691EBC" w14:textId="77777777" w:rsidR="001610D6" w:rsidRPr="00226A8A"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39F48BB2"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AF39EBF" w14:textId="77777777" w:rsidR="001610D6" w:rsidRPr="00226A8A"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Extension for response within third month</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6F1E0EE1" w14:textId="77777777" w:rsidR="001610D6" w:rsidRPr="00226A8A"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6F2DB390" w14:textId="70C18ACE" w:rsidR="001610D6" w:rsidRPr="00226A8A"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$1,480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474E95D2" w14:textId="77777777" w:rsidR="001610D6" w:rsidRPr="00226A8A"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$1,665</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CD67288" w14:textId="77777777" w:rsidR="001610D6" w:rsidRPr="00226A8A"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361166BB"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59FFFA8" w14:textId="77777777" w:rsidR="001610D6" w:rsidRPr="00226A8A"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Extension for response within third month</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161FC1A0" w14:textId="77777777" w:rsidR="001610D6" w:rsidRPr="00226A8A"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5B53D8B0" w14:textId="4BF6FF9D" w:rsidR="001610D6" w:rsidRPr="00226A8A"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$592</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3AACAF4E" w14:textId="77777777" w:rsidR="001610D6" w:rsidRPr="00226A8A"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$666</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DCE153C" w14:textId="77777777" w:rsidR="001610D6" w:rsidRPr="00226A8A"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3C224524"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49ED5CB" w14:textId="77777777" w:rsidR="001610D6" w:rsidRPr="00B2024F"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Extension for response within third month</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6C7CBFFC" w14:textId="77777777" w:rsidR="001610D6" w:rsidRPr="00B2024F"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8DE0E54" w14:textId="5DB910C3" w:rsidR="001610D6" w:rsidRPr="00B2024F"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$296</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49D84FA8" w14:textId="77777777" w:rsidR="001610D6" w:rsidRPr="00B2024F"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$333</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A74C124" w14:textId="77777777" w:rsidR="001610D6" w:rsidRPr="00B2024F"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524FC33D"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9C33F5D" w14:textId="77777777" w:rsidR="001610D6" w:rsidRPr="00B2024F"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For maintaining an original or any reissue patent, due at 3.5 years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226278A0" w14:textId="77777777" w:rsidR="001610D6" w:rsidRPr="00B2024F"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6BA618D" w14:textId="1FC4E3CE" w:rsidR="001610D6" w:rsidRPr="00B2024F"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$2,000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273D2661" w14:textId="5F641CF1" w:rsidR="001610D6" w:rsidRPr="00B2024F"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$2,250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6FF62E01" w14:textId="77777777" w:rsidR="001610D6" w:rsidRPr="00B2024F"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032AFC9C"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901E422" w14:textId="77777777" w:rsidR="001610D6" w:rsidRPr="00B2024F"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For maintaining an original or any reissue patent, due at 3.5 years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3899D88C" w14:textId="77777777" w:rsidR="001610D6" w:rsidRPr="00982C06"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11557CB" w14:textId="1EB731DA" w:rsidR="001610D6" w:rsidRPr="00982C06"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$800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2AD5AD90" w14:textId="75004C0A" w:rsidR="001610D6" w:rsidRPr="00982C06"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$900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6270243C" w14:textId="77777777" w:rsidR="001610D6" w:rsidRPr="00982C06"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60548AF1"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329B08F" w14:textId="77777777" w:rsidR="001610D6" w:rsidRPr="00982C06"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For maintaining an original or any reissue patent, due at 3.5 years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11672729" w14:textId="77777777" w:rsidR="001610D6" w:rsidRPr="00982C06"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D5605C5" w14:textId="2771FF4A" w:rsidR="001610D6" w:rsidRPr="00982C06"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$400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2828210C" w14:textId="5B5B83D6" w:rsidR="001610D6" w:rsidRPr="00982C06"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$450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68891F7" w14:textId="77777777" w:rsidR="001610D6" w:rsidRPr="00982C06"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01ECF148"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6633411" w14:textId="77777777" w:rsidR="001610D6" w:rsidRPr="00982C06"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For maintaining an original or any reissue patent, due at 7.5 years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46D134F6" w14:textId="77777777" w:rsidR="001610D6" w:rsidRPr="00982C06"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62E99177" w14:textId="60DD8D4B" w:rsidR="001610D6" w:rsidRPr="00982C06"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$3,760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357E62BD" w14:textId="2E826D4F" w:rsidR="001610D6" w:rsidRPr="00982C06"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$4,230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4C9EC4B3" w14:textId="77777777" w:rsidR="001610D6" w:rsidRPr="00982C06"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509049B4"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F0F9FF" w14:textId="77777777" w:rsidR="001610D6" w:rsidRPr="00C718BA"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For maintaining an original or any reissue patent, due at 7.5 years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2CB3973D" w14:textId="77777777" w:rsidR="001610D6" w:rsidRPr="00C718BA"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0BDC36D" w14:textId="5CA83B3A" w:rsidR="001610D6" w:rsidRPr="00C718BA"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$1,504</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0AFECBEC" w14:textId="3CF4FD82" w:rsidR="001610D6" w:rsidRPr="00C718BA"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$1,692</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6BE1CD5D" w14:textId="77777777" w:rsidR="001610D6" w:rsidRPr="00C718BA"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708799EB"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A68699D" w14:textId="77777777" w:rsidR="001610D6" w:rsidRPr="00C718BA"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For maintaining an original or any reissue patent, due at 7.5 years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22A8831B" w14:textId="77777777" w:rsidR="001610D6" w:rsidRPr="00C718BA"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5BA58D5" w14:textId="1DAE2B1C" w:rsidR="001610D6" w:rsidRPr="00C718BA"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$752</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48EEBBCB" w14:textId="3DB8A491" w:rsidR="001610D6" w:rsidRPr="00C718BA"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$846</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9A7417A" w14:textId="77777777" w:rsidR="001610D6" w:rsidRPr="00C718BA"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040ACE02"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D28B9D8" w14:textId="77777777" w:rsidR="001610D6" w:rsidRPr="00C718BA"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For maintaining an original or any reissue patent, due at 11.5 years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3E6E557B" w14:textId="77777777" w:rsidR="001610D6" w:rsidRPr="00C718BA"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9D22A80" w14:textId="6F8E2EE2" w:rsidR="001610D6" w:rsidRPr="00C718BA"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$7,700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7EB529AB" w14:textId="3CA976A2" w:rsidR="001610D6" w:rsidRPr="00C718BA"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$8,665</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70C75AB" w14:textId="77777777" w:rsidR="001610D6" w:rsidRPr="00C718BA"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6DF90D98"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D8DCEA3" w14:textId="77777777" w:rsidR="001610D6" w:rsidRPr="00C718BA"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For maintaining an original or any reissue patent, due at 11.5 years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343D07A0" w14:textId="77777777" w:rsidR="001610D6" w:rsidRPr="00C718BA"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45A58BF" w14:textId="4C38F94C" w:rsidR="001610D6" w:rsidRPr="00C718BA"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$3,080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390B6623" w14:textId="40C0A749" w:rsidR="001610D6" w:rsidRPr="00C718BA"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$3,466</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55A22E3" w14:textId="77777777" w:rsidR="001610D6" w:rsidRPr="00C718BA"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433B0FD3"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68B63BA" w14:textId="77777777" w:rsidR="001610D6" w:rsidRPr="00C718BA"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For maintaining an original or any reissue patent, due at 11.5 years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2C7D9271" w14:textId="77777777" w:rsidR="001610D6" w:rsidRPr="00C718BA"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6867B18B" w14:textId="39DE6AB8" w:rsidR="001610D6" w:rsidRPr="00C718BA"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$1,540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6D13200C" w14:textId="24B0EE76" w:rsidR="001610D6" w:rsidRPr="00C718BA"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$1,733</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11C1648C" w14:textId="77777777" w:rsidR="001610D6" w:rsidRPr="00C718BA"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77C13E98"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BDAD7A3" w14:textId="77777777" w:rsidR="001610D6" w:rsidRPr="00C718BA"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Request for prioritized examination</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258F54B8" w14:textId="77777777" w:rsidR="001610D6" w:rsidRPr="00C718BA"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6B1DBC8" w14:textId="32B8E1A3" w:rsidR="001610D6" w:rsidRPr="00C718BA"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$4,200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70493F53" w14:textId="79B4E99A" w:rsidR="001610D6" w:rsidRPr="00C718BA"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$4,725</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450F51C8" w14:textId="77777777" w:rsidR="001610D6" w:rsidRPr="00C718BA"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5A8D1888"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B8B3E5C" w14:textId="77777777" w:rsidR="001610D6" w:rsidRPr="00C718BA"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Request for prioritized examination</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37E4340D" w14:textId="77777777" w:rsidR="001610D6" w:rsidRPr="00C718BA"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48ADAE63" w14:textId="2C72AC69" w:rsidR="001610D6" w:rsidRPr="00C718BA"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$1,680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4A07F9BC" w14:textId="464D0E89" w:rsidR="001610D6" w:rsidRPr="00C718BA"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$1,890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F047F1C" w14:textId="77777777" w:rsidR="001610D6" w:rsidRPr="00C718BA"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51593167"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1F2FE8F" w14:textId="77777777" w:rsidR="001610D6" w:rsidRPr="00C718BA"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Request for prioritized examination</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121C9609" w14:textId="77777777" w:rsidR="001610D6" w:rsidRPr="00C718BA"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6DB481E7" w14:textId="1533882C" w:rsidR="001610D6" w:rsidRPr="00C718BA"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$840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40E86252" w14:textId="74FBB0C3" w:rsidR="001610D6" w:rsidRPr="00C718BA"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$945</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E10B0BE" w14:textId="77777777" w:rsidR="001610D6" w:rsidRPr="00C718BA"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6512A5E1"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5C92817" w14:textId="3ED75483" w:rsidR="001610D6" w:rsidRPr="009F34A0" w:rsidRDefault="656441E1" w:rsidP="17CECF10">
            <w:pPr>
              <w:spacing w:line="240" w:lineRule="auto"/>
              <w:rPr>
                <w:rFonts w:ascii="Segoe UI" w:eastAsia="Segoe UI" w:hAnsi="Segoe UI" w:cs="Segoe UI"/>
                <w:szCs w:val="24"/>
              </w:rPr>
            </w:pPr>
            <w:r w:rsidRPr="17CECF10">
              <w:rPr>
                <w:rFonts w:ascii="Calibri" w:eastAsia="Calibri" w:hAnsi="Calibri"/>
                <w:sz w:val="22"/>
              </w:rPr>
              <w:t>Request for continued examination (RCE)</w:t>
            </w:r>
            <w:r w:rsidRPr="17CECF10">
              <w:rPr>
                <w:rFonts w:ascii="Segoe UI" w:eastAsia="Segoe UI" w:hAnsi="Segoe UI" w:cs="Segoe UI"/>
                <w:sz w:val="22"/>
              </w:rPr>
              <w:t xml:space="preserve"> - 1st request (see 37 CFR 1.114)</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7113D4DE" w14:textId="77777777" w:rsidR="001610D6" w:rsidRPr="009F34A0"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0DA32AD" w14:textId="76B90C31" w:rsidR="001610D6" w:rsidRPr="009F34A0"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$1,360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6DD6CB38" w14:textId="3415AE9C" w:rsidR="001610D6" w:rsidRPr="009F34A0"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$1,530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643F2245" w14:textId="77777777" w:rsidR="001610D6" w:rsidRPr="009F34A0"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3B3550A8"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7728966" w14:textId="3B8B2976" w:rsidR="001610D6" w:rsidRPr="009F34A0"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Request for continued examination (RCE) - 1st request (see 37 CFR 1.114)</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200DCDAC" w14:textId="77777777" w:rsidR="001610D6" w:rsidRPr="009F34A0"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4C97FB20" w14:textId="3ED8656C" w:rsidR="001610D6" w:rsidRPr="009F34A0"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$544</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7D89EAF0" w14:textId="0EB7B668" w:rsidR="001610D6" w:rsidRPr="009F34A0"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$612</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F07041B" w14:textId="77777777" w:rsidR="001610D6" w:rsidRPr="009F34A0"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766396EB" w14:textId="77777777" w:rsidTr="00B64020">
        <w:trPr>
          <w:trHeight w:val="264"/>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7641680" w14:textId="20F16D31" w:rsidR="001610D6" w:rsidRPr="00E05DC8"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lastRenderedPageBreak/>
              <w:t>Request for continued examination (RCE) - 1st request (see 37 CFR 1.114)</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25BFDB55" w14:textId="77777777" w:rsidR="001610D6" w:rsidRPr="00E05DC8"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4C4E1383" w14:textId="38DD62E9" w:rsidR="001610D6" w:rsidRPr="00E05DC8"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$272</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6A4F54F1" w14:textId="20286827" w:rsidR="001610D6" w:rsidRPr="00E05DC8"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$306</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07A7EEA" w14:textId="77777777" w:rsidR="001610D6" w:rsidRPr="00E05DC8"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2AB276D2"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5A1B340" w14:textId="27C98CE2" w:rsidR="001610D6" w:rsidRPr="003F0BB4"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Request for continued examination (RCE) - 2nd and subsequent request (see 37 CFR 1.114)</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076689A0" w14:textId="77777777" w:rsidR="001610D6" w:rsidRPr="003F0BB4"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3BA7DC5" w14:textId="49305C09" w:rsidR="001610D6" w:rsidRPr="003F0BB4"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$2,000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24779C59" w14:textId="77777777" w:rsidR="001610D6" w:rsidRPr="003F0BB4"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$2,250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1BB5DB80" w14:textId="77777777" w:rsidR="001610D6" w:rsidRPr="003F0BB4"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3D429C94"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B852E68" w14:textId="5D518071" w:rsidR="001610D6" w:rsidRPr="008F2A18"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Request for continued examination (RCE) - 2nd and subsequent request (see 37 CFR 1.114)</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5F5216A2" w14:textId="77777777" w:rsidR="001610D6" w:rsidRPr="008F2A18"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6B3B304C" w14:textId="5F47A421" w:rsidR="001610D6" w:rsidRPr="008F2A18"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$800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58B8BF94" w14:textId="77777777" w:rsidR="001610D6" w:rsidRPr="008F2A18"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$900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429A873A" w14:textId="77777777" w:rsidR="001610D6" w:rsidRPr="008F2A18"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1964C9C0"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F7DB1CF" w14:textId="6B96A405" w:rsidR="001610D6" w:rsidRPr="00B72A9A"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Request for continued examination (RCE) - 2nd and subsequent request (see 37 CFR 1.114)</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541B1615" w14:textId="77777777" w:rsidR="001610D6" w:rsidRPr="00B72A9A"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E2B1333" w14:textId="5A705E2D" w:rsidR="001610D6" w:rsidRPr="00B72A9A"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$400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458C50C3" w14:textId="77777777" w:rsidR="001610D6" w:rsidRPr="00B72A9A"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$450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3031C63" w14:textId="77777777" w:rsidR="001610D6" w:rsidRPr="00B72A9A"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03076409"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A9C7EAD" w14:textId="77777777" w:rsidR="001610D6" w:rsidRPr="00B72A9A"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Basic national stage fee</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70B487F7" w14:textId="77777777" w:rsidR="001610D6" w:rsidRPr="00B72A9A"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58D0F5C1" w14:textId="23D9DC89" w:rsidR="001610D6" w:rsidRPr="00B72A9A"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$320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6370E406" w14:textId="77EE34BB" w:rsidR="001610D6" w:rsidRPr="00B72A9A"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$360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7CE89E21" w14:textId="77777777" w:rsidR="001610D6" w:rsidRPr="004B6EC6"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5CED525F"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D954D1D" w14:textId="77777777" w:rsidR="001610D6" w:rsidRPr="004B6EC6"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Basic national stage fee</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73BC32F1" w14:textId="77777777" w:rsidR="001610D6" w:rsidRPr="004B6EC6"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15FB3D7E" w14:textId="0869D649" w:rsidR="001610D6" w:rsidRPr="004B6EC6"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$128</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6272BAA7" w14:textId="5F4E54CE" w:rsidR="001610D6" w:rsidRPr="004B6EC6"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$144</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666F7521" w14:textId="77777777" w:rsidR="001610D6" w:rsidRPr="004B6EC6"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7B8F5460"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77DE91F" w14:textId="77777777" w:rsidR="001610D6" w:rsidRPr="004B6EC6"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Basic national stage fee</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5464FF3C" w14:textId="77777777" w:rsidR="001610D6" w:rsidRPr="004B6EC6"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41A08ABF" w14:textId="5B185C12" w:rsidR="001610D6" w:rsidRPr="004B6EC6"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$64</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46F79515" w14:textId="5090F455" w:rsidR="001610D6" w:rsidRPr="004B6EC6"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$72</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31F1C59" w14:textId="77777777" w:rsidR="001610D6" w:rsidRPr="004B6EC6"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37694717"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4A4E31B" w14:textId="4C6AC8B2" w:rsidR="001610D6" w:rsidRPr="005F0E48"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National stage search fee - search report prepared and provided to USPTO</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04A962F2" w14:textId="77777777" w:rsidR="001610D6" w:rsidRPr="005F0E48"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7145931C" w14:textId="63FA39E4" w:rsidR="001610D6" w:rsidRPr="005F0E48"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$540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15299807" w14:textId="118BD7F1" w:rsidR="001610D6" w:rsidRPr="005F0E48"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$610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77BA0BF2" w14:textId="77777777" w:rsidR="001610D6" w:rsidRPr="005F0E48"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5D84BE5C"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CD900B7" w14:textId="1074D392" w:rsidR="001610D6" w:rsidRPr="005F0E48"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National stage search fee - search report prepared and provided to USPTO</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0BFD51A3" w14:textId="77777777" w:rsidR="001610D6" w:rsidRPr="005F0E48"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103195F0" w14:textId="3CE7F28C" w:rsidR="001610D6" w:rsidRPr="005F0E48"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$216</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5951C2BF" w14:textId="2950AEF7" w:rsidR="001610D6" w:rsidRPr="005F0E48"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$244</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0A8F9D2" w14:textId="77777777" w:rsidR="001610D6" w:rsidRPr="005F0E48"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2F3E7879"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887BDCB" w14:textId="33E0A954" w:rsidR="001610D6" w:rsidRPr="005F0E48"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National stage search fee - search report prepared and provided to USPTO</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1A88DD94" w14:textId="77777777" w:rsidR="001610D6" w:rsidRPr="005F0E48"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FA93F86" w14:textId="175505DC" w:rsidR="001610D6" w:rsidRPr="005F0E48"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$108</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6AF6B977" w14:textId="33CE9161" w:rsidR="001610D6" w:rsidRPr="005F0E48"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$122</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1635F681" w14:textId="77777777" w:rsidR="001610D6" w:rsidRPr="005F0E48"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54E25C1F"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AA089FC" w14:textId="18F798C3" w:rsidR="001610D6" w:rsidRPr="005F0E48"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National stage examination fee - all other situations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4BDA3BB9" w14:textId="77777777" w:rsidR="001610D6" w:rsidRPr="005F0E48"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Undiscounted</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E32045F" w14:textId="16AC0285" w:rsidR="001610D6" w:rsidRPr="005F0E48"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$800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2FDE7406" w14:textId="5FE95858" w:rsidR="001610D6" w:rsidRPr="005F0E48"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$900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415D6E9" w14:textId="77777777" w:rsidR="001610D6" w:rsidRPr="005F0E48"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70E2376C"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AF4E2F0" w14:textId="4B24FA6D" w:rsidR="001610D6" w:rsidRPr="000844FD"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National stage examination fee - all other situations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6FB2C436" w14:textId="77777777" w:rsidR="001610D6" w:rsidRPr="000844FD"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Small</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381E4035" w14:textId="15EF125F" w:rsidR="001610D6" w:rsidRPr="000844FD"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$320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7B91FD01" w14:textId="0FA0774B" w:rsidR="001610D6" w:rsidRPr="000844FD"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$360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2AA401B5" w14:textId="77777777" w:rsidR="001610D6" w:rsidRPr="000844FD"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r w:rsidR="001610D6" w:rsidRPr="001610D6" w14:paraId="1D574AD2" w14:textId="77777777" w:rsidTr="00B64020">
        <w:trPr>
          <w:trHeight w:val="528"/>
          <w:jc w:val="center"/>
        </w:trPr>
        <w:tc>
          <w:tcPr>
            <w:tcW w:w="36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1750CB1" w14:textId="1AAE09FC" w:rsidR="001610D6" w:rsidRPr="000844FD"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National stage examination fee - all other situations</w:t>
            </w:r>
          </w:p>
        </w:tc>
        <w:tc>
          <w:tcPr>
            <w:tcW w:w="1651" w:type="dxa"/>
            <w:tcBorders>
              <w:top w:val="nil"/>
              <w:left w:val="nil"/>
              <w:bottom w:val="single" w:sz="4" w:space="0" w:color="auto"/>
              <w:right w:val="single" w:sz="4" w:space="0" w:color="auto"/>
            </w:tcBorders>
            <w:shd w:val="clear" w:color="auto" w:fill="FFFFFF" w:themeFill="background1"/>
            <w:vAlign w:val="center"/>
            <w:hideMark/>
          </w:tcPr>
          <w:p w14:paraId="7274AFD9" w14:textId="77777777" w:rsidR="001610D6" w:rsidRPr="000844FD" w:rsidRDefault="656441E1" w:rsidP="17CECF10">
            <w:pPr>
              <w:spacing w:line="240" w:lineRule="auto"/>
              <w:rPr>
                <w:rFonts w:ascii="Segoe UI" w:eastAsia="Segoe UI" w:hAnsi="Segoe UI" w:cs="Segoe UI"/>
                <w:szCs w:val="24"/>
              </w:rPr>
            </w:pPr>
            <w:r w:rsidRPr="17CECF10">
              <w:rPr>
                <w:rFonts w:ascii="Segoe UI" w:eastAsia="Segoe UI" w:hAnsi="Segoe UI" w:cs="Segoe UI"/>
                <w:sz w:val="22"/>
              </w:rPr>
              <w:t>Micro</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018B17F7" w14:textId="1A0D353E" w:rsidR="001610D6" w:rsidRPr="000844FD" w:rsidRDefault="656441E1" w:rsidP="0061637C">
            <w:pPr>
              <w:spacing w:line="240" w:lineRule="auto"/>
              <w:jc w:val="right"/>
              <w:rPr>
                <w:rFonts w:ascii="Segoe UI" w:eastAsia="Segoe UI" w:hAnsi="Segoe UI" w:cs="Segoe UI"/>
                <w:szCs w:val="24"/>
              </w:rPr>
            </w:pPr>
            <w:r w:rsidRPr="17CECF10">
              <w:rPr>
                <w:rFonts w:ascii="Segoe UI" w:eastAsia="Segoe UI" w:hAnsi="Segoe UI" w:cs="Segoe UI"/>
                <w:sz w:val="22"/>
              </w:rPr>
              <w:t>$160</w:t>
            </w:r>
          </w:p>
        </w:tc>
        <w:tc>
          <w:tcPr>
            <w:tcW w:w="1511" w:type="dxa"/>
            <w:tcBorders>
              <w:top w:val="nil"/>
              <w:left w:val="nil"/>
              <w:bottom w:val="single" w:sz="4" w:space="0" w:color="auto"/>
              <w:right w:val="single" w:sz="4" w:space="0" w:color="auto"/>
            </w:tcBorders>
            <w:shd w:val="clear" w:color="auto" w:fill="FFFFFF" w:themeFill="background1"/>
            <w:vAlign w:val="center"/>
            <w:hideMark/>
          </w:tcPr>
          <w:p w14:paraId="50230338" w14:textId="07C03975" w:rsidR="001610D6" w:rsidRPr="000844FD" w:rsidRDefault="656441E1" w:rsidP="008117B4">
            <w:pPr>
              <w:spacing w:line="240" w:lineRule="auto"/>
              <w:jc w:val="right"/>
              <w:rPr>
                <w:rFonts w:ascii="Segoe UI" w:eastAsia="Segoe UI" w:hAnsi="Segoe UI" w:cs="Segoe UI"/>
                <w:szCs w:val="24"/>
              </w:rPr>
            </w:pPr>
            <w:r w:rsidRPr="17CECF10">
              <w:rPr>
                <w:rFonts w:ascii="Segoe UI" w:eastAsia="Segoe UI" w:hAnsi="Segoe UI" w:cs="Segoe UI"/>
                <w:sz w:val="22"/>
              </w:rPr>
              <w:t>$180</w:t>
            </w:r>
          </w:p>
        </w:tc>
        <w:tc>
          <w:tcPr>
            <w:tcW w:w="1507" w:type="dxa"/>
            <w:tcBorders>
              <w:top w:val="nil"/>
              <w:left w:val="nil"/>
              <w:bottom w:val="single" w:sz="4" w:space="0" w:color="auto"/>
              <w:right w:val="single" w:sz="4" w:space="0" w:color="auto"/>
            </w:tcBorders>
            <w:shd w:val="clear" w:color="auto" w:fill="FFFFFF" w:themeFill="background1"/>
            <w:vAlign w:val="center"/>
            <w:hideMark/>
          </w:tcPr>
          <w:p w14:paraId="6A3F66CA" w14:textId="77777777" w:rsidR="001610D6" w:rsidRPr="000844FD" w:rsidRDefault="656441E1">
            <w:pPr>
              <w:spacing w:line="240" w:lineRule="auto"/>
              <w:jc w:val="right"/>
              <w:rPr>
                <w:rFonts w:ascii="Segoe UI" w:eastAsia="Segoe UI" w:hAnsi="Segoe UI" w:cs="Segoe UI"/>
                <w:szCs w:val="24"/>
              </w:rPr>
            </w:pPr>
            <w:r w:rsidRPr="17CECF10">
              <w:rPr>
                <w:rFonts w:ascii="Segoe UI" w:eastAsia="Segoe UI" w:hAnsi="Segoe UI" w:cs="Segoe UI"/>
                <w:sz w:val="22"/>
              </w:rPr>
              <w:t>13%</w:t>
            </w:r>
          </w:p>
        </w:tc>
      </w:tr>
    </w:tbl>
    <w:p w14:paraId="315F3CDD" w14:textId="785809C8" w:rsidR="00320E3B" w:rsidRPr="00CF6436" w:rsidRDefault="00320E3B" w:rsidP="001C36C8">
      <w:pPr>
        <w:keepNext/>
        <w:spacing w:line="360" w:lineRule="auto"/>
        <w:rPr>
          <w:rFonts w:ascii="Segoe UI" w:hAnsi="Segoe UI" w:cs="Segoe UI"/>
          <w:b/>
        </w:rPr>
      </w:pPr>
    </w:p>
    <w:p w14:paraId="0B0228C8" w14:textId="4400F885" w:rsidR="00244997" w:rsidRPr="00CF6436" w:rsidRDefault="00244997" w:rsidP="00EA247B">
      <w:pPr>
        <w:pStyle w:val="Heading3"/>
        <w:numPr>
          <w:ilvl w:val="2"/>
          <w:numId w:val="15"/>
        </w:numPr>
        <w:spacing w:line="360" w:lineRule="auto"/>
        <w:rPr>
          <w:rFonts w:ascii="Segoe UI" w:hAnsi="Segoe UI" w:cs="Segoe UI"/>
          <w:szCs w:val="24"/>
        </w:rPr>
      </w:pPr>
      <w:bookmarkStart w:id="311" w:name="_Toc324932314"/>
      <w:bookmarkStart w:id="312" w:name="_Toc324525701"/>
      <w:bookmarkStart w:id="313" w:name="_Toc324165142"/>
      <w:bookmarkStart w:id="314" w:name="_Toc325554083"/>
      <w:r w:rsidRPr="00CF6436">
        <w:rPr>
          <w:rFonts w:ascii="Segoe UI" w:hAnsi="Segoe UI" w:cs="Segoe UI"/>
          <w:szCs w:val="24"/>
        </w:rPr>
        <w:t xml:space="preserve">Costs for </w:t>
      </w:r>
      <w:r w:rsidR="001E1AD0">
        <w:rPr>
          <w:rFonts w:ascii="Segoe UI" w:hAnsi="Segoe UI" w:cs="Segoe UI"/>
          <w:szCs w:val="24"/>
        </w:rPr>
        <w:t>Across-the-Board Adjustment (</w:t>
      </w:r>
      <w:r w:rsidR="0016554B" w:rsidRPr="00CF6436">
        <w:rPr>
          <w:rFonts w:ascii="Segoe UI" w:hAnsi="Segoe UI" w:cs="Segoe UI"/>
          <w:szCs w:val="24"/>
        </w:rPr>
        <w:t>Alternative 3</w:t>
      </w:r>
      <w:r w:rsidR="001E1AD0">
        <w:rPr>
          <w:rFonts w:ascii="Segoe UI" w:hAnsi="Segoe UI" w:cs="Segoe UI"/>
          <w:szCs w:val="24"/>
        </w:rPr>
        <w:t>)</w:t>
      </w:r>
      <w:r w:rsidR="0016554B" w:rsidRPr="00CF6436">
        <w:rPr>
          <w:rFonts w:ascii="Segoe UI" w:hAnsi="Segoe UI" w:cs="Segoe UI"/>
          <w:szCs w:val="24"/>
        </w:rPr>
        <w:t>:</w:t>
      </w:r>
      <w:r w:rsidR="00080ECA" w:rsidRPr="00CF6436">
        <w:rPr>
          <w:rFonts w:ascii="Segoe UI" w:hAnsi="Segoe UI" w:cs="Segoe UI"/>
          <w:szCs w:val="24"/>
        </w:rPr>
        <w:t xml:space="preserve"> </w:t>
      </w:r>
      <w:r w:rsidR="0016554B" w:rsidRPr="00CF6436">
        <w:rPr>
          <w:rFonts w:ascii="Segoe UI" w:hAnsi="Segoe UI" w:cs="Segoe UI"/>
          <w:szCs w:val="24"/>
        </w:rPr>
        <w:t>Aggregate Increase in User Fee Payments</w:t>
      </w:r>
    </w:p>
    <w:p w14:paraId="696972A8" w14:textId="4260E0DC" w:rsidR="00ED0421" w:rsidRPr="00CF6436" w:rsidRDefault="001E1AD0" w:rsidP="00105A64">
      <w:pPr>
        <w:spacing w:line="360" w:lineRule="auto"/>
        <w:ind w:firstLine="450"/>
        <w:rPr>
          <w:rFonts w:ascii="Segoe UI" w:hAnsi="Segoe UI" w:cs="Segoe UI"/>
        </w:rPr>
      </w:pPr>
      <w:r>
        <w:rPr>
          <w:rFonts w:ascii="Segoe UI" w:hAnsi="Segoe UI" w:cs="Segoe UI"/>
        </w:rPr>
        <w:t xml:space="preserve">The USPTO identified no qualitative costs for </w:t>
      </w:r>
      <w:r w:rsidR="00ED0421" w:rsidRPr="00CF6436">
        <w:rPr>
          <w:rFonts w:ascii="Segoe UI" w:hAnsi="Segoe UI" w:cs="Segoe UI"/>
        </w:rPr>
        <w:t>the Across</w:t>
      </w:r>
      <w:r w:rsidR="00B32ABA" w:rsidRPr="00CF6436">
        <w:rPr>
          <w:rFonts w:ascii="Segoe UI" w:hAnsi="Segoe UI" w:cs="Segoe UI"/>
        </w:rPr>
        <w:t>-</w:t>
      </w:r>
      <w:r w:rsidR="00ED0421" w:rsidRPr="00CF6436">
        <w:rPr>
          <w:rFonts w:ascii="Segoe UI" w:hAnsi="Segoe UI" w:cs="Segoe UI"/>
        </w:rPr>
        <w:t>the</w:t>
      </w:r>
      <w:r w:rsidR="00B32ABA" w:rsidRPr="00CF6436">
        <w:rPr>
          <w:rFonts w:ascii="Segoe UI" w:hAnsi="Segoe UI" w:cs="Segoe UI"/>
        </w:rPr>
        <w:t>-</w:t>
      </w:r>
      <w:r w:rsidR="00ED0421" w:rsidRPr="00CF6436">
        <w:rPr>
          <w:rFonts w:ascii="Segoe UI" w:hAnsi="Segoe UI" w:cs="Segoe UI"/>
        </w:rPr>
        <w:t>Board Adjustment.</w:t>
      </w:r>
      <w:r w:rsidR="00080ECA" w:rsidRPr="00CF6436">
        <w:rPr>
          <w:rFonts w:ascii="Segoe UI" w:hAnsi="Segoe UI" w:cs="Segoe UI"/>
        </w:rPr>
        <w:t xml:space="preserve"> </w:t>
      </w:r>
      <w:r w:rsidR="00ED0421" w:rsidRPr="00CF6436">
        <w:rPr>
          <w:rFonts w:ascii="Segoe UI" w:hAnsi="Segoe UI" w:cs="Segoe UI"/>
        </w:rPr>
        <w:t xml:space="preserve">The fee rates recover enough aggregate revenue to support the </w:t>
      </w:r>
      <w:r w:rsidR="00C81416">
        <w:rPr>
          <w:rFonts w:ascii="Segoe UI" w:hAnsi="Segoe UI" w:cs="Segoe UI"/>
        </w:rPr>
        <w:t xml:space="preserve">agency’s </w:t>
      </w:r>
      <w:r w:rsidR="00C050A4" w:rsidRPr="00CF6436">
        <w:rPr>
          <w:rFonts w:ascii="Segoe UI" w:hAnsi="Segoe UI" w:cs="Segoe UI"/>
        </w:rPr>
        <w:t xml:space="preserve">strategic </w:t>
      </w:r>
      <w:r w:rsidR="00ED0421" w:rsidRPr="00CF6436">
        <w:rPr>
          <w:rFonts w:ascii="Segoe UI" w:hAnsi="Segoe UI" w:cs="Segoe UI"/>
        </w:rPr>
        <w:t>goals, and there is no cost to the fee schedule design.</w:t>
      </w:r>
    </w:p>
    <w:p w14:paraId="61E3DE93" w14:textId="77777777" w:rsidR="00244997" w:rsidRPr="00CF6436" w:rsidRDefault="00244997" w:rsidP="00CF6436">
      <w:pPr>
        <w:spacing w:line="360" w:lineRule="auto"/>
        <w:rPr>
          <w:rFonts w:ascii="Segoe UI" w:hAnsi="Segoe UI" w:cs="Segoe UI"/>
        </w:rPr>
      </w:pPr>
    </w:p>
    <w:p w14:paraId="7DDEA3B6" w14:textId="792A1C5E" w:rsidR="00624432" w:rsidRPr="00CF6436" w:rsidRDefault="00624432" w:rsidP="00EA247B">
      <w:pPr>
        <w:pStyle w:val="Heading3"/>
        <w:numPr>
          <w:ilvl w:val="2"/>
          <w:numId w:val="15"/>
        </w:numPr>
        <w:spacing w:line="360" w:lineRule="auto"/>
        <w:rPr>
          <w:rFonts w:ascii="Segoe UI" w:hAnsi="Segoe UI" w:cs="Segoe UI"/>
        </w:rPr>
      </w:pPr>
      <w:r w:rsidRPr="00CF6436">
        <w:rPr>
          <w:rFonts w:ascii="Segoe UI" w:hAnsi="Segoe UI" w:cs="Segoe UI"/>
        </w:rPr>
        <w:lastRenderedPageBreak/>
        <w:t>Benefits of</w:t>
      </w:r>
      <w:r w:rsidR="00C81416">
        <w:rPr>
          <w:rFonts w:ascii="Segoe UI" w:hAnsi="Segoe UI" w:cs="Segoe UI"/>
        </w:rPr>
        <w:t xml:space="preserve"> </w:t>
      </w:r>
      <w:r w:rsidRPr="00CF6436">
        <w:rPr>
          <w:rFonts w:ascii="Segoe UI" w:hAnsi="Segoe UI" w:cs="Segoe UI"/>
        </w:rPr>
        <w:t>Across</w:t>
      </w:r>
      <w:r w:rsidR="009969C1" w:rsidRPr="00CF6436">
        <w:rPr>
          <w:rFonts w:ascii="Segoe UI" w:hAnsi="Segoe UI" w:cs="Segoe UI"/>
        </w:rPr>
        <w:t>-</w:t>
      </w:r>
      <w:r w:rsidRPr="00CF6436">
        <w:rPr>
          <w:rFonts w:ascii="Segoe UI" w:hAnsi="Segoe UI" w:cs="Segoe UI"/>
        </w:rPr>
        <w:t>the</w:t>
      </w:r>
      <w:r w:rsidR="009969C1" w:rsidRPr="00CF6436">
        <w:rPr>
          <w:rFonts w:ascii="Segoe UI" w:hAnsi="Segoe UI" w:cs="Segoe UI"/>
        </w:rPr>
        <w:t>-</w:t>
      </w:r>
      <w:r w:rsidRPr="00CF6436">
        <w:rPr>
          <w:rFonts w:ascii="Segoe UI" w:hAnsi="Segoe UI" w:cs="Segoe UI"/>
        </w:rPr>
        <w:t xml:space="preserve">Board </w:t>
      </w:r>
      <w:r w:rsidR="00544ED3" w:rsidRPr="00CF6436">
        <w:rPr>
          <w:rFonts w:ascii="Segoe UI" w:hAnsi="Segoe UI" w:cs="Segoe UI"/>
        </w:rPr>
        <w:t>Adjustment</w:t>
      </w:r>
      <w:r w:rsidR="00C81416">
        <w:rPr>
          <w:rFonts w:ascii="Segoe UI" w:hAnsi="Segoe UI" w:cs="Segoe UI"/>
        </w:rPr>
        <w:t xml:space="preserve"> (Alternative 3)</w:t>
      </w:r>
    </w:p>
    <w:p w14:paraId="613B760D" w14:textId="72ABDF6F" w:rsidR="00097683" w:rsidRPr="00CF6436" w:rsidRDefault="00624432" w:rsidP="00105A64">
      <w:pPr>
        <w:spacing w:line="360" w:lineRule="auto"/>
        <w:ind w:firstLine="450"/>
        <w:rPr>
          <w:rFonts w:ascii="Segoe UI" w:hAnsi="Segoe UI" w:cs="Segoe UI"/>
        </w:rPr>
      </w:pPr>
      <w:r w:rsidRPr="038DD49E">
        <w:rPr>
          <w:rFonts w:ascii="Segoe UI" w:hAnsi="Segoe UI" w:cs="Segoe UI"/>
        </w:rPr>
        <w:t xml:space="preserve">When compared to the Baseline, </w:t>
      </w:r>
      <w:r w:rsidR="00C81416">
        <w:rPr>
          <w:rFonts w:ascii="Segoe UI" w:hAnsi="Segoe UI" w:cs="Segoe UI"/>
        </w:rPr>
        <w:t>the Across</w:t>
      </w:r>
      <w:r w:rsidR="007B7A92">
        <w:rPr>
          <w:rFonts w:ascii="Segoe UI" w:hAnsi="Segoe UI" w:cs="Segoe UI"/>
        </w:rPr>
        <w:t xml:space="preserve">-the-Board Adjustment </w:t>
      </w:r>
      <w:r w:rsidRPr="038DD49E">
        <w:rPr>
          <w:rFonts w:ascii="Segoe UI" w:hAnsi="Segoe UI" w:cs="Segoe UI"/>
        </w:rPr>
        <w:t>produce</w:t>
      </w:r>
      <w:r w:rsidR="007B7A92">
        <w:rPr>
          <w:rFonts w:ascii="Segoe UI" w:hAnsi="Segoe UI" w:cs="Segoe UI"/>
        </w:rPr>
        <w:t>s one benefit</w:t>
      </w:r>
      <w:r w:rsidR="00AE2DD1" w:rsidRPr="038DD49E">
        <w:rPr>
          <w:rFonts w:ascii="Segoe UI" w:hAnsi="Segoe UI" w:cs="Segoe UI"/>
        </w:rPr>
        <w:t>—</w:t>
      </w:r>
      <w:r w:rsidR="00931EAB" w:rsidRPr="038DD49E">
        <w:rPr>
          <w:rFonts w:ascii="Segoe UI" w:hAnsi="Segoe UI" w:cs="Segoe UI"/>
        </w:rPr>
        <w:t xml:space="preserve">securing </w:t>
      </w:r>
      <w:r w:rsidR="007B7A92">
        <w:rPr>
          <w:rFonts w:ascii="Segoe UI" w:hAnsi="Segoe UI" w:cs="Segoe UI"/>
        </w:rPr>
        <w:t xml:space="preserve">adequate </w:t>
      </w:r>
      <w:r w:rsidR="00D51C62" w:rsidRPr="038DD49E">
        <w:rPr>
          <w:rFonts w:ascii="Segoe UI" w:hAnsi="Segoe UI" w:cs="Segoe UI"/>
        </w:rPr>
        <w:t>aggregate</w:t>
      </w:r>
      <w:r w:rsidR="00931EAB" w:rsidRPr="038DD49E">
        <w:rPr>
          <w:rFonts w:ascii="Segoe UI" w:hAnsi="Segoe UI" w:cs="Segoe UI"/>
        </w:rPr>
        <w:t xml:space="preserve"> revenue to </w:t>
      </w:r>
      <w:r w:rsidR="004D4D28" w:rsidRPr="038DD49E">
        <w:rPr>
          <w:rFonts w:ascii="Segoe UI" w:hAnsi="Segoe UI" w:cs="Segoe UI"/>
        </w:rPr>
        <w:t>re</w:t>
      </w:r>
      <w:r w:rsidR="00931EAB" w:rsidRPr="038DD49E">
        <w:rPr>
          <w:rFonts w:ascii="Segoe UI" w:hAnsi="Segoe UI" w:cs="Segoe UI"/>
        </w:rPr>
        <w:t>cover aggregate costs</w:t>
      </w:r>
      <w:r w:rsidR="00E410AD" w:rsidRPr="038DD49E">
        <w:rPr>
          <w:rFonts w:ascii="Segoe UI" w:hAnsi="Segoe UI" w:cs="Segoe UI"/>
        </w:rPr>
        <w:t>.</w:t>
      </w:r>
      <w:r w:rsidR="00080ECA" w:rsidRPr="038DD49E">
        <w:rPr>
          <w:rFonts w:ascii="Segoe UI" w:hAnsi="Segoe UI" w:cs="Segoe UI"/>
        </w:rPr>
        <w:t xml:space="preserve"> </w:t>
      </w:r>
      <w:r w:rsidR="00E410AD" w:rsidRPr="038DD49E">
        <w:rPr>
          <w:rFonts w:ascii="Segoe UI" w:hAnsi="Segoe UI" w:cs="Segoe UI"/>
        </w:rPr>
        <w:t>Th</w:t>
      </w:r>
      <w:r w:rsidR="007B7A92">
        <w:rPr>
          <w:rFonts w:ascii="Segoe UI" w:hAnsi="Segoe UI" w:cs="Segoe UI"/>
        </w:rPr>
        <w:t>is</w:t>
      </w:r>
      <w:r w:rsidR="00663D7F" w:rsidRPr="038DD49E">
        <w:rPr>
          <w:rFonts w:ascii="Segoe UI" w:hAnsi="Segoe UI" w:cs="Segoe UI"/>
        </w:rPr>
        <w:t xml:space="preserve"> benefit</w:t>
      </w:r>
      <w:r w:rsidR="00E410AD" w:rsidRPr="038DD49E">
        <w:rPr>
          <w:rFonts w:ascii="Segoe UI" w:hAnsi="Segoe UI" w:cs="Segoe UI"/>
        </w:rPr>
        <w:t xml:space="preserve"> is significant, as it would </w:t>
      </w:r>
      <w:r w:rsidR="000A61E6" w:rsidRPr="038DD49E">
        <w:rPr>
          <w:rFonts w:ascii="Segoe UI" w:hAnsi="Segoe UI" w:cs="Segoe UI"/>
        </w:rPr>
        <w:t xml:space="preserve">allow </w:t>
      </w:r>
      <w:r w:rsidR="00AE03C2" w:rsidRPr="038DD49E">
        <w:rPr>
          <w:rFonts w:ascii="Segoe UI" w:hAnsi="Segoe UI" w:cs="Segoe UI"/>
        </w:rPr>
        <w:t>for reduced barriers to innovation, cultivating access and inclusion in the IP ecosystem</w:t>
      </w:r>
      <w:r w:rsidR="00F04C57">
        <w:rPr>
          <w:rFonts w:ascii="Segoe UI" w:hAnsi="Segoe UI" w:cs="Segoe UI"/>
        </w:rPr>
        <w:t>,</w:t>
      </w:r>
      <w:r w:rsidR="00AE03C2" w:rsidRPr="038DD49E">
        <w:rPr>
          <w:rFonts w:ascii="Segoe UI" w:hAnsi="Segoe UI" w:cs="Segoe UI"/>
        </w:rPr>
        <w:t xml:space="preserve"> and deliver</w:t>
      </w:r>
      <w:r w:rsidR="00E324C8">
        <w:rPr>
          <w:rFonts w:ascii="Segoe UI" w:hAnsi="Segoe UI" w:cs="Segoe UI"/>
        </w:rPr>
        <w:t xml:space="preserve"> </w:t>
      </w:r>
      <w:r w:rsidR="00AE03C2" w:rsidRPr="038DD49E">
        <w:rPr>
          <w:rFonts w:ascii="Segoe UI" w:hAnsi="Segoe UI" w:cs="Segoe UI"/>
        </w:rPr>
        <w:t>timely, eff</w:t>
      </w:r>
      <w:r w:rsidR="32C2DE9C" w:rsidRPr="038DD49E">
        <w:rPr>
          <w:rFonts w:ascii="Segoe UI" w:hAnsi="Segoe UI" w:cs="Segoe UI"/>
        </w:rPr>
        <w:t>i</w:t>
      </w:r>
      <w:r w:rsidR="00AE03C2" w:rsidRPr="038DD49E">
        <w:rPr>
          <w:rFonts w:ascii="Segoe UI" w:hAnsi="Segoe UI" w:cs="Segoe UI"/>
        </w:rPr>
        <w:t xml:space="preserve">cient services through </w:t>
      </w:r>
      <w:r w:rsidR="00E324C8">
        <w:rPr>
          <w:rFonts w:ascii="Segoe UI" w:hAnsi="Segoe UI" w:cs="Segoe UI"/>
        </w:rPr>
        <w:t>optimiz</w:t>
      </w:r>
      <w:r w:rsidR="00A11D6F">
        <w:rPr>
          <w:rFonts w:ascii="Segoe UI" w:hAnsi="Segoe UI" w:cs="Segoe UI"/>
        </w:rPr>
        <w:t>ing</w:t>
      </w:r>
      <w:r w:rsidR="00E324C8">
        <w:rPr>
          <w:rFonts w:ascii="Segoe UI" w:hAnsi="Segoe UI" w:cs="Segoe UI"/>
        </w:rPr>
        <w:t xml:space="preserve"> agency </w:t>
      </w:r>
      <w:r w:rsidR="00AE03C2" w:rsidRPr="038DD49E">
        <w:rPr>
          <w:rFonts w:ascii="Segoe UI" w:hAnsi="Segoe UI" w:cs="Segoe UI"/>
        </w:rPr>
        <w:t xml:space="preserve">technology, practices, policies, and rules. The </w:t>
      </w:r>
      <w:r w:rsidR="004A7F5A">
        <w:rPr>
          <w:rFonts w:ascii="Segoe UI" w:hAnsi="Segoe UI" w:cs="Segoe UI"/>
        </w:rPr>
        <w:t xml:space="preserve">Across-the-Board Adjustment </w:t>
      </w:r>
      <w:r w:rsidR="00AE03C2" w:rsidRPr="038DD49E">
        <w:rPr>
          <w:rFonts w:ascii="Segoe UI" w:hAnsi="Segoe UI" w:cs="Segoe UI"/>
        </w:rPr>
        <w:t>fee</w:t>
      </w:r>
      <w:r w:rsidR="004A7F5A">
        <w:rPr>
          <w:rFonts w:ascii="Segoe UI" w:hAnsi="Segoe UI" w:cs="Segoe UI"/>
        </w:rPr>
        <w:t xml:space="preserve"> schedule </w:t>
      </w:r>
      <w:r w:rsidR="00964AC0" w:rsidRPr="038DD49E">
        <w:rPr>
          <w:rFonts w:ascii="Segoe UI" w:hAnsi="Segoe UI" w:cs="Segoe UI"/>
        </w:rPr>
        <w:t>would</w:t>
      </w:r>
      <w:r w:rsidR="00AE03C2" w:rsidRPr="038DD49E">
        <w:rPr>
          <w:rFonts w:ascii="Segoe UI" w:hAnsi="Segoe UI" w:cs="Segoe UI"/>
        </w:rPr>
        <w:t xml:space="preserve"> help promote clear, enforceable patents that are essential to </w:t>
      </w:r>
      <w:r w:rsidR="004A7F5A">
        <w:rPr>
          <w:rFonts w:ascii="Segoe UI" w:hAnsi="Segoe UI" w:cs="Segoe UI"/>
        </w:rPr>
        <w:t xml:space="preserve">U.S. </w:t>
      </w:r>
      <w:r w:rsidR="00AE03C2" w:rsidRPr="038DD49E">
        <w:rPr>
          <w:rFonts w:ascii="Segoe UI" w:hAnsi="Segoe UI" w:cs="Segoe UI"/>
        </w:rPr>
        <w:t>economic growth, global competitiveness, and promoting innovation</w:t>
      </w:r>
      <w:r w:rsidR="000A61E6" w:rsidRPr="038DD49E">
        <w:rPr>
          <w:rFonts w:ascii="Segoe UI" w:hAnsi="Segoe UI" w:cs="Segoe UI"/>
        </w:rPr>
        <w:t>.</w:t>
      </w:r>
      <w:r w:rsidR="00080ECA" w:rsidRPr="038DD49E">
        <w:rPr>
          <w:rFonts w:ascii="Segoe UI" w:hAnsi="Segoe UI" w:cs="Segoe UI"/>
        </w:rPr>
        <w:t xml:space="preserve"> </w:t>
      </w:r>
      <w:r w:rsidR="004A7F5A">
        <w:rPr>
          <w:rFonts w:ascii="Segoe UI" w:hAnsi="Segoe UI" w:cs="Segoe UI"/>
        </w:rPr>
        <w:t xml:space="preserve">In addition, the </w:t>
      </w:r>
      <w:r w:rsidR="00E410AD" w:rsidRPr="038DD49E">
        <w:rPr>
          <w:rFonts w:ascii="Segoe UI" w:hAnsi="Segoe UI" w:cs="Segoe UI"/>
        </w:rPr>
        <w:t>operating reserve</w:t>
      </w:r>
      <w:r w:rsidR="00444D5A" w:rsidRPr="038DD49E">
        <w:rPr>
          <w:rFonts w:ascii="Segoe UI" w:hAnsi="Segoe UI" w:cs="Segoe UI"/>
        </w:rPr>
        <w:t xml:space="preserve"> balance</w:t>
      </w:r>
      <w:r w:rsidR="00F279B6">
        <w:rPr>
          <w:rFonts w:ascii="Segoe UI" w:hAnsi="Segoe UI" w:cs="Segoe UI"/>
        </w:rPr>
        <w:t xml:space="preserve">s </w:t>
      </w:r>
      <w:r w:rsidR="00444D5A" w:rsidRPr="038DD49E">
        <w:rPr>
          <w:rFonts w:ascii="Segoe UI" w:hAnsi="Segoe UI" w:cs="Segoe UI"/>
        </w:rPr>
        <w:t>would enable the USPTO to predictably finance the agency’s daily operations and mitigate f</w:t>
      </w:r>
      <w:r w:rsidR="75C5CD1F" w:rsidRPr="038DD49E">
        <w:rPr>
          <w:rFonts w:ascii="Segoe UI" w:hAnsi="Segoe UI" w:cs="Segoe UI"/>
        </w:rPr>
        <w:t>i</w:t>
      </w:r>
      <w:r w:rsidR="00444D5A" w:rsidRPr="038DD49E">
        <w:rPr>
          <w:rFonts w:ascii="Segoe UI" w:hAnsi="Segoe UI" w:cs="Segoe UI"/>
        </w:rPr>
        <w:t>nancial risks</w:t>
      </w:r>
      <w:r w:rsidR="00A15266" w:rsidRPr="038DD49E">
        <w:rPr>
          <w:rFonts w:ascii="Segoe UI" w:hAnsi="Segoe UI" w:cs="Segoe UI"/>
        </w:rPr>
        <w:t>.</w:t>
      </w:r>
      <w:r w:rsidR="00A145C1" w:rsidRPr="00A145C1">
        <w:t xml:space="preserve"> </w:t>
      </w:r>
      <w:r w:rsidR="00F51612">
        <w:rPr>
          <w:rFonts w:ascii="Segoe UI" w:hAnsi="Segoe UI" w:cs="Segoe UI"/>
        </w:rPr>
        <w:t xml:space="preserve">The Across-the-Board Adjustment </w:t>
      </w:r>
      <w:r w:rsidR="00A145C1" w:rsidRPr="00A145C1">
        <w:rPr>
          <w:rFonts w:ascii="Segoe UI" w:hAnsi="Segoe UI" w:cs="Segoe UI"/>
        </w:rPr>
        <w:t>nevertheless fails to implement policy factors and deliver benefits beyond what exists in the Baseline fee schedule (</w:t>
      </w:r>
      <w:r w:rsidR="00A145C1" w:rsidRPr="00795274">
        <w:rPr>
          <w:rFonts w:ascii="Segoe UI" w:hAnsi="Segoe UI" w:cs="Segoe UI"/>
        </w:rPr>
        <w:t>e.g.</w:t>
      </w:r>
      <w:r w:rsidR="00A145C1" w:rsidRPr="00A145C1">
        <w:rPr>
          <w:rFonts w:ascii="Segoe UI" w:hAnsi="Segoe UI" w:cs="Segoe UI"/>
        </w:rPr>
        <w:t>, no fee adjustments t</w:t>
      </w:r>
      <w:r w:rsidR="00F51612">
        <w:rPr>
          <w:rFonts w:ascii="Segoe UI" w:hAnsi="Segoe UI" w:cs="Segoe UI"/>
        </w:rPr>
        <w:t>hat</w:t>
      </w:r>
      <w:r w:rsidR="00A145C1" w:rsidRPr="00A145C1">
        <w:rPr>
          <w:rFonts w:ascii="Segoe UI" w:hAnsi="Segoe UI" w:cs="Segoe UI"/>
        </w:rPr>
        <w:t xml:space="preserve"> offer patent prosecution options or facilitate more effective administration of the patent system).</w:t>
      </w:r>
    </w:p>
    <w:p w14:paraId="6CD0EF8C" w14:textId="527EE438" w:rsidR="038DD49E" w:rsidRDefault="038DD49E" w:rsidP="038DD49E">
      <w:pPr>
        <w:spacing w:line="360" w:lineRule="auto"/>
        <w:ind w:firstLine="720"/>
        <w:rPr>
          <w:rFonts w:ascii="Segoe UI" w:hAnsi="Segoe UI" w:cs="Segoe UI"/>
        </w:rPr>
      </w:pPr>
    </w:p>
    <w:p w14:paraId="412CB128" w14:textId="082B7B36" w:rsidR="00CB4DAC" w:rsidRPr="00CF6436" w:rsidRDefault="00316950" w:rsidP="00EA247B">
      <w:pPr>
        <w:pStyle w:val="Heading1"/>
        <w:numPr>
          <w:ilvl w:val="0"/>
          <w:numId w:val="7"/>
        </w:numPr>
        <w:spacing w:before="0" w:after="240" w:line="360" w:lineRule="auto"/>
        <w:rPr>
          <w:rFonts w:ascii="Segoe UI" w:hAnsi="Segoe UI" w:cs="Segoe UI"/>
        </w:rPr>
      </w:pPr>
      <w:bookmarkStart w:id="315" w:name="_Toc451952839"/>
      <w:bookmarkStart w:id="316" w:name="_Toc175640434"/>
      <w:bookmarkStart w:id="317" w:name="_Toc324165163"/>
      <w:bookmarkStart w:id="318" w:name="_Toc324932334"/>
      <w:bookmarkStart w:id="319" w:name="_Toc324525721"/>
      <w:bookmarkEnd w:id="143"/>
      <w:bookmarkEnd w:id="311"/>
      <w:bookmarkEnd w:id="312"/>
      <w:bookmarkEnd w:id="313"/>
      <w:bookmarkEnd w:id="314"/>
      <w:r w:rsidRPr="31665127">
        <w:rPr>
          <w:rFonts w:ascii="Segoe UI" w:hAnsi="Segoe UI" w:cs="Segoe UI"/>
        </w:rPr>
        <w:lastRenderedPageBreak/>
        <w:t>ACHIE</w:t>
      </w:r>
      <w:r w:rsidR="00E95A60" w:rsidRPr="31665127">
        <w:rPr>
          <w:rFonts w:ascii="Segoe UI" w:hAnsi="Segoe UI" w:cs="Segoe UI"/>
        </w:rPr>
        <w:t xml:space="preserve">VEMENT </w:t>
      </w:r>
      <w:r w:rsidR="00153284" w:rsidRPr="31665127">
        <w:rPr>
          <w:rFonts w:ascii="Segoe UI" w:hAnsi="Segoe UI" w:cs="Segoe UI"/>
        </w:rPr>
        <w:t xml:space="preserve">OF </w:t>
      </w:r>
      <w:r w:rsidR="000F20DC">
        <w:rPr>
          <w:rFonts w:ascii="Segoe UI" w:hAnsi="Segoe UI" w:cs="Segoe UI"/>
        </w:rPr>
        <w:t>FINAL</w:t>
      </w:r>
      <w:r w:rsidR="00A0313F" w:rsidRPr="31665127">
        <w:rPr>
          <w:rFonts w:ascii="Segoe UI" w:hAnsi="Segoe UI" w:cs="Segoe UI"/>
        </w:rPr>
        <w:t xml:space="preserve"> RULE</w:t>
      </w:r>
      <w:r w:rsidR="00153284" w:rsidRPr="31665127">
        <w:rPr>
          <w:rFonts w:ascii="Segoe UI" w:hAnsi="Segoe UI" w:cs="Segoe UI"/>
        </w:rPr>
        <w:t xml:space="preserve"> </w:t>
      </w:r>
      <w:r w:rsidR="00912277" w:rsidRPr="31665127">
        <w:rPr>
          <w:rFonts w:ascii="Segoe UI" w:hAnsi="Segoe UI" w:cs="Segoe UI"/>
        </w:rPr>
        <w:t xml:space="preserve">STRATEGIES AND </w:t>
      </w:r>
      <w:r w:rsidR="00153284" w:rsidRPr="31665127">
        <w:rPr>
          <w:rFonts w:ascii="Segoe UI" w:hAnsi="Segoe UI" w:cs="Segoe UI"/>
        </w:rPr>
        <w:t>GOALS</w:t>
      </w:r>
      <w:bookmarkEnd w:id="315"/>
      <w:bookmarkEnd w:id="316"/>
    </w:p>
    <w:p w14:paraId="6A951C9A" w14:textId="4E9C1472" w:rsidR="007F077D" w:rsidRPr="00CF6436" w:rsidRDefault="007F077D" w:rsidP="00CF6436">
      <w:pPr>
        <w:pStyle w:val="Heading2Number"/>
        <w:spacing w:line="360" w:lineRule="auto"/>
        <w:rPr>
          <w:rFonts w:ascii="Segoe UI" w:hAnsi="Segoe UI" w:cs="Segoe UI"/>
        </w:rPr>
      </w:pPr>
      <w:bookmarkStart w:id="320" w:name="_Toc175640435"/>
      <w:r w:rsidRPr="31665127">
        <w:rPr>
          <w:rFonts w:ascii="Segoe UI" w:hAnsi="Segoe UI" w:cs="Segoe UI"/>
        </w:rPr>
        <w:t xml:space="preserve">Achievement of </w:t>
      </w:r>
      <w:r w:rsidR="000F20DC">
        <w:rPr>
          <w:rFonts w:ascii="Segoe UI" w:hAnsi="Segoe UI" w:cs="Segoe UI"/>
        </w:rPr>
        <w:t>Final</w:t>
      </w:r>
      <w:r w:rsidR="00A0313F" w:rsidRPr="31665127">
        <w:rPr>
          <w:rFonts w:ascii="Segoe UI" w:hAnsi="Segoe UI" w:cs="Segoe UI"/>
        </w:rPr>
        <w:t xml:space="preserve"> Rule</w:t>
      </w:r>
      <w:r w:rsidRPr="31665127">
        <w:rPr>
          <w:rFonts w:ascii="Segoe UI" w:hAnsi="Segoe UI" w:cs="Segoe UI"/>
        </w:rPr>
        <w:t xml:space="preserve"> Strategies and Goals</w:t>
      </w:r>
      <w:bookmarkEnd w:id="320"/>
    </w:p>
    <w:p w14:paraId="7838A241" w14:textId="7AEE67F6" w:rsidR="00007C9F" w:rsidRPr="00CF6436" w:rsidRDefault="2EEF14A3" w:rsidP="00F94DA4">
      <w:pPr>
        <w:spacing w:line="360" w:lineRule="auto"/>
        <w:ind w:firstLine="450"/>
        <w:rPr>
          <w:rFonts w:ascii="Segoe UI" w:hAnsi="Segoe UI" w:cs="Segoe UI"/>
        </w:rPr>
      </w:pPr>
      <w:r w:rsidRPr="4196D2B1">
        <w:rPr>
          <w:rFonts w:ascii="Segoe UI" w:hAnsi="Segoe UI" w:cs="Segoe UI"/>
        </w:rPr>
        <w:t xml:space="preserve">Given the economic significance of </w:t>
      </w:r>
      <w:r w:rsidR="0BEC4B60" w:rsidRPr="4196D2B1">
        <w:rPr>
          <w:rFonts w:ascii="Segoe UI" w:hAnsi="Segoe UI" w:cs="Segoe UI"/>
        </w:rPr>
        <w:t>th</w:t>
      </w:r>
      <w:r w:rsidR="49B158E7" w:rsidRPr="4196D2B1">
        <w:rPr>
          <w:rFonts w:ascii="Segoe UI" w:hAnsi="Segoe UI" w:cs="Segoe UI"/>
        </w:rPr>
        <w:t>e</w:t>
      </w:r>
      <w:r w:rsidR="000E20E9">
        <w:rPr>
          <w:rFonts w:ascii="Segoe UI" w:hAnsi="Segoe UI" w:cs="Segoe UI"/>
        </w:rPr>
        <w:t xml:space="preserve"> final rule</w:t>
      </w:r>
      <w:r w:rsidRPr="4196D2B1">
        <w:rPr>
          <w:rFonts w:ascii="Segoe UI" w:hAnsi="Segoe UI" w:cs="Segoe UI"/>
        </w:rPr>
        <w:t>, th</w:t>
      </w:r>
      <w:r w:rsidR="2094B7E9" w:rsidRPr="4196D2B1">
        <w:rPr>
          <w:rFonts w:ascii="Segoe UI" w:hAnsi="Segoe UI" w:cs="Segoe UI"/>
        </w:rPr>
        <w:t>is</w:t>
      </w:r>
      <w:r w:rsidRPr="4196D2B1">
        <w:rPr>
          <w:rFonts w:ascii="Segoe UI" w:hAnsi="Segoe UI" w:cs="Segoe UI"/>
        </w:rPr>
        <w:t xml:space="preserve"> </w:t>
      </w:r>
      <w:r w:rsidR="2094B7E9" w:rsidRPr="4196D2B1">
        <w:rPr>
          <w:rFonts w:ascii="Segoe UI" w:hAnsi="Segoe UI" w:cs="Segoe UI"/>
        </w:rPr>
        <w:t xml:space="preserve">RIA </w:t>
      </w:r>
      <w:r w:rsidR="610AAA95" w:rsidRPr="4196D2B1">
        <w:rPr>
          <w:rFonts w:ascii="Segoe UI" w:hAnsi="Segoe UI" w:cs="Segoe UI"/>
        </w:rPr>
        <w:t xml:space="preserve">analyzed four alternatives for </w:t>
      </w:r>
      <w:r w:rsidR="00152C57">
        <w:rPr>
          <w:rFonts w:ascii="Segoe UI" w:hAnsi="Segoe UI" w:cs="Segoe UI"/>
        </w:rPr>
        <w:t xml:space="preserve">their alignment </w:t>
      </w:r>
      <w:r w:rsidR="4C071EB7" w:rsidRPr="4196D2B1">
        <w:rPr>
          <w:rFonts w:ascii="Segoe UI" w:hAnsi="Segoe UI" w:cs="Segoe UI"/>
        </w:rPr>
        <w:t xml:space="preserve">with </w:t>
      </w:r>
      <w:r w:rsidR="610AAA95" w:rsidRPr="4196D2B1">
        <w:rPr>
          <w:rFonts w:ascii="Segoe UI" w:hAnsi="Segoe UI" w:cs="Segoe UI"/>
        </w:rPr>
        <w:t xml:space="preserve">the </w:t>
      </w:r>
      <w:r w:rsidR="2094B7E9" w:rsidRPr="4196D2B1">
        <w:rPr>
          <w:rFonts w:ascii="Segoe UI" w:hAnsi="Segoe UI" w:cs="Segoe UI"/>
        </w:rPr>
        <w:t>USPTO’s</w:t>
      </w:r>
      <w:r w:rsidR="610AAA95" w:rsidRPr="4196D2B1">
        <w:rPr>
          <w:rFonts w:ascii="Segoe UI" w:hAnsi="Segoe UI" w:cs="Segoe UI"/>
        </w:rPr>
        <w:t xml:space="preserve"> rulemaking </w:t>
      </w:r>
      <w:r w:rsidR="2AC571F0" w:rsidRPr="4196D2B1">
        <w:rPr>
          <w:rFonts w:ascii="Segoe UI" w:hAnsi="Segoe UI" w:cs="Segoe UI"/>
        </w:rPr>
        <w:t xml:space="preserve">goals and </w:t>
      </w:r>
      <w:r w:rsidR="610AAA95" w:rsidRPr="4196D2B1">
        <w:rPr>
          <w:rFonts w:ascii="Segoe UI" w:hAnsi="Segoe UI" w:cs="Segoe UI"/>
        </w:rPr>
        <w:t>strategies</w:t>
      </w:r>
      <w:r w:rsidRPr="4196D2B1">
        <w:rPr>
          <w:rFonts w:ascii="Segoe UI" w:hAnsi="Segoe UI" w:cs="Segoe UI"/>
        </w:rPr>
        <w:t>.</w:t>
      </w:r>
      <w:r w:rsidR="076FC9C8" w:rsidRPr="4196D2B1">
        <w:rPr>
          <w:rFonts w:ascii="Segoe UI" w:hAnsi="Segoe UI" w:cs="Segoe UI"/>
        </w:rPr>
        <w:t xml:space="preserve"> </w:t>
      </w:r>
      <w:r w:rsidRPr="4196D2B1">
        <w:rPr>
          <w:rFonts w:ascii="Segoe UI" w:hAnsi="Segoe UI" w:cs="Segoe UI"/>
        </w:rPr>
        <w:t xml:space="preserve">As noted throughout this document, the </w:t>
      </w:r>
      <w:r w:rsidR="00152C57">
        <w:rPr>
          <w:rFonts w:ascii="Segoe UI" w:hAnsi="Segoe UI" w:cs="Segoe UI"/>
        </w:rPr>
        <w:t xml:space="preserve">agency’s </w:t>
      </w:r>
      <w:r w:rsidRPr="4196D2B1">
        <w:rPr>
          <w:rFonts w:ascii="Segoe UI" w:hAnsi="Segoe UI" w:cs="Segoe UI"/>
        </w:rPr>
        <w:t xml:space="preserve">rulemaking </w:t>
      </w:r>
      <w:r w:rsidR="0F0F3FD9" w:rsidRPr="4196D2B1">
        <w:rPr>
          <w:rFonts w:ascii="Segoe UI" w:hAnsi="Segoe UI" w:cs="Segoe UI"/>
        </w:rPr>
        <w:t xml:space="preserve">goals and </w:t>
      </w:r>
      <w:r w:rsidRPr="4196D2B1">
        <w:rPr>
          <w:rFonts w:ascii="Segoe UI" w:hAnsi="Segoe UI" w:cs="Segoe UI"/>
        </w:rPr>
        <w:t xml:space="preserve">strategies </w:t>
      </w:r>
      <w:r w:rsidR="610AAA95" w:rsidRPr="4196D2B1">
        <w:rPr>
          <w:rFonts w:ascii="Segoe UI" w:hAnsi="Segoe UI" w:cs="Segoe UI"/>
        </w:rPr>
        <w:t>are comprised of strategic priorities from the Strategic Plan and fee setting policy factors.</w:t>
      </w:r>
      <w:r w:rsidR="076FC9C8" w:rsidRPr="4196D2B1">
        <w:rPr>
          <w:rFonts w:ascii="Segoe UI" w:hAnsi="Segoe UI" w:cs="Segoe UI"/>
        </w:rPr>
        <w:t xml:space="preserve"> </w:t>
      </w:r>
      <w:r w:rsidR="47A14D9F" w:rsidRPr="4196D2B1">
        <w:rPr>
          <w:rFonts w:ascii="Segoe UI" w:hAnsi="Segoe UI" w:cs="Segoe UI"/>
        </w:rPr>
        <w:t xml:space="preserve">Based on the costs and benefits identified </w:t>
      </w:r>
      <w:r w:rsidR="4C071EB7" w:rsidRPr="4196D2B1">
        <w:rPr>
          <w:rFonts w:ascii="Segoe UI" w:hAnsi="Segoe UI" w:cs="Segoe UI"/>
        </w:rPr>
        <w:t xml:space="preserve">in </w:t>
      </w:r>
      <w:r w:rsidR="47A14D9F" w:rsidRPr="4196D2B1">
        <w:rPr>
          <w:rFonts w:ascii="Segoe UI" w:hAnsi="Segoe UI" w:cs="Segoe UI"/>
        </w:rPr>
        <w:t>this RIA, namely (1) fee schedule design</w:t>
      </w:r>
      <w:r w:rsidR="1C52A12C" w:rsidRPr="4196D2B1">
        <w:rPr>
          <w:rFonts w:ascii="Segoe UI" w:hAnsi="Segoe UI" w:cs="Segoe UI"/>
        </w:rPr>
        <w:t xml:space="preserve"> and</w:t>
      </w:r>
      <w:r w:rsidR="47A14D9F" w:rsidRPr="4196D2B1">
        <w:rPr>
          <w:rFonts w:ascii="Segoe UI" w:hAnsi="Segoe UI" w:cs="Segoe UI"/>
        </w:rPr>
        <w:t xml:space="preserve"> (2) securing aggregate revenue to </w:t>
      </w:r>
      <w:r w:rsidR="488DE0E0" w:rsidRPr="4196D2B1">
        <w:rPr>
          <w:rFonts w:ascii="Segoe UI" w:hAnsi="Segoe UI" w:cs="Segoe UI"/>
        </w:rPr>
        <w:t>re</w:t>
      </w:r>
      <w:r w:rsidR="47A14D9F" w:rsidRPr="4196D2B1">
        <w:rPr>
          <w:rFonts w:ascii="Segoe UI" w:hAnsi="Segoe UI" w:cs="Segoe UI"/>
        </w:rPr>
        <w:t>cover aggregate cost</w:t>
      </w:r>
      <w:r w:rsidR="4C071EB7" w:rsidRPr="4196D2B1">
        <w:rPr>
          <w:rFonts w:ascii="Segoe UI" w:hAnsi="Segoe UI" w:cs="Segoe UI"/>
        </w:rPr>
        <w:t>s</w:t>
      </w:r>
      <w:r w:rsidR="47A14D9F" w:rsidRPr="4196D2B1">
        <w:rPr>
          <w:rFonts w:ascii="Segoe UI" w:hAnsi="Segoe UI" w:cs="Segoe UI"/>
        </w:rPr>
        <w:t xml:space="preserve">, </w:t>
      </w:r>
      <w:r w:rsidR="308749AB" w:rsidRPr="4196D2B1">
        <w:rPr>
          <w:rFonts w:ascii="Segoe UI" w:hAnsi="Segoe UI" w:cs="Segoe UI"/>
        </w:rPr>
        <w:t xml:space="preserve">the </w:t>
      </w:r>
      <w:r w:rsidR="000F20DC">
        <w:rPr>
          <w:rFonts w:ascii="Segoe UI" w:hAnsi="Segoe UI" w:cs="Segoe UI"/>
        </w:rPr>
        <w:t>Final</w:t>
      </w:r>
      <w:r w:rsidR="308749AB" w:rsidRPr="4196D2B1">
        <w:rPr>
          <w:rFonts w:ascii="Segoe UI" w:hAnsi="Segoe UI" w:cs="Segoe UI"/>
        </w:rPr>
        <w:t xml:space="preserve"> </w:t>
      </w:r>
      <w:r w:rsidR="49B158E7" w:rsidRPr="4196D2B1">
        <w:rPr>
          <w:rFonts w:ascii="Segoe UI" w:hAnsi="Segoe UI" w:cs="Segoe UI"/>
        </w:rPr>
        <w:t xml:space="preserve">Patent </w:t>
      </w:r>
      <w:r w:rsidR="308749AB" w:rsidRPr="4196D2B1">
        <w:rPr>
          <w:rFonts w:ascii="Segoe UI" w:hAnsi="Segoe UI" w:cs="Segoe UI"/>
        </w:rPr>
        <w:t>Fee Schedule (</w:t>
      </w:r>
      <w:r w:rsidR="47A14D9F" w:rsidRPr="4196D2B1">
        <w:rPr>
          <w:rFonts w:ascii="Segoe UI" w:hAnsi="Segoe UI" w:cs="Segoe UI"/>
        </w:rPr>
        <w:t>Alternative 1</w:t>
      </w:r>
      <w:r w:rsidR="308749AB" w:rsidRPr="4196D2B1">
        <w:rPr>
          <w:rFonts w:ascii="Segoe UI" w:hAnsi="Segoe UI" w:cs="Segoe UI"/>
        </w:rPr>
        <w:t>)</w:t>
      </w:r>
      <w:r w:rsidR="47A14D9F" w:rsidRPr="4196D2B1">
        <w:rPr>
          <w:rFonts w:ascii="Segoe UI" w:hAnsi="Segoe UI" w:cs="Segoe UI"/>
        </w:rPr>
        <w:t xml:space="preserve"> offers the </w:t>
      </w:r>
      <w:r w:rsidR="4C071EB7" w:rsidRPr="4196D2B1">
        <w:rPr>
          <w:rFonts w:ascii="Segoe UI" w:hAnsi="Segoe UI" w:cs="Segoe UI"/>
        </w:rPr>
        <w:t xml:space="preserve">greatest </w:t>
      </w:r>
      <w:r w:rsidR="47A14D9F" w:rsidRPr="4196D2B1">
        <w:rPr>
          <w:rFonts w:ascii="Segoe UI" w:hAnsi="Segoe UI" w:cs="Segoe UI"/>
        </w:rPr>
        <w:t>net benefits.</w:t>
      </w:r>
      <w:r w:rsidR="076FC9C8" w:rsidRPr="4196D2B1">
        <w:rPr>
          <w:rFonts w:ascii="Segoe UI" w:hAnsi="Segoe UI" w:cs="Segoe UI"/>
        </w:rPr>
        <w:t xml:space="preserve"> </w:t>
      </w:r>
      <w:r w:rsidR="30400F45" w:rsidRPr="4196D2B1">
        <w:rPr>
          <w:rFonts w:ascii="Segoe UI" w:hAnsi="Segoe UI" w:cs="Segoe UI"/>
        </w:rPr>
        <w:t>T</w:t>
      </w:r>
      <w:r w:rsidR="47A14D9F" w:rsidRPr="4196D2B1">
        <w:rPr>
          <w:rFonts w:ascii="Segoe UI" w:hAnsi="Segoe UI" w:cs="Segoe UI"/>
        </w:rPr>
        <w:t xml:space="preserve">he benefits of the </w:t>
      </w:r>
      <w:r w:rsidR="000F20DC">
        <w:rPr>
          <w:rFonts w:ascii="Segoe UI" w:hAnsi="Segoe UI" w:cs="Segoe UI"/>
        </w:rPr>
        <w:t>Final</w:t>
      </w:r>
      <w:r w:rsidR="0BEC4B60" w:rsidRPr="4196D2B1">
        <w:rPr>
          <w:rFonts w:ascii="Segoe UI" w:hAnsi="Segoe UI" w:cs="Segoe UI"/>
        </w:rPr>
        <w:t xml:space="preserve"> </w:t>
      </w:r>
      <w:r w:rsidR="49B158E7" w:rsidRPr="4196D2B1">
        <w:rPr>
          <w:rFonts w:ascii="Segoe UI" w:hAnsi="Segoe UI" w:cs="Segoe UI"/>
        </w:rPr>
        <w:t xml:space="preserve">Patent </w:t>
      </w:r>
      <w:r w:rsidR="0BEC4B60" w:rsidRPr="4196D2B1">
        <w:rPr>
          <w:rFonts w:ascii="Segoe UI" w:hAnsi="Segoe UI" w:cs="Segoe UI"/>
        </w:rPr>
        <w:t>Fee Schedule</w:t>
      </w:r>
      <w:r w:rsidR="47A14D9F" w:rsidRPr="4196D2B1">
        <w:rPr>
          <w:rFonts w:ascii="Segoe UI" w:hAnsi="Segoe UI" w:cs="Segoe UI"/>
        </w:rPr>
        <w:t xml:space="preserve"> clearly outweigh those of the other alternatives considered</w:t>
      </w:r>
      <w:r w:rsidR="00A153EB">
        <w:rPr>
          <w:rFonts w:ascii="Segoe UI" w:hAnsi="Segoe UI" w:cs="Segoe UI"/>
        </w:rPr>
        <w:t>.</w:t>
      </w:r>
      <w:r w:rsidR="30400F45" w:rsidRPr="4196D2B1">
        <w:rPr>
          <w:rFonts w:ascii="Segoe UI" w:hAnsi="Segoe UI" w:cs="Segoe UI"/>
        </w:rPr>
        <w:t xml:space="preserve"> </w:t>
      </w:r>
      <w:r w:rsidR="00A153EB">
        <w:rPr>
          <w:rFonts w:ascii="Segoe UI" w:hAnsi="Segoe UI" w:cs="Segoe UI"/>
        </w:rPr>
        <w:t>I</w:t>
      </w:r>
      <w:r w:rsidR="30400F45" w:rsidRPr="4196D2B1">
        <w:rPr>
          <w:rFonts w:ascii="Segoe UI" w:hAnsi="Segoe UI" w:cs="Segoe UI"/>
        </w:rPr>
        <w:t xml:space="preserve">t maintains the existing front-end/back-end balance while offering </w:t>
      </w:r>
      <w:r w:rsidR="7DDF8415" w:rsidRPr="4196D2B1">
        <w:rPr>
          <w:rFonts w:ascii="Segoe UI" w:hAnsi="Segoe UI" w:cs="Segoe UI"/>
        </w:rPr>
        <w:t xml:space="preserve">additional fee schedule design benefits through </w:t>
      </w:r>
      <w:r w:rsidR="30400F45" w:rsidRPr="4196D2B1">
        <w:rPr>
          <w:rFonts w:ascii="Segoe UI" w:hAnsi="Segoe UI" w:cs="Segoe UI"/>
        </w:rPr>
        <w:t>targeted changes and secur</w:t>
      </w:r>
      <w:r w:rsidR="73E526C0" w:rsidRPr="4196D2B1">
        <w:rPr>
          <w:rFonts w:ascii="Segoe UI" w:hAnsi="Segoe UI" w:cs="Segoe UI"/>
        </w:rPr>
        <w:t>es</w:t>
      </w:r>
      <w:r w:rsidR="30400F45" w:rsidRPr="4196D2B1">
        <w:rPr>
          <w:rFonts w:ascii="Segoe UI" w:hAnsi="Segoe UI" w:cs="Segoe UI"/>
        </w:rPr>
        <w:t xml:space="preserve"> the aggregate revenue </w:t>
      </w:r>
      <w:r w:rsidR="00A153EB">
        <w:rPr>
          <w:rFonts w:ascii="Segoe UI" w:hAnsi="Segoe UI" w:cs="Segoe UI"/>
        </w:rPr>
        <w:t xml:space="preserve">required </w:t>
      </w:r>
      <w:r w:rsidR="30400F45" w:rsidRPr="4196D2B1">
        <w:rPr>
          <w:rFonts w:ascii="Segoe UI" w:hAnsi="Segoe UI" w:cs="Segoe UI"/>
        </w:rPr>
        <w:t xml:space="preserve">to achieve the </w:t>
      </w:r>
      <w:r w:rsidR="00A153EB">
        <w:rPr>
          <w:rFonts w:ascii="Segoe UI" w:hAnsi="Segoe UI" w:cs="Segoe UI"/>
        </w:rPr>
        <w:t xml:space="preserve">USPTO’s </w:t>
      </w:r>
      <w:r w:rsidR="30400F45" w:rsidRPr="4196D2B1">
        <w:rPr>
          <w:rFonts w:ascii="Segoe UI" w:hAnsi="Segoe UI" w:cs="Segoe UI"/>
        </w:rPr>
        <w:t>strategic priorities</w:t>
      </w:r>
      <w:r w:rsidR="1C52A12C" w:rsidRPr="4196D2B1">
        <w:rPr>
          <w:rFonts w:ascii="Segoe UI" w:hAnsi="Segoe UI" w:cs="Segoe UI"/>
        </w:rPr>
        <w:t>.</w:t>
      </w:r>
    </w:p>
    <w:p w14:paraId="2FB586BC" w14:textId="6E0DF5AD" w:rsidR="00923E6E" w:rsidRPr="00CF6436" w:rsidRDefault="52FCB51D" w:rsidP="00F94DA4">
      <w:pPr>
        <w:spacing w:line="360" w:lineRule="auto"/>
        <w:ind w:firstLine="450"/>
        <w:rPr>
          <w:rFonts w:ascii="Segoe UI" w:hAnsi="Segoe UI" w:cs="Segoe UI"/>
        </w:rPr>
      </w:pPr>
      <w:r w:rsidRPr="00CF6436">
        <w:rPr>
          <w:rFonts w:ascii="Segoe UI" w:hAnsi="Segoe UI" w:cs="Segoe UI"/>
        </w:rPr>
        <w:t xml:space="preserve">The </w:t>
      </w:r>
      <w:r w:rsidR="605B140F" w:rsidRPr="736A6D4F">
        <w:rPr>
          <w:rFonts w:ascii="Segoe UI" w:hAnsi="Segoe UI" w:cs="Segoe UI"/>
        </w:rPr>
        <w:t xml:space="preserve">agency purposefully chose each </w:t>
      </w:r>
      <w:r w:rsidRPr="00CF6436">
        <w:rPr>
          <w:rFonts w:ascii="Segoe UI" w:hAnsi="Segoe UI" w:cs="Segoe UI"/>
        </w:rPr>
        <w:t>alternative</w:t>
      </w:r>
      <w:r w:rsidR="605B140F" w:rsidRPr="736A6D4F">
        <w:rPr>
          <w:rFonts w:ascii="Segoe UI" w:hAnsi="Segoe UI" w:cs="Segoe UI"/>
        </w:rPr>
        <w:t xml:space="preserve">. </w:t>
      </w:r>
      <w:r w:rsidR="13F5E4E8" w:rsidRPr="00CF6436">
        <w:rPr>
          <w:rFonts w:ascii="Segoe UI" w:hAnsi="Segoe UI" w:cs="Segoe UI"/>
        </w:rPr>
        <w:t>Unit Cost Re</w:t>
      </w:r>
      <w:r w:rsidR="248F04C9" w:rsidRPr="00CF6436">
        <w:rPr>
          <w:rFonts w:ascii="Segoe UI" w:hAnsi="Segoe UI" w:cs="Segoe UI"/>
        </w:rPr>
        <w:t>co</w:t>
      </w:r>
      <w:r w:rsidR="13F5E4E8" w:rsidRPr="00CF6436">
        <w:rPr>
          <w:rFonts w:ascii="Segoe UI" w:hAnsi="Segoe UI" w:cs="Segoe UI"/>
        </w:rPr>
        <w:t xml:space="preserve">very </w:t>
      </w:r>
      <w:r w:rsidRPr="00CF6436">
        <w:rPr>
          <w:rFonts w:ascii="Segoe UI" w:hAnsi="Segoe UI" w:cs="Segoe UI"/>
        </w:rPr>
        <w:t xml:space="preserve">represents the standard methodology that federal agencies use to set user fees per OMB </w:t>
      </w:r>
      <w:r w:rsidR="60A2F6B0" w:rsidRPr="00CF6436">
        <w:rPr>
          <w:rFonts w:ascii="Segoe UI" w:hAnsi="Segoe UI" w:cs="Segoe UI"/>
        </w:rPr>
        <w:t xml:space="preserve">Circular </w:t>
      </w:r>
      <w:r w:rsidRPr="00CF6436">
        <w:rPr>
          <w:rFonts w:ascii="Segoe UI" w:hAnsi="Segoe UI" w:cs="Segoe UI"/>
        </w:rPr>
        <w:t>A</w:t>
      </w:r>
      <w:r w:rsidR="00B37882" w:rsidRPr="00CF6436">
        <w:rPr>
          <w:rFonts w:ascii="Segoe UI" w:hAnsi="Segoe UI" w:cs="Segoe UI"/>
        </w:rPr>
        <w:noBreakHyphen/>
      </w:r>
      <w:r w:rsidRPr="00CF6436">
        <w:rPr>
          <w:rFonts w:ascii="Segoe UI" w:hAnsi="Segoe UI" w:cs="Segoe UI"/>
        </w:rPr>
        <w:t>25.</w:t>
      </w:r>
      <w:r w:rsidR="6558CFEB" w:rsidRPr="00CF6436">
        <w:rPr>
          <w:rFonts w:ascii="Segoe UI" w:hAnsi="Segoe UI" w:cs="Segoe UI"/>
        </w:rPr>
        <w:t xml:space="preserve"> </w:t>
      </w:r>
      <w:r w:rsidRPr="00CF6436">
        <w:rPr>
          <w:rFonts w:ascii="Segoe UI" w:hAnsi="Segoe UI" w:cs="Segoe UI"/>
        </w:rPr>
        <w:t>In the case of the USPTO</w:t>
      </w:r>
      <w:r w:rsidR="1959546F" w:rsidRPr="00CF6436">
        <w:rPr>
          <w:rFonts w:ascii="Segoe UI" w:hAnsi="Segoe UI" w:cs="Segoe UI"/>
        </w:rPr>
        <w:t>,</w:t>
      </w:r>
      <w:r w:rsidRPr="00CF6436">
        <w:rPr>
          <w:rFonts w:ascii="Segoe UI" w:hAnsi="Segoe UI" w:cs="Segoe UI"/>
        </w:rPr>
        <w:t xml:space="preserve"> where front-end services are much costlier than back-end services, a unit cost methodology does not align with the purposeful subsidization of entry fees as a means to </w:t>
      </w:r>
      <w:r w:rsidR="55DB0914" w:rsidRPr="00CF6436">
        <w:rPr>
          <w:rFonts w:ascii="Segoe UI" w:hAnsi="Segoe UI" w:cs="Segoe UI"/>
        </w:rPr>
        <w:t xml:space="preserve">promote </w:t>
      </w:r>
      <w:r w:rsidRPr="00CF6436">
        <w:rPr>
          <w:rFonts w:ascii="Segoe UI" w:hAnsi="Segoe UI" w:cs="Segoe UI"/>
        </w:rPr>
        <w:t>innovation</w:t>
      </w:r>
      <w:r w:rsidR="55DB0914" w:rsidRPr="00CF6436">
        <w:rPr>
          <w:rFonts w:ascii="Segoe UI" w:hAnsi="Segoe UI" w:cs="Segoe UI"/>
        </w:rPr>
        <w:t xml:space="preserve"> strategies</w:t>
      </w:r>
      <w:r w:rsidRPr="00CF6436">
        <w:rPr>
          <w:rFonts w:ascii="Segoe UI" w:hAnsi="Segoe UI" w:cs="Segoe UI"/>
        </w:rPr>
        <w:t>.</w:t>
      </w:r>
      <w:r w:rsidR="6558CFEB" w:rsidRPr="00CF6436">
        <w:rPr>
          <w:rFonts w:ascii="Segoe UI" w:hAnsi="Segoe UI" w:cs="Segoe UI"/>
        </w:rPr>
        <w:t xml:space="preserve"> </w:t>
      </w:r>
      <w:r w:rsidRPr="00CF6436">
        <w:rPr>
          <w:rFonts w:ascii="Segoe UI" w:hAnsi="Segoe UI" w:cs="Segoe UI"/>
        </w:rPr>
        <w:t xml:space="preserve">Similarly, many stakeholders would agree that if the </w:t>
      </w:r>
      <w:r w:rsidR="28D5C525" w:rsidRPr="00CF6436">
        <w:rPr>
          <w:rFonts w:ascii="Segoe UI" w:hAnsi="Segoe UI" w:cs="Segoe UI"/>
        </w:rPr>
        <w:t>USPTO</w:t>
      </w:r>
      <w:r w:rsidRPr="00CF6436">
        <w:rPr>
          <w:rFonts w:ascii="Segoe UI" w:hAnsi="Segoe UI" w:cs="Segoe UI"/>
        </w:rPr>
        <w:t xml:space="preserve"> seeks more revenue than the Baseline fee schedule is projected to provide, an acceptable and logical solution would be an across</w:t>
      </w:r>
      <w:r w:rsidR="319C07EB" w:rsidRPr="00CF6436">
        <w:rPr>
          <w:rFonts w:ascii="Segoe UI" w:hAnsi="Segoe UI" w:cs="Segoe UI"/>
        </w:rPr>
        <w:t>-</w:t>
      </w:r>
      <w:r w:rsidRPr="00CF6436">
        <w:rPr>
          <w:rFonts w:ascii="Segoe UI" w:hAnsi="Segoe UI" w:cs="Segoe UI"/>
        </w:rPr>
        <w:t>the</w:t>
      </w:r>
      <w:r w:rsidR="319C07EB" w:rsidRPr="00CF6436">
        <w:rPr>
          <w:rFonts w:ascii="Segoe UI" w:hAnsi="Segoe UI" w:cs="Segoe UI"/>
        </w:rPr>
        <w:t>-</w:t>
      </w:r>
      <w:r>
        <w:rPr>
          <w:rFonts w:ascii="Segoe UI" w:hAnsi="Segoe UI" w:cs="Segoe UI"/>
        </w:rPr>
        <w:t>board fee increase t</w:t>
      </w:r>
      <w:r w:rsidR="292BF1C6" w:rsidRPr="736A6D4F">
        <w:rPr>
          <w:rFonts w:ascii="Segoe UI" w:hAnsi="Segoe UI" w:cs="Segoe UI"/>
        </w:rPr>
        <w:t>o</w:t>
      </w:r>
      <w:r w:rsidR="419C61F2" w:rsidRPr="736A6D4F">
        <w:rPr>
          <w:rFonts w:ascii="Segoe UI" w:hAnsi="Segoe UI" w:cs="Segoe UI"/>
        </w:rPr>
        <w:t xml:space="preserve"> </w:t>
      </w:r>
      <w:r w:rsidRPr="00CF6436" w:rsidDel="00FE158D">
        <w:rPr>
          <w:rFonts w:ascii="Segoe UI" w:hAnsi="Segoe UI" w:cs="Segoe UI"/>
        </w:rPr>
        <w:t xml:space="preserve">secure </w:t>
      </w:r>
      <w:r w:rsidRPr="00CF6436">
        <w:rPr>
          <w:rFonts w:ascii="Segoe UI" w:hAnsi="Segoe UI" w:cs="Segoe UI"/>
        </w:rPr>
        <w:t>required revenue.</w:t>
      </w:r>
      <w:r w:rsidR="6558CFEB" w:rsidRPr="00CF6436">
        <w:rPr>
          <w:rFonts w:ascii="Segoe UI" w:hAnsi="Segoe UI" w:cs="Segoe UI"/>
        </w:rPr>
        <w:t xml:space="preserve"> </w:t>
      </w:r>
      <w:r w:rsidRPr="00CF6436">
        <w:rPr>
          <w:rFonts w:ascii="Segoe UI" w:hAnsi="Segoe UI" w:cs="Segoe UI"/>
        </w:rPr>
        <w:t xml:space="preserve">Given that </w:t>
      </w:r>
      <w:r w:rsidR="28D5C525" w:rsidRPr="00CF6436">
        <w:rPr>
          <w:rFonts w:ascii="Segoe UI" w:hAnsi="Segoe UI" w:cs="Segoe UI"/>
        </w:rPr>
        <w:t xml:space="preserve">the USPTO’s </w:t>
      </w:r>
      <w:r w:rsidRPr="00CF6436">
        <w:rPr>
          <w:rFonts w:ascii="Segoe UI" w:hAnsi="Segoe UI" w:cs="Segoe UI"/>
        </w:rPr>
        <w:t>prior fee setting authority revolved around CPI</w:t>
      </w:r>
      <w:r w:rsidR="07DC6084" w:rsidRPr="00CF6436">
        <w:rPr>
          <w:rFonts w:ascii="Segoe UI" w:hAnsi="Segoe UI" w:cs="Segoe UI"/>
        </w:rPr>
        <w:t>-U</w:t>
      </w:r>
      <w:r w:rsidRPr="00CF6436">
        <w:rPr>
          <w:rFonts w:ascii="Segoe UI" w:hAnsi="Segoe UI" w:cs="Segoe UI"/>
        </w:rPr>
        <w:t xml:space="preserve"> adjustments to the existing fee schedule, there is a precedent </w:t>
      </w:r>
      <w:r w:rsidR="4DF60383" w:rsidRPr="00CF6436">
        <w:rPr>
          <w:rFonts w:ascii="Segoe UI" w:hAnsi="Segoe UI" w:cs="Segoe UI"/>
        </w:rPr>
        <w:t>for</w:t>
      </w:r>
      <w:r w:rsidRPr="00CF6436">
        <w:rPr>
          <w:rFonts w:ascii="Segoe UI" w:hAnsi="Segoe UI" w:cs="Segoe UI"/>
        </w:rPr>
        <w:t xml:space="preserve"> such increases.</w:t>
      </w:r>
      <w:r w:rsidR="6558CFEB" w:rsidRPr="00CF6436" w:rsidDel="00FE158D">
        <w:rPr>
          <w:rFonts w:ascii="Segoe UI" w:hAnsi="Segoe UI" w:cs="Segoe UI"/>
        </w:rPr>
        <w:t xml:space="preserve"> </w:t>
      </w:r>
      <w:r w:rsidR="292BF1C6" w:rsidRPr="00CF6436">
        <w:rPr>
          <w:rFonts w:ascii="Segoe UI" w:hAnsi="Segoe UI" w:cs="Segoe UI"/>
        </w:rPr>
        <w:t>T</w:t>
      </w:r>
      <w:r w:rsidRPr="00CF6436">
        <w:rPr>
          <w:rFonts w:ascii="Segoe UI" w:hAnsi="Segoe UI" w:cs="Segoe UI"/>
        </w:rPr>
        <w:t xml:space="preserve">his alternative does not take full advantage of the AIA </w:t>
      </w:r>
      <w:r w:rsidR="319C07EB" w:rsidRPr="00CF6436">
        <w:rPr>
          <w:rFonts w:ascii="Segoe UI" w:hAnsi="Segoe UI" w:cs="Segoe UI"/>
        </w:rPr>
        <w:t>s</w:t>
      </w:r>
      <w:r w:rsidR="71A13879" w:rsidRPr="00CF6436">
        <w:rPr>
          <w:rFonts w:ascii="Segoe UI" w:hAnsi="Segoe UI" w:cs="Segoe UI"/>
        </w:rPr>
        <w:t xml:space="preserve">ection </w:t>
      </w:r>
      <w:r>
        <w:rPr>
          <w:rFonts w:ascii="Segoe UI" w:hAnsi="Segoe UI" w:cs="Segoe UI"/>
        </w:rPr>
        <w:t xml:space="preserve">10 </w:t>
      </w:r>
      <w:r w:rsidR="500A1AFF" w:rsidRPr="00CF6436">
        <w:rPr>
          <w:rFonts w:ascii="Segoe UI" w:hAnsi="Segoe UI" w:cs="Segoe UI"/>
        </w:rPr>
        <w:t xml:space="preserve">authority </w:t>
      </w:r>
      <w:r>
        <w:rPr>
          <w:rFonts w:ascii="Segoe UI" w:hAnsi="Segoe UI" w:cs="Segoe UI"/>
        </w:rPr>
        <w:t>that allow</w:t>
      </w:r>
      <w:r w:rsidR="1F73FBFE" w:rsidRPr="00CF6436">
        <w:rPr>
          <w:rFonts w:ascii="Segoe UI" w:hAnsi="Segoe UI" w:cs="Segoe UI"/>
        </w:rPr>
        <w:t>s</w:t>
      </w:r>
      <w:r>
        <w:rPr>
          <w:rFonts w:ascii="Segoe UI" w:hAnsi="Segoe UI" w:cs="Segoe UI"/>
        </w:rPr>
        <w:t xml:space="preserve"> the </w:t>
      </w:r>
      <w:r w:rsidR="1F73FBFE" w:rsidRPr="00CF6436">
        <w:rPr>
          <w:rFonts w:ascii="Segoe UI" w:hAnsi="Segoe UI" w:cs="Segoe UI"/>
        </w:rPr>
        <w:t xml:space="preserve">USPTO to </w:t>
      </w:r>
      <w:r w:rsidRPr="00CF6436" w:rsidDel="00387CB3">
        <w:rPr>
          <w:rFonts w:ascii="Segoe UI" w:hAnsi="Segoe UI" w:cs="Segoe UI"/>
        </w:rPr>
        <w:t>readjust</w:t>
      </w:r>
      <w:r w:rsidR="1F73FBFE" w:rsidRPr="00CF6436">
        <w:rPr>
          <w:rFonts w:ascii="Segoe UI" w:hAnsi="Segoe UI" w:cs="Segoe UI"/>
        </w:rPr>
        <w:t xml:space="preserve"> the</w:t>
      </w:r>
      <w:r w:rsidRPr="00CF6436">
        <w:rPr>
          <w:rFonts w:ascii="Segoe UI" w:hAnsi="Segoe UI" w:cs="Segoe UI"/>
        </w:rPr>
        <w:t xml:space="preserve"> relationships between fees in ways that benefit </w:t>
      </w:r>
      <w:r w:rsidR="319C07EB" w:rsidRPr="00CF6436">
        <w:rPr>
          <w:rFonts w:ascii="Segoe UI" w:hAnsi="Segoe UI" w:cs="Segoe UI"/>
        </w:rPr>
        <w:t xml:space="preserve">both </w:t>
      </w:r>
      <w:r>
        <w:rPr>
          <w:rFonts w:ascii="Segoe UI" w:hAnsi="Segoe UI" w:cs="Segoe UI"/>
        </w:rPr>
        <w:t>applicants</w:t>
      </w:r>
      <w:r w:rsidR="500A1AFF">
        <w:rPr>
          <w:rFonts w:ascii="Segoe UI" w:hAnsi="Segoe UI" w:cs="Segoe UI"/>
        </w:rPr>
        <w:t xml:space="preserve"> and the </w:t>
      </w:r>
      <w:r w:rsidR="1F73FBFE" w:rsidRPr="736A6D4F">
        <w:rPr>
          <w:rFonts w:ascii="Segoe UI" w:hAnsi="Segoe UI" w:cs="Segoe UI"/>
        </w:rPr>
        <w:t xml:space="preserve">agency </w:t>
      </w:r>
      <w:r w:rsidRPr="736A6D4F">
        <w:rPr>
          <w:rFonts w:ascii="Segoe UI" w:hAnsi="Segoe UI" w:cs="Segoe UI"/>
        </w:rPr>
        <w:t>(</w:t>
      </w:r>
      <w:r w:rsidRPr="001A2686">
        <w:rPr>
          <w:rFonts w:ascii="Segoe UI" w:hAnsi="Segoe UI" w:cs="Segoe UI"/>
        </w:rPr>
        <w:t>e.g.</w:t>
      </w:r>
      <w:r w:rsidRPr="00CF6436">
        <w:rPr>
          <w:rFonts w:ascii="Segoe UI" w:hAnsi="Segoe UI" w:cs="Segoe UI"/>
        </w:rPr>
        <w:t xml:space="preserve">, </w:t>
      </w:r>
      <w:r w:rsidR="561E64C7">
        <w:rPr>
          <w:rFonts w:ascii="Segoe UI" w:hAnsi="Segoe UI" w:cs="Segoe UI"/>
        </w:rPr>
        <w:t>facilitating effective and efficient administration of the patent system</w:t>
      </w:r>
      <w:r w:rsidR="500A1AFF">
        <w:rPr>
          <w:rFonts w:ascii="Segoe UI" w:hAnsi="Segoe UI" w:cs="Segoe UI"/>
        </w:rPr>
        <w:t xml:space="preserve"> </w:t>
      </w:r>
      <w:r w:rsidR="500A1AFF">
        <w:rPr>
          <w:rFonts w:ascii="Segoe UI" w:hAnsi="Segoe UI" w:cs="Segoe UI"/>
        </w:rPr>
        <w:lastRenderedPageBreak/>
        <w:t>and setting fees for</w:t>
      </w:r>
      <w:r w:rsidR="47095DE1" w:rsidRPr="00CF6436">
        <w:rPr>
          <w:rFonts w:ascii="Segoe UI" w:hAnsi="Segoe UI" w:cs="Segoe UI"/>
        </w:rPr>
        <w:t xml:space="preserve"> users using</w:t>
      </w:r>
      <w:r>
        <w:rPr>
          <w:rFonts w:ascii="Segoe UI" w:hAnsi="Segoe UI" w:cs="Segoe UI"/>
        </w:rPr>
        <w:t xml:space="preserve"> high</w:t>
      </w:r>
      <w:r w:rsidR="47095DE1" w:rsidRPr="00CF6436">
        <w:rPr>
          <w:rFonts w:ascii="Segoe UI" w:hAnsi="Segoe UI" w:cs="Segoe UI"/>
        </w:rPr>
        <w:t>er</w:t>
      </w:r>
      <w:r w:rsidRPr="00CF6436">
        <w:rPr>
          <w:rFonts w:ascii="Segoe UI" w:hAnsi="Segoe UI" w:cs="Segoe UI"/>
        </w:rPr>
        <w:t>-cost services).</w:t>
      </w:r>
      <w:r w:rsidR="6558CFEB" w:rsidRPr="00CF6436">
        <w:rPr>
          <w:rFonts w:ascii="Segoe UI" w:hAnsi="Segoe UI" w:cs="Segoe UI"/>
        </w:rPr>
        <w:t xml:space="preserve"> </w:t>
      </w:r>
      <w:r w:rsidR="631D456B" w:rsidRPr="00CF6436">
        <w:rPr>
          <w:rFonts w:ascii="Segoe UI" w:hAnsi="Segoe UI" w:cs="Segoe UI"/>
        </w:rPr>
        <w:t xml:space="preserve">In these ways, </w:t>
      </w:r>
      <w:r w:rsidR="13F5E4E8" w:rsidRPr="00CF6436">
        <w:rPr>
          <w:rFonts w:ascii="Segoe UI" w:hAnsi="Segoe UI" w:cs="Segoe UI"/>
        </w:rPr>
        <w:t xml:space="preserve">the </w:t>
      </w:r>
      <w:r w:rsidR="000F20DC">
        <w:rPr>
          <w:rFonts w:ascii="Segoe UI" w:hAnsi="Segoe UI" w:cs="Segoe UI"/>
        </w:rPr>
        <w:t>Final</w:t>
      </w:r>
      <w:r w:rsidR="13F5E4E8" w:rsidRPr="00CF6436">
        <w:rPr>
          <w:rFonts w:ascii="Segoe UI" w:hAnsi="Segoe UI" w:cs="Segoe UI"/>
        </w:rPr>
        <w:t xml:space="preserve"> </w:t>
      </w:r>
      <w:r w:rsidR="779D9513" w:rsidRPr="00CF6436">
        <w:rPr>
          <w:rFonts w:ascii="Segoe UI" w:hAnsi="Segoe UI" w:cs="Segoe UI"/>
        </w:rPr>
        <w:t xml:space="preserve">Patent </w:t>
      </w:r>
      <w:r w:rsidR="13F5E4E8" w:rsidRPr="00CF6436">
        <w:rPr>
          <w:rFonts w:ascii="Segoe UI" w:hAnsi="Segoe UI" w:cs="Segoe UI"/>
        </w:rPr>
        <w:t>Fee Schedule (</w:t>
      </w:r>
      <w:r w:rsidR="631D456B" w:rsidRPr="00CF6436">
        <w:rPr>
          <w:rFonts w:ascii="Segoe UI" w:hAnsi="Segoe UI" w:cs="Segoe UI"/>
        </w:rPr>
        <w:t>Alternative 1</w:t>
      </w:r>
      <w:r w:rsidR="13F5E4E8" w:rsidRPr="00CF6436">
        <w:rPr>
          <w:rFonts w:ascii="Segoe UI" w:hAnsi="Segoe UI" w:cs="Segoe UI"/>
        </w:rPr>
        <w:t>)</w:t>
      </w:r>
      <w:r w:rsidR="631D456B" w:rsidRPr="00CF6436">
        <w:rPr>
          <w:rFonts w:ascii="Segoe UI" w:hAnsi="Segoe UI" w:cs="Segoe UI"/>
        </w:rPr>
        <w:t xml:space="preserve"> again offers more net benefits and allows the </w:t>
      </w:r>
      <w:r w:rsidR="28D5C525" w:rsidRPr="00CF6436">
        <w:rPr>
          <w:rFonts w:ascii="Segoe UI" w:hAnsi="Segoe UI" w:cs="Segoe UI"/>
        </w:rPr>
        <w:t>USPTO</w:t>
      </w:r>
      <w:r w:rsidR="631D456B" w:rsidRPr="736A6D4F">
        <w:rPr>
          <w:rFonts w:ascii="Segoe UI" w:hAnsi="Segoe UI" w:cs="Segoe UI"/>
        </w:rPr>
        <w:t xml:space="preserve"> to provide greater value to stakeholders. </w:t>
      </w:r>
    </w:p>
    <w:p w14:paraId="61FE9C28" w14:textId="77777777" w:rsidR="00923E6E" w:rsidRPr="00CF6436" w:rsidRDefault="00923E6E" w:rsidP="00CF6436">
      <w:pPr>
        <w:spacing w:line="360" w:lineRule="auto"/>
        <w:rPr>
          <w:rFonts w:ascii="Segoe UI" w:hAnsi="Segoe UI" w:cs="Segoe UI"/>
        </w:rPr>
      </w:pPr>
    </w:p>
    <w:p w14:paraId="7FB99DC4" w14:textId="77777777" w:rsidR="00057787" w:rsidRPr="00CF6436" w:rsidRDefault="00594B8D" w:rsidP="00CF6436">
      <w:pPr>
        <w:pStyle w:val="Heading2Number"/>
        <w:spacing w:line="360" w:lineRule="auto"/>
        <w:rPr>
          <w:rFonts w:ascii="Segoe UI" w:hAnsi="Segoe UI" w:cs="Segoe UI"/>
        </w:rPr>
      </w:pPr>
      <w:bookmarkStart w:id="321" w:name="_Toc175640436"/>
      <w:r w:rsidRPr="31665127">
        <w:rPr>
          <w:rFonts w:ascii="Segoe UI" w:hAnsi="Segoe UI" w:cs="Segoe UI"/>
        </w:rPr>
        <w:t>Closing</w:t>
      </w:r>
      <w:bookmarkEnd w:id="321"/>
    </w:p>
    <w:p w14:paraId="0EE67658" w14:textId="290A283E" w:rsidR="00DE7FD2" w:rsidRPr="00CF6436" w:rsidRDefault="1A63968F" w:rsidP="001A2686">
      <w:pPr>
        <w:spacing w:line="360" w:lineRule="auto"/>
        <w:ind w:firstLine="450"/>
        <w:rPr>
          <w:rFonts w:ascii="Segoe UI" w:hAnsi="Segoe UI" w:cs="Segoe UI"/>
        </w:rPr>
      </w:pPr>
      <w:r w:rsidRPr="26A8B252">
        <w:rPr>
          <w:rFonts w:ascii="Segoe UI" w:hAnsi="Segoe UI" w:cs="Segoe UI"/>
        </w:rPr>
        <w:t xml:space="preserve">In closing, </w:t>
      </w:r>
      <w:r w:rsidR="27C2BA8B" w:rsidRPr="26A8B252">
        <w:rPr>
          <w:rFonts w:ascii="Segoe UI" w:hAnsi="Segoe UI" w:cs="Segoe UI"/>
        </w:rPr>
        <w:t>unlike traditional regulatory actions that seek to change behavior, redistribute costs and benefits to different stakeholder groups, or both, this RIA is essentially an analysis of the</w:t>
      </w:r>
      <w:r w:rsidR="11CD63EF" w:rsidRPr="26A8B252">
        <w:rPr>
          <w:rFonts w:ascii="Segoe UI" w:hAnsi="Segoe UI" w:cs="Segoe UI"/>
        </w:rPr>
        <w:t xml:space="preserve"> costs and benefits associated with increases </w:t>
      </w:r>
      <w:r w:rsidR="2A748303" w:rsidRPr="26A8B252">
        <w:rPr>
          <w:rFonts w:ascii="Segoe UI" w:hAnsi="Segoe UI" w:cs="Segoe UI"/>
        </w:rPr>
        <w:t xml:space="preserve">to </w:t>
      </w:r>
      <w:r w:rsidR="11CD63EF" w:rsidRPr="26A8B252">
        <w:rPr>
          <w:rFonts w:ascii="Segoe UI" w:hAnsi="Segoe UI" w:cs="Segoe UI"/>
        </w:rPr>
        <w:t xml:space="preserve">the fees transferred from patent stakeholders to the </w:t>
      </w:r>
      <w:r w:rsidR="6252119F" w:rsidRPr="26A8B252">
        <w:rPr>
          <w:rFonts w:ascii="Segoe UI" w:hAnsi="Segoe UI" w:cs="Segoe UI"/>
        </w:rPr>
        <w:t>USPTO</w:t>
      </w:r>
      <w:r w:rsidR="430074D8" w:rsidRPr="26A8B252">
        <w:rPr>
          <w:rFonts w:ascii="Segoe UI" w:hAnsi="Segoe UI" w:cs="Segoe UI"/>
        </w:rPr>
        <w:t xml:space="preserve"> in exchange for services </w:t>
      </w:r>
      <w:r w:rsidR="3FBAE9CF" w:rsidRPr="26A8B252">
        <w:rPr>
          <w:rFonts w:ascii="Segoe UI" w:hAnsi="Segoe UI" w:cs="Segoe UI"/>
        </w:rPr>
        <w:t>provided</w:t>
      </w:r>
      <w:r w:rsidR="11CD63EF" w:rsidRPr="26A8B252">
        <w:rPr>
          <w:rFonts w:ascii="Segoe UI" w:hAnsi="Segoe UI" w:cs="Segoe UI"/>
        </w:rPr>
        <w:t>.</w:t>
      </w:r>
      <w:r w:rsidR="745F57F6" w:rsidRPr="26A8B252">
        <w:rPr>
          <w:rFonts w:ascii="Segoe UI" w:hAnsi="Segoe UI" w:cs="Segoe UI"/>
        </w:rPr>
        <w:t xml:space="preserve"> </w:t>
      </w:r>
      <w:r w:rsidR="11CD63EF" w:rsidRPr="26A8B252">
        <w:rPr>
          <w:rFonts w:ascii="Segoe UI" w:hAnsi="Segoe UI" w:cs="Segoe UI"/>
        </w:rPr>
        <w:t xml:space="preserve">Given that </w:t>
      </w:r>
      <w:r w:rsidR="0F18A6CB" w:rsidRPr="26A8B252">
        <w:rPr>
          <w:rFonts w:ascii="Segoe UI" w:hAnsi="Segoe UI" w:cs="Segoe UI"/>
        </w:rPr>
        <w:t>each</w:t>
      </w:r>
      <w:r w:rsidR="11CD63EF" w:rsidRPr="26A8B252">
        <w:rPr>
          <w:rFonts w:ascii="Segoe UI" w:hAnsi="Segoe UI" w:cs="Segoe UI"/>
        </w:rPr>
        <w:t xml:space="preserve"> alternative </w:t>
      </w:r>
      <w:r w:rsidR="009408BA">
        <w:rPr>
          <w:rFonts w:ascii="Segoe UI" w:hAnsi="Segoe UI" w:cs="Segoe UI"/>
        </w:rPr>
        <w:t xml:space="preserve">the USPTO </w:t>
      </w:r>
      <w:r w:rsidR="11CD63EF" w:rsidRPr="26A8B252">
        <w:rPr>
          <w:rFonts w:ascii="Segoe UI" w:hAnsi="Segoe UI" w:cs="Segoe UI"/>
        </w:rPr>
        <w:t xml:space="preserve">considered </w:t>
      </w:r>
      <w:r w:rsidR="2A748303" w:rsidRPr="26A8B252">
        <w:rPr>
          <w:rFonts w:ascii="Segoe UI" w:hAnsi="Segoe UI" w:cs="Segoe UI"/>
        </w:rPr>
        <w:t xml:space="preserve">beyond the Baseline (Alternative 4) </w:t>
      </w:r>
      <w:r w:rsidR="11CD63EF" w:rsidRPr="26A8B252">
        <w:rPr>
          <w:rFonts w:ascii="Segoe UI" w:hAnsi="Segoe UI" w:cs="Segoe UI"/>
        </w:rPr>
        <w:t>provide</w:t>
      </w:r>
      <w:r w:rsidR="62BF794D" w:rsidRPr="26A8B252">
        <w:rPr>
          <w:rFonts w:ascii="Segoe UI" w:hAnsi="Segoe UI" w:cs="Segoe UI"/>
        </w:rPr>
        <w:t>s</w:t>
      </w:r>
      <w:r w:rsidR="11CD63EF" w:rsidRPr="26A8B252">
        <w:rPr>
          <w:rFonts w:ascii="Segoe UI" w:hAnsi="Segoe UI" w:cs="Segoe UI"/>
        </w:rPr>
        <w:t xml:space="preserve"> the necessary revenue to maintain progress on </w:t>
      </w:r>
      <w:r w:rsidR="009408BA">
        <w:rPr>
          <w:rFonts w:ascii="Segoe UI" w:hAnsi="Segoe UI" w:cs="Segoe UI"/>
        </w:rPr>
        <w:t xml:space="preserve">its </w:t>
      </w:r>
      <w:r w:rsidR="11CD63EF" w:rsidRPr="26A8B252">
        <w:rPr>
          <w:rFonts w:ascii="Segoe UI" w:hAnsi="Segoe UI" w:cs="Segoe UI"/>
        </w:rPr>
        <w:t xml:space="preserve">operational and strategic priorities, the differentiator between them is how their fee schedule </w:t>
      </w:r>
      <w:r w:rsidR="00E065F7">
        <w:rPr>
          <w:rFonts w:ascii="Segoe UI" w:hAnsi="Segoe UI" w:cs="Segoe UI"/>
        </w:rPr>
        <w:t xml:space="preserve">design </w:t>
      </w:r>
      <w:r w:rsidR="5128AC1C" w:rsidRPr="26A8B252">
        <w:rPr>
          <w:rFonts w:ascii="Segoe UI" w:hAnsi="Segoe UI" w:cs="Segoe UI"/>
        </w:rPr>
        <w:t>benefits IP stakeholders</w:t>
      </w:r>
      <w:r w:rsidR="11CD63EF" w:rsidRPr="26A8B252">
        <w:rPr>
          <w:rFonts w:ascii="Segoe UI" w:hAnsi="Segoe UI" w:cs="Segoe UI"/>
        </w:rPr>
        <w:t>.</w:t>
      </w:r>
      <w:r w:rsidR="745F57F6" w:rsidRPr="26A8B252">
        <w:rPr>
          <w:rFonts w:ascii="Segoe UI" w:hAnsi="Segoe UI" w:cs="Segoe UI"/>
        </w:rPr>
        <w:t xml:space="preserve"> </w:t>
      </w:r>
      <w:r w:rsidR="69867981" w:rsidRPr="26A8B252">
        <w:rPr>
          <w:rFonts w:ascii="Segoe UI" w:hAnsi="Segoe UI" w:cs="Segoe UI"/>
        </w:rPr>
        <w:t xml:space="preserve">The </w:t>
      </w:r>
      <w:r w:rsidR="000F20DC">
        <w:rPr>
          <w:rFonts w:ascii="Segoe UI" w:hAnsi="Segoe UI" w:cs="Segoe UI"/>
        </w:rPr>
        <w:t>Final</w:t>
      </w:r>
      <w:r w:rsidR="69867981" w:rsidRPr="26A8B252">
        <w:rPr>
          <w:rFonts w:ascii="Segoe UI" w:hAnsi="Segoe UI" w:cs="Segoe UI"/>
        </w:rPr>
        <w:t xml:space="preserve"> </w:t>
      </w:r>
      <w:r w:rsidR="32F35286" w:rsidRPr="26A8B252">
        <w:rPr>
          <w:rFonts w:ascii="Segoe UI" w:hAnsi="Segoe UI" w:cs="Segoe UI"/>
        </w:rPr>
        <w:t xml:space="preserve">Patent </w:t>
      </w:r>
      <w:r w:rsidR="69867981" w:rsidRPr="26A8B252">
        <w:rPr>
          <w:rFonts w:ascii="Segoe UI" w:hAnsi="Segoe UI" w:cs="Segoe UI"/>
        </w:rPr>
        <w:t>Fee Schedule</w:t>
      </w:r>
      <w:r w:rsidR="11CD63EF" w:rsidRPr="26A8B252">
        <w:rPr>
          <w:rFonts w:ascii="Segoe UI" w:hAnsi="Segoe UI" w:cs="Segoe UI"/>
        </w:rPr>
        <w:t xml:space="preserve"> is not</w:t>
      </w:r>
      <w:r w:rsidR="7DBD38A9" w:rsidRPr="26A8B252">
        <w:rPr>
          <w:rFonts w:ascii="Segoe UI" w:hAnsi="Segoe UI" w:cs="Segoe UI"/>
        </w:rPr>
        <w:t xml:space="preserve"> fundamentally different from </w:t>
      </w:r>
      <w:r w:rsidR="69867981" w:rsidRPr="26A8B252">
        <w:rPr>
          <w:rFonts w:ascii="Segoe UI" w:hAnsi="Segoe UI" w:cs="Segoe UI"/>
        </w:rPr>
        <w:t>the Across</w:t>
      </w:r>
      <w:r w:rsidR="61E92CC3" w:rsidRPr="26A8B252">
        <w:rPr>
          <w:rFonts w:ascii="Segoe UI" w:hAnsi="Segoe UI" w:cs="Segoe UI"/>
        </w:rPr>
        <w:t>-</w:t>
      </w:r>
      <w:r w:rsidR="69867981" w:rsidRPr="26A8B252">
        <w:rPr>
          <w:rFonts w:ascii="Segoe UI" w:hAnsi="Segoe UI" w:cs="Segoe UI"/>
        </w:rPr>
        <w:t>the</w:t>
      </w:r>
      <w:r w:rsidR="61E92CC3" w:rsidRPr="26A8B252">
        <w:rPr>
          <w:rFonts w:ascii="Segoe UI" w:hAnsi="Segoe UI" w:cs="Segoe UI"/>
        </w:rPr>
        <w:t>-</w:t>
      </w:r>
      <w:r w:rsidR="69867981" w:rsidRPr="26A8B252">
        <w:rPr>
          <w:rFonts w:ascii="Segoe UI" w:hAnsi="Segoe UI" w:cs="Segoe UI"/>
        </w:rPr>
        <w:t>Board Adjustment</w:t>
      </w:r>
      <w:r w:rsidR="7DBD38A9" w:rsidRPr="26A8B252">
        <w:rPr>
          <w:rFonts w:ascii="Segoe UI" w:hAnsi="Segoe UI" w:cs="Segoe UI"/>
        </w:rPr>
        <w:t xml:space="preserve"> or the Baseline in terms of </w:t>
      </w:r>
      <w:r w:rsidR="007B6112">
        <w:rPr>
          <w:rFonts w:ascii="Segoe UI" w:hAnsi="Segoe UI" w:cs="Segoe UI"/>
        </w:rPr>
        <w:t xml:space="preserve">alignment with the agency’s </w:t>
      </w:r>
      <w:r w:rsidR="7DBD38A9" w:rsidRPr="26A8B252">
        <w:rPr>
          <w:rFonts w:ascii="Segoe UI" w:hAnsi="Segoe UI" w:cs="Segoe UI"/>
        </w:rPr>
        <w:t>fee setting policy factors</w:t>
      </w:r>
      <w:r w:rsidR="00486FAD">
        <w:rPr>
          <w:rFonts w:ascii="Segoe UI" w:hAnsi="Segoe UI" w:cs="Segoe UI"/>
        </w:rPr>
        <w:t>, but t</w:t>
      </w:r>
      <w:r w:rsidR="008B0C57" w:rsidRPr="26A8B252">
        <w:rPr>
          <w:rFonts w:ascii="Segoe UI" w:hAnsi="Segoe UI" w:cs="Segoe UI"/>
        </w:rPr>
        <w:t>he prudent targeted fee adjustments</w:t>
      </w:r>
      <w:r w:rsidR="00232B76">
        <w:rPr>
          <w:rFonts w:ascii="Segoe UI" w:hAnsi="Segoe UI" w:cs="Segoe UI"/>
        </w:rPr>
        <w:t xml:space="preserve"> within the </w:t>
      </w:r>
      <w:r w:rsidR="000F20DC">
        <w:rPr>
          <w:rFonts w:ascii="Segoe UI" w:hAnsi="Segoe UI" w:cs="Segoe UI"/>
        </w:rPr>
        <w:t>Final</w:t>
      </w:r>
      <w:r w:rsidR="00232B76">
        <w:rPr>
          <w:rFonts w:ascii="Segoe UI" w:hAnsi="Segoe UI" w:cs="Segoe UI"/>
        </w:rPr>
        <w:t xml:space="preserve"> Patent Fee Schedule</w:t>
      </w:r>
      <w:r w:rsidR="008B0C57" w:rsidRPr="26A8B252">
        <w:rPr>
          <w:rFonts w:ascii="Segoe UI" w:hAnsi="Segoe UI" w:cs="Segoe UI"/>
        </w:rPr>
        <w:t xml:space="preserve"> benefit </w:t>
      </w:r>
      <w:r w:rsidR="3B7A7BB0" w:rsidRPr="26A8B252">
        <w:rPr>
          <w:rFonts w:ascii="Segoe UI" w:hAnsi="Segoe UI" w:cs="Segoe UI"/>
        </w:rPr>
        <w:t>applicants, patent holders, the public</w:t>
      </w:r>
      <w:r w:rsidR="61E92CC3" w:rsidRPr="26A8B252">
        <w:rPr>
          <w:rFonts w:ascii="Segoe UI" w:hAnsi="Segoe UI" w:cs="Segoe UI"/>
        </w:rPr>
        <w:t>,</w:t>
      </w:r>
      <w:r w:rsidR="3B7A7BB0" w:rsidRPr="26A8B252">
        <w:rPr>
          <w:rFonts w:ascii="Segoe UI" w:hAnsi="Segoe UI" w:cs="Segoe UI"/>
        </w:rPr>
        <w:t xml:space="preserve"> and </w:t>
      </w:r>
      <w:r w:rsidR="7DBD38A9" w:rsidRPr="26A8B252">
        <w:rPr>
          <w:rFonts w:ascii="Segoe UI" w:hAnsi="Segoe UI" w:cs="Segoe UI"/>
        </w:rPr>
        <w:t xml:space="preserve">the </w:t>
      </w:r>
      <w:r w:rsidR="6252119F" w:rsidRPr="26A8B252">
        <w:rPr>
          <w:rFonts w:ascii="Segoe UI" w:hAnsi="Segoe UI" w:cs="Segoe UI"/>
        </w:rPr>
        <w:t>USPTO</w:t>
      </w:r>
      <w:r w:rsidR="7DBD38A9" w:rsidRPr="26A8B252">
        <w:rPr>
          <w:rFonts w:ascii="Segoe UI" w:hAnsi="Segoe UI" w:cs="Segoe UI"/>
        </w:rPr>
        <w:t>.</w:t>
      </w:r>
    </w:p>
    <w:p w14:paraId="3A56D779" w14:textId="77777777" w:rsidR="00DE7FD2" w:rsidRPr="00CF6436" w:rsidRDefault="00DE7FD2" w:rsidP="00CF6436">
      <w:pPr>
        <w:spacing w:line="360" w:lineRule="auto"/>
        <w:rPr>
          <w:rFonts w:ascii="Segoe UI" w:hAnsi="Segoe UI" w:cs="Segoe UI"/>
          <w:szCs w:val="24"/>
        </w:rPr>
      </w:pPr>
    </w:p>
    <w:p w14:paraId="30951E11" w14:textId="5E984315" w:rsidR="00AF2A7C" w:rsidRPr="00CF6436" w:rsidRDefault="00AF2A7C" w:rsidP="00CF6436">
      <w:pPr>
        <w:pStyle w:val="Heading1"/>
        <w:numPr>
          <w:ilvl w:val="0"/>
          <w:numId w:val="0"/>
        </w:numPr>
        <w:spacing w:before="0" w:after="240" w:line="360" w:lineRule="auto"/>
        <w:rPr>
          <w:rFonts w:ascii="Segoe UI" w:hAnsi="Segoe UI" w:cs="Segoe UI"/>
        </w:rPr>
      </w:pPr>
      <w:bookmarkStart w:id="322" w:name="_Toc451952841"/>
      <w:bookmarkStart w:id="323" w:name="_Toc175640437"/>
      <w:bookmarkStart w:id="324" w:name="_Toc320784961"/>
      <w:bookmarkStart w:id="325" w:name="_Toc321263716"/>
      <w:bookmarkStart w:id="326" w:name="_Toc324165129"/>
      <w:bookmarkStart w:id="327" w:name="_Toc324525687"/>
      <w:bookmarkStart w:id="328" w:name="_Toc324932300"/>
      <w:bookmarkStart w:id="329" w:name="_Toc325554070"/>
      <w:bookmarkEnd w:id="317"/>
      <w:bookmarkEnd w:id="318"/>
      <w:bookmarkEnd w:id="319"/>
      <w:r w:rsidRPr="31665127">
        <w:rPr>
          <w:rFonts w:ascii="Segoe UI" w:hAnsi="Segoe UI" w:cs="Segoe UI"/>
        </w:rPr>
        <w:lastRenderedPageBreak/>
        <w:t>APPENDIX:</w:t>
      </w:r>
      <w:r w:rsidR="00080ECA" w:rsidRPr="31665127">
        <w:rPr>
          <w:rFonts w:ascii="Segoe UI" w:hAnsi="Segoe UI" w:cs="Segoe UI"/>
        </w:rPr>
        <w:t xml:space="preserve"> </w:t>
      </w:r>
      <w:r w:rsidRPr="31665127">
        <w:rPr>
          <w:rFonts w:ascii="Segoe UI" w:hAnsi="Segoe UI" w:cs="Segoe UI"/>
        </w:rPr>
        <w:t>Acronyms</w:t>
      </w:r>
      <w:bookmarkEnd w:id="322"/>
      <w:bookmarkEnd w:id="323"/>
    </w:p>
    <w:bookmarkEnd w:id="324"/>
    <w:bookmarkEnd w:id="325"/>
    <w:bookmarkEnd w:id="326"/>
    <w:bookmarkEnd w:id="327"/>
    <w:bookmarkEnd w:id="328"/>
    <w:bookmarkEnd w:id="329"/>
    <w:p w14:paraId="539A2E70" w14:textId="59EC23DB" w:rsidR="00234B8F" w:rsidRPr="00202135" w:rsidRDefault="00AF2ED7" w:rsidP="00202135">
      <w:pPr>
        <w:pStyle w:val="Default"/>
        <w:spacing w:line="480" w:lineRule="auto"/>
        <w:rPr>
          <w:rFonts w:ascii="Segoe UI" w:hAnsi="Segoe UI" w:cs="Segoe UI"/>
          <w:color w:val="auto"/>
        </w:rPr>
      </w:pPr>
      <w:r w:rsidRPr="00CF6436">
        <w:rPr>
          <w:rFonts w:ascii="Segoe UI" w:hAnsi="Segoe UI" w:cs="Segoe UI"/>
          <w:color w:val="auto"/>
        </w:rPr>
        <w:t>ABC</w:t>
      </w:r>
      <w:r w:rsidR="000B5E77" w:rsidRPr="1F843CD6">
        <w:rPr>
          <w:rFonts w:ascii="Segoe UI" w:hAnsi="Segoe UI" w:cs="Segoe UI"/>
          <w:color w:val="auto"/>
        </w:rPr>
        <w:t>–</w:t>
      </w:r>
      <w:r w:rsidR="00884676">
        <w:rPr>
          <w:rFonts w:ascii="Segoe UI" w:hAnsi="Segoe UI" w:cs="Segoe UI"/>
          <w:color w:val="auto"/>
        </w:rPr>
        <w:t>a</w:t>
      </w:r>
      <w:r w:rsidRPr="00CF6436">
        <w:rPr>
          <w:rFonts w:ascii="Segoe UI" w:hAnsi="Segoe UI" w:cs="Segoe UI"/>
          <w:color w:val="auto"/>
        </w:rPr>
        <w:t>ctivity</w:t>
      </w:r>
      <w:r w:rsidR="00C94F38">
        <w:rPr>
          <w:rFonts w:ascii="Segoe UI" w:hAnsi="Segoe UI" w:cs="Segoe UI"/>
          <w:color w:val="auto"/>
        </w:rPr>
        <w:t>-</w:t>
      </w:r>
      <w:r w:rsidRPr="00CF6436">
        <w:rPr>
          <w:rFonts w:ascii="Segoe UI" w:hAnsi="Segoe UI" w:cs="Segoe UI"/>
          <w:color w:val="auto"/>
        </w:rPr>
        <w:t>based costing</w:t>
      </w:r>
    </w:p>
    <w:p w14:paraId="28A99A0A" w14:textId="117E594B" w:rsidR="00234B8F" w:rsidRPr="00CF6436" w:rsidRDefault="00234B8F" w:rsidP="00202135">
      <w:pPr>
        <w:pStyle w:val="Default"/>
        <w:spacing w:line="480" w:lineRule="auto"/>
        <w:rPr>
          <w:rFonts w:ascii="Segoe UI" w:eastAsia="Times New Roman" w:hAnsi="Segoe UI" w:cs="Segoe UI"/>
          <w:color w:val="auto"/>
        </w:rPr>
      </w:pPr>
      <w:r w:rsidRPr="00CF6436">
        <w:rPr>
          <w:rFonts w:ascii="Segoe UI" w:eastAsia="Times New Roman" w:hAnsi="Segoe UI" w:cs="Segoe UI"/>
          <w:color w:val="auto"/>
        </w:rPr>
        <w:t>ABI</w:t>
      </w:r>
      <w:r w:rsidR="000B5E77" w:rsidRPr="1F843CD6">
        <w:rPr>
          <w:rFonts w:ascii="Segoe UI" w:hAnsi="Segoe UI" w:cs="Segoe UI"/>
          <w:color w:val="auto"/>
        </w:rPr>
        <w:t>–</w:t>
      </w:r>
      <w:r w:rsidR="00884676">
        <w:rPr>
          <w:rFonts w:ascii="Segoe UI" w:eastAsia="Times New Roman" w:hAnsi="Segoe UI" w:cs="Segoe UI"/>
          <w:color w:val="auto"/>
        </w:rPr>
        <w:t>a</w:t>
      </w:r>
      <w:r w:rsidRPr="00CF6436">
        <w:rPr>
          <w:rFonts w:ascii="Segoe UI" w:eastAsia="Times New Roman" w:hAnsi="Segoe UI" w:cs="Segoe UI"/>
          <w:color w:val="auto"/>
        </w:rPr>
        <w:t>ctivity</w:t>
      </w:r>
      <w:r w:rsidR="00C94F38">
        <w:rPr>
          <w:rFonts w:ascii="Segoe UI" w:eastAsia="Times New Roman" w:hAnsi="Segoe UI" w:cs="Segoe UI"/>
          <w:color w:val="auto"/>
        </w:rPr>
        <w:t>-</w:t>
      </w:r>
      <w:r w:rsidRPr="00CF6436">
        <w:rPr>
          <w:rFonts w:ascii="Segoe UI" w:eastAsia="Times New Roman" w:hAnsi="Segoe UI" w:cs="Segoe UI"/>
          <w:color w:val="auto"/>
        </w:rPr>
        <w:t>based information</w:t>
      </w:r>
    </w:p>
    <w:p w14:paraId="17C0D127" w14:textId="47F8B640" w:rsidR="00234B8F" w:rsidRPr="00CF6436" w:rsidRDefault="00234B8F" w:rsidP="00202135">
      <w:pPr>
        <w:pStyle w:val="Default"/>
        <w:spacing w:line="480" w:lineRule="auto"/>
        <w:rPr>
          <w:rFonts w:ascii="Segoe UI" w:eastAsia="Times New Roman" w:hAnsi="Segoe UI" w:cs="Segoe UI"/>
          <w:color w:val="auto"/>
        </w:rPr>
      </w:pPr>
      <w:r w:rsidRPr="00CF6436">
        <w:rPr>
          <w:rFonts w:ascii="Segoe UI" w:eastAsia="Times New Roman" w:hAnsi="Segoe UI" w:cs="Segoe UI"/>
          <w:color w:val="auto"/>
        </w:rPr>
        <w:t>AIA</w:t>
      </w:r>
      <w:r w:rsidR="006C3725" w:rsidRPr="1F843CD6">
        <w:rPr>
          <w:rFonts w:ascii="Segoe UI" w:hAnsi="Segoe UI" w:cs="Segoe UI"/>
          <w:color w:val="auto"/>
        </w:rPr>
        <w:t>–</w:t>
      </w:r>
      <w:r w:rsidRPr="00CF6436">
        <w:rPr>
          <w:rFonts w:ascii="Segoe UI" w:eastAsia="Times New Roman" w:hAnsi="Segoe UI" w:cs="Segoe UI"/>
          <w:color w:val="auto"/>
        </w:rPr>
        <w:t>Leahy-Smith America Invents Act</w:t>
      </w:r>
      <w:r w:rsidR="0086407D" w:rsidRPr="00CF6436">
        <w:rPr>
          <w:rFonts w:ascii="Segoe UI" w:eastAsia="Times New Roman" w:hAnsi="Segoe UI" w:cs="Segoe UI"/>
          <w:color w:val="auto"/>
        </w:rPr>
        <w:t xml:space="preserve"> </w:t>
      </w:r>
    </w:p>
    <w:p w14:paraId="5B2485AE" w14:textId="6253BA83" w:rsidR="00234B8F" w:rsidRPr="00CF6436" w:rsidRDefault="00234B8F" w:rsidP="00202135">
      <w:pPr>
        <w:pStyle w:val="Default"/>
        <w:spacing w:line="480" w:lineRule="auto"/>
        <w:rPr>
          <w:rFonts w:ascii="Segoe UI" w:eastAsia="Times New Roman" w:hAnsi="Segoe UI" w:cs="Segoe UI"/>
          <w:color w:val="auto"/>
        </w:rPr>
      </w:pPr>
      <w:r w:rsidRPr="00CF6436">
        <w:rPr>
          <w:rFonts w:ascii="Segoe UI" w:eastAsia="Times New Roman" w:hAnsi="Segoe UI" w:cs="Segoe UI"/>
          <w:color w:val="auto"/>
        </w:rPr>
        <w:t>CBO</w:t>
      </w:r>
      <w:r w:rsidR="006C3725" w:rsidRPr="1F843CD6">
        <w:rPr>
          <w:rFonts w:ascii="Segoe UI" w:hAnsi="Segoe UI" w:cs="Segoe UI"/>
          <w:color w:val="auto"/>
        </w:rPr>
        <w:t>–</w:t>
      </w:r>
      <w:r w:rsidR="00AF2ED7" w:rsidRPr="00CF6436">
        <w:rPr>
          <w:rFonts w:ascii="Segoe UI" w:eastAsia="Times New Roman" w:hAnsi="Segoe UI" w:cs="Segoe UI"/>
          <w:color w:val="auto"/>
        </w:rPr>
        <w:t>Congressional Budget Office</w:t>
      </w:r>
    </w:p>
    <w:p w14:paraId="0602021C" w14:textId="4C22A2E9" w:rsidR="00234B8F" w:rsidRPr="00CF6436" w:rsidRDefault="00234B8F" w:rsidP="00202135">
      <w:pPr>
        <w:pStyle w:val="Default"/>
        <w:spacing w:line="480" w:lineRule="auto"/>
        <w:rPr>
          <w:rFonts w:ascii="Segoe UI" w:eastAsia="Times New Roman" w:hAnsi="Segoe UI" w:cs="Segoe UI"/>
          <w:color w:val="auto"/>
        </w:rPr>
      </w:pPr>
      <w:r w:rsidRPr="00CF6436">
        <w:rPr>
          <w:rFonts w:ascii="Segoe UI" w:eastAsia="Times New Roman" w:hAnsi="Segoe UI" w:cs="Segoe UI"/>
          <w:color w:val="auto"/>
        </w:rPr>
        <w:t>CPI</w:t>
      </w:r>
      <w:r w:rsidR="00B942C9" w:rsidRPr="00CF6436">
        <w:rPr>
          <w:rFonts w:ascii="Segoe UI" w:eastAsia="Times New Roman" w:hAnsi="Segoe UI" w:cs="Segoe UI"/>
          <w:color w:val="auto"/>
        </w:rPr>
        <w:t>-U</w:t>
      </w:r>
      <w:r w:rsidR="005351A8" w:rsidRPr="1F843CD6">
        <w:rPr>
          <w:rFonts w:ascii="Segoe UI" w:hAnsi="Segoe UI" w:cs="Segoe UI"/>
          <w:color w:val="auto"/>
        </w:rPr>
        <w:t>–</w:t>
      </w:r>
      <w:r w:rsidRPr="00CF6436">
        <w:rPr>
          <w:rFonts w:ascii="Segoe UI" w:eastAsia="Times New Roman" w:hAnsi="Segoe UI" w:cs="Segoe UI"/>
          <w:color w:val="auto"/>
        </w:rPr>
        <w:t>Consumer Price Index</w:t>
      </w:r>
      <w:r w:rsidRPr="00CF6436">
        <w:rPr>
          <w:rFonts w:ascii="Segoe UI" w:hAnsi="Segoe UI" w:cs="Segoe UI"/>
          <w:color w:val="auto"/>
        </w:rPr>
        <w:t xml:space="preserve"> </w:t>
      </w:r>
      <w:r w:rsidRPr="00CF6436">
        <w:rPr>
          <w:rFonts w:ascii="Segoe UI" w:eastAsia="Times New Roman" w:hAnsi="Segoe UI" w:cs="Segoe UI"/>
          <w:color w:val="auto"/>
        </w:rPr>
        <w:t>for All Urban Consumers</w:t>
      </w:r>
    </w:p>
    <w:p w14:paraId="66E92087" w14:textId="75054F80" w:rsidR="00EA2124" w:rsidRPr="00CF6436" w:rsidRDefault="00F23E62" w:rsidP="00202135">
      <w:pPr>
        <w:pStyle w:val="Default"/>
        <w:spacing w:line="480" w:lineRule="auto"/>
        <w:rPr>
          <w:rFonts w:ascii="Segoe UI" w:eastAsia="Times New Roman" w:hAnsi="Segoe UI" w:cs="Segoe UI"/>
          <w:color w:val="auto"/>
        </w:rPr>
      </w:pPr>
      <w:r w:rsidRPr="00CF6436">
        <w:rPr>
          <w:rFonts w:ascii="Segoe UI" w:eastAsia="Times New Roman" w:hAnsi="Segoe UI" w:cs="Segoe UI"/>
          <w:color w:val="auto"/>
        </w:rPr>
        <w:t>I</w:t>
      </w:r>
      <w:r w:rsidR="00EA2124" w:rsidRPr="00CF6436">
        <w:rPr>
          <w:rFonts w:ascii="Segoe UI" w:eastAsia="Times New Roman" w:hAnsi="Segoe UI" w:cs="Segoe UI"/>
          <w:color w:val="auto"/>
        </w:rPr>
        <w:t>RFA</w:t>
      </w:r>
      <w:r w:rsidR="00B72BCC" w:rsidRPr="1F843CD6">
        <w:rPr>
          <w:rFonts w:ascii="Segoe UI" w:hAnsi="Segoe UI" w:cs="Segoe UI"/>
          <w:color w:val="auto"/>
        </w:rPr>
        <w:t>–</w:t>
      </w:r>
      <w:r w:rsidRPr="00CF6436">
        <w:rPr>
          <w:rFonts w:ascii="Segoe UI" w:eastAsia="Times New Roman" w:hAnsi="Segoe UI" w:cs="Segoe UI"/>
          <w:color w:val="auto"/>
        </w:rPr>
        <w:t>Initial</w:t>
      </w:r>
      <w:r w:rsidR="00EA2124" w:rsidRPr="00CF6436">
        <w:rPr>
          <w:rFonts w:ascii="Segoe UI" w:eastAsia="Times New Roman" w:hAnsi="Segoe UI" w:cs="Segoe UI"/>
          <w:color w:val="auto"/>
        </w:rPr>
        <w:t xml:space="preserve"> Regulatory Flexibility Analysis</w:t>
      </w:r>
    </w:p>
    <w:p w14:paraId="5B839FDA" w14:textId="74B12A0F" w:rsidR="00F53CAD" w:rsidRPr="00CF6436" w:rsidRDefault="00F53CAD" w:rsidP="00202135">
      <w:pPr>
        <w:pStyle w:val="Default"/>
        <w:spacing w:line="480" w:lineRule="auto"/>
        <w:rPr>
          <w:rFonts w:ascii="Segoe UI" w:eastAsia="Times New Roman" w:hAnsi="Segoe UI" w:cs="Segoe UI"/>
          <w:color w:val="auto"/>
        </w:rPr>
      </w:pPr>
      <w:r w:rsidRPr="00CF6436">
        <w:rPr>
          <w:rFonts w:ascii="Segoe UI" w:eastAsia="Times New Roman" w:hAnsi="Segoe UI" w:cs="Segoe UI"/>
          <w:color w:val="auto"/>
        </w:rPr>
        <w:t>EOY</w:t>
      </w:r>
      <w:r w:rsidR="00B72BCC" w:rsidRPr="1F843CD6">
        <w:rPr>
          <w:rFonts w:ascii="Segoe UI" w:hAnsi="Segoe UI" w:cs="Segoe UI"/>
          <w:color w:val="auto"/>
        </w:rPr>
        <w:t>–</w:t>
      </w:r>
      <w:r w:rsidR="00884676">
        <w:rPr>
          <w:rFonts w:ascii="Segoe UI" w:eastAsia="Times New Roman" w:hAnsi="Segoe UI" w:cs="Segoe UI"/>
          <w:color w:val="auto"/>
        </w:rPr>
        <w:t>e</w:t>
      </w:r>
      <w:r w:rsidRPr="00CF6436">
        <w:rPr>
          <w:rFonts w:ascii="Segoe UI" w:eastAsia="Times New Roman" w:hAnsi="Segoe UI" w:cs="Segoe UI"/>
          <w:color w:val="auto"/>
        </w:rPr>
        <w:t xml:space="preserve">nd of </w:t>
      </w:r>
      <w:r w:rsidR="00B72BCC">
        <w:rPr>
          <w:rFonts w:ascii="Segoe UI" w:eastAsia="Times New Roman" w:hAnsi="Segoe UI" w:cs="Segoe UI"/>
          <w:color w:val="auto"/>
        </w:rPr>
        <w:t>y</w:t>
      </w:r>
      <w:r w:rsidRPr="00CF6436">
        <w:rPr>
          <w:rFonts w:ascii="Segoe UI" w:eastAsia="Times New Roman" w:hAnsi="Segoe UI" w:cs="Segoe UI"/>
          <w:color w:val="auto"/>
        </w:rPr>
        <w:t>ear</w:t>
      </w:r>
    </w:p>
    <w:p w14:paraId="336834D9" w14:textId="33CE2A02" w:rsidR="000F20DC" w:rsidRDefault="000F20DC" w:rsidP="00202135">
      <w:pPr>
        <w:pStyle w:val="Default"/>
        <w:spacing w:line="480" w:lineRule="auto"/>
        <w:rPr>
          <w:rFonts w:ascii="Segoe UI" w:eastAsia="Times New Roman" w:hAnsi="Segoe UI" w:cs="Segoe UI"/>
          <w:color w:val="auto"/>
        </w:rPr>
      </w:pPr>
      <w:r>
        <w:rPr>
          <w:rFonts w:ascii="Segoe UI" w:eastAsia="Times New Roman" w:hAnsi="Segoe UI" w:cs="Segoe UI"/>
          <w:color w:val="auto"/>
        </w:rPr>
        <w:t>FR- final rule</w:t>
      </w:r>
    </w:p>
    <w:p w14:paraId="2160627A" w14:textId="3EF0B54E" w:rsidR="00234B8F" w:rsidRPr="00CF6436" w:rsidRDefault="00234B8F" w:rsidP="00202135">
      <w:pPr>
        <w:pStyle w:val="Default"/>
        <w:spacing w:line="480" w:lineRule="auto"/>
        <w:rPr>
          <w:rFonts w:ascii="Segoe UI" w:eastAsia="Times New Roman" w:hAnsi="Segoe UI" w:cs="Segoe UI"/>
          <w:color w:val="auto"/>
        </w:rPr>
      </w:pPr>
      <w:r w:rsidRPr="00CF6436">
        <w:rPr>
          <w:rFonts w:ascii="Segoe UI" w:eastAsia="Times New Roman" w:hAnsi="Segoe UI" w:cs="Segoe UI"/>
          <w:color w:val="auto"/>
        </w:rPr>
        <w:t>FY</w:t>
      </w:r>
      <w:r w:rsidR="00D5713E" w:rsidRPr="1F843CD6">
        <w:rPr>
          <w:rFonts w:ascii="Segoe UI" w:hAnsi="Segoe UI" w:cs="Segoe UI"/>
          <w:color w:val="auto"/>
        </w:rPr>
        <w:t>–</w:t>
      </w:r>
      <w:r w:rsidR="00884676">
        <w:rPr>
          <w:rFonts w:ascii="Segoe UI" w:eastAsia="Times New Roman" w:hAnsi="Segoe UI" w:cs="Segoe UI"/>
          <w:color w:val="auto"/>
        </w:rPr>
        <w:t>f</w:t>
      </w:r>
      <w:r w:rsidRPr="00CF6436">
        <w:rPr>
          <w:rFonts w:ascii="Segoe UI" w:eastAsia="Times New Roman" w:hAnsi="Segoe UI" w:cs="Segoe UI"/>
          <w:color w:val="auto"/>
        </w:rPr>
        <w:t xml:space="preserve">iscal </w:t>
      </w:r>
      <w:r w:rsidR="00D5713E">
        <w:rPr>
          <w:rFonts w:ascii="Segoe UI" w:eastAsia="Times New Roman" w:hAnsi="Segoe UI" w:cs="Segoe UI"/>
          <w:color w:val="auto"/>
        </w:rPr>
        <w:t>y</w:t>
      </w:r>
      <w:r w:rsidRPr="00CF6436">
        <w:rPr>
          <w:rFonts w:ascii="Segoe UI" w:eastAsia="Times New Roman" w:hAnsi="Segoe UI" w:cs="Segoe UI"/>
          <w:color w:val="auto"/>
        </w:rPr>
        <w:t>ear</w:t>
      </w:r>
    </w:p>
    <w:p w14:paraId="0042E55B" w14:textId="1E02CD77" w:rsidR="00234B8F" w:rsidRDefault="39CA1DA9" w:rsidP="00202135">
      <w:pPr>
        <w:pStyle w:val="Default"/>
        <w:spacing w:line="480" w:lineRule="auto"/>
        <w:rPr>
          <w:rFonts w:ascii="Segoe UI" w:eastAsia="Times New Roman" w:hAnsi="Segoe UI" w:cs="Segoe UI"/>
          <w:color w:val="auto"/>
        </w:rPr>
      </w:pPr>
      <w:r w:rsidRPr="293D3C50">
        <w:rPr>
          <w:rFonts w:ascii="Segoe UI" w:eastAsia="Times New Roman" w:hAnsi="Segoe UI" w:cs="Segoe UI"/>
          <w:color w:val="auto"/>
        </w:rPr>
        <w:t>IP</w:t>
      </w:r>
      <w:r w:rsidR="00A528DB" w:rsidRPr="1F843CD6">
        <w:rPr>
          <w:rFonts w:ascii="Segoe UI" w:hAnsi="Segoe UI" w:cs="Segoe UI"/>
          <w:color w:val="auto"/>
        </w:rPr>
        <w:t>–</w:t>
      </w:r>
      <w:r w:rsidR="1718DE39" w:rsidRPr="293D3C50">
        <w:rPr>
          <w:rFonts w:ascii="Segoe UI" w:eastAsia="Times New Roman" w:hAnsi="Segoe UI" w:cs="Segoe UI"/>
          <w:color w:val="auto"/>
        </w:rPr>
        <w:t>i</w:t>
      </w:r>
      <w:r w:rsidRPr="293D3C50">
        <w:rPr>
          <w:rFonts w:ascii="Segoe UI" w:eastAsia="Times New Roman" w:hAnsi="Segoe UI" w:cs="Segoe UI"/>
          <w:color w:val="auto"/>
        </w:rPr>
        <w:t xml:space="preserve">ntellectual </w:t>
      </w:r>
      <w:r w:rsidR="72340F02" w:rsidRPr="293D3C50">
        <w:rPr>
          <w:rFonts w:ascii="Segoe UI" w:eastAsia="Times New Roman" w:hAnsi="Segoe UI" w:cs="Segoe UI"/>
          <w:color w:val="auto"/>
        </w:rPr>
        <w:t>p</w:t>
      </w:r>
      <w:r w:rsidRPr="293D3C50">
        <w:rPr>
          <w:rFonts w:ascii="Segoe UI" w:eastAsia="Times New Roman" w:hAnsi="Segoe UI" w:cs="Segoe UI"/>
          <w:color w:val="auto"/>
        </w:rPr>
        <w:t>roperty</w:t>
      </w:r>
    </w:p>
    <w:p w14:paraId="5C2D804C" w14:textId="412EBC87" w:rsidR="00720466" w:rsidRPr="00CF6436" w:rsidRDefault="319DA9F0" w:rsidP="00202135">
      <w:pPr>
        <w:pStyle w:val="Default"/>
        <w:spacing w:line="480" w:lineRule="auto"/>
        <w:rPr>
          <w:rFonts w:ascii="Segoe UI" w:eastAsia="Times New Roman" w:hAnsi="Segoe UI" w:cs="Segoe UI"/>
          <w:color w:val="auto"/>
        </w:rPr>
      </w:pPr>
      <w:r w:rsidRPr="293D3C50">
        <w:rPr>
          <w:rFonts w:ascii="Segoe UI" w:eastAsia="Times New Roman" w:hAnsi="Segoe UI" w:cs="Segoe UI"/>
          <w:color w:val="auto"/>
        </w:rPr>
        <w:t>ISA</w:t>
      </w:r>
      <w:r w:rsidR="1718DE39" w:rsidRPr="293D3C50">
        <w:rPr>
          <w:rFonts w:ascii="Segoe UI" w:hAnsi="Segoe UI" w:cs="Segoe UI"/>
          <w:color w:val="auto"/>
        </w:rPr>
        <w:t>–International Search Authority</w:t>
      </w:r>
    </w:p>
    <w:p w14:paraId="7D96E3D9" w14:textId="1026E375" w:rsidR="00234B8F" w:rsidRPr="00CF6436" w:rsidRDefault="000F20DC" w:rsidP="00202135">
      <w:pPr>
        <w:pStyle w:val="Default"/>
        <w:spacing w:line="480" w:lineRule="auto"/>
        <w:rPr>
          <w:rFonts w:ascii="Segoe UI" w:eastAsia="Times New Roman" w:hAnsi="Segoe UI" w:cs="Segoe UI"/>
          <w:color w:val="auto"/>
        </w:rPr>
      </w:pPr>
      <w:r>
        <w:rPr>
          <w:rFonts w:ascii="Segoe UI" w:eastAsia="Times New Roman" w:hAnsi="Segoe UI" w:cs="Segoe UI"/>
          <w:color w:val="auto"/>
        </w:rPr>
        <w:t>NPRM</w:t>
      </w:r>
      <w:r w:rsidR="00932305" w:rsidRPr="1F843CD6">
        <w:rPr>
          <w:rFonts w:ascii="Segoe UI" w:hAnsi="Segoe UI" w:cs="Segoe UI"/>
          <w:color w:val="auto"/>
        </w:rPr>
        <w:t>–</w:t>
      </w:r>
      <w:r w:rsidR="000C211D" w:rsidRPr="00CF6436">
        <w:rPr>
          <w:rFonts w:ascii="Segoe UI" w:eastAsia="Times New Roman" w:hAnsi="Segoe UI" w:cs="Segoe UI"/>
          <w:color w:val="auto"/>
        </w:rPr>
        <w:t>Notice of Proposed Rulemaking</w:t>
      </w:r>
      <w:r w:rsidR="00AF2ED7" w:rsidRPr="00CF6436">
        <w:rPr>
          <w:rFonts w:ascii="Segoe UI" w:eastAsia="Times New Roman" w:hAnsi="Segoe UI" w:cs="Segoe UI"/>
          <w:color w:val="auto"/>
        </w:rPr>
        <w:t xml:space="preserve"> </w:t>
      </w:r>
    </w:p>
    <w:p w14:paraId="1C4ED0EE" w14:textId="53C90473" w:rsidR="00234B8F" w:rsidRPr="00CF6436" w:rsidRDefault="00234B8F" w:rsidP="00202135">
      <w:pPr>
        <w:pStyle w:val="Default"/>
        <w:spacing w:line="480" w:lineRule="auto"/>
        <w:rPr>
          <w:rFonts w:ascii="Segoe UI" w:eastAsia="Times New Roman" w:hAnsi="Segoe UI" w:cs="Segoe UI"/>
          <w:color w:val="auto"/>
        </w:rPr>
      </w:pPr>
      <w:r w:rsidRPr="00CF6436">
        <w:rPr>
          <w:rFonts w:ascii="Segoe UI" w:eastAsia="Times New Roman" w:hAnsi="Segoe UI" w:cs="Segoe UI"/>
          <w:color w:val="auto"/>
        </w:rPr>
        <w:t>OIRA</w:t>
      </w:r>
      <w:r w:rsidR="00932305" w:rsidRPr="1F843CD6">
        <w:rPr>
          <w:rFonts w:ascii="Segoe UI" w:hAnsi="Segoe UI" w:cs="Segoe UI"/>
          <w:color w:val="auto"/>
        </w:rPr>
        <w:t>–</w:t>
      </w:r>
      <w:r w:rsidRPr="00CF6436">
        <w:rPr>
          <w:rFonts w:ascii="Segoe UI" w:eastAsia="Times New Roman" w:hAnsi="Segoe UI" w:cs="Segoe UI"/>
          <w:color w:val="auto"/>
        </w:rPr>
        <w:t>Office of Infor</w:t>
      </w:r>
      <w:r w:rsidR="00AF2ED7" w:rsidRPr="00CF6436">
        <w:rPr>
          <w:rFonts w:ascii="Segoe UI" w:eastAsia="Times New Roman" w:hAnsi="Segoe UI" w:cs="Segoe UI"/>
          <w:color w:val="auto"/>
        </w:rPr>
        <w:t xml:space="preserve">mation </w:t>
      </w:r>
      <w:r w:rsidR="005A6583" w:rsidRPr="00CF6436">
        <w:rPr>
          <w:rFonts w:ascii="Segoe UI" w:eastAsia="Times New Roman" w:hAnsi="Segoe UI" w:cs="Segoe UI"/>
          <w:color w:val="auto"/>
        </w:rPr>
        <w:t xml:space="preserve">and </w:t>
      </w:r>
      <w:r w:rsidR="00AF2ED7" w:rsidRPr="00CF6436">
        <w:rPr>
          <w:rFonts w:ascii="Segoe UI" w:eastAsia="Times New Roman" w:hAnsi="Segoe UI" w:cs="Segoe UI"/>
          <w:color w:val="auto"/>
        </w:rPr>
        <w:t>Regulatory Affairs</w:t>
      </w:r>
    </w:p>
    <w:p w14:paraId="5647F871" w14:textId="3A21A9C4" w:rsidR="00F53CAD" w:rsidRPr="00CF6436" w:rsidRDefault="00234B8F" w:rsidP="00202135">
      <w:pPr>
        <w:pStyle w:val="Default"/>
        <w:spacing w:line="480" w:lineRule="auto"/>
        <w:rPr>
          <w:rFonts w:ascii="Segoe UI" w:eastAsia="Times New Roman" w:hAnsi="Segoe UI" w:cs="Segoe UI"/>
          <w:color w:val="auto"/>
        </w:rPr>
      </w:pPr>
      <w:r w:rsidRPr="00CF6436">
        <w:rPr>
          <w:rFonts w:ascii="Segoe UI" w:eastAsia="Times New Roman" w:hAnsi="Segoe UI" w:cs="Segoe UI"/>
          <w:color w:val="auto"/>
        </w:rPr>
        <w:t>OMB</w:t>
      </w:r>
      <w:r w:rsidR="00CC2E6C" w:rsidRPr="1F843CD6">
        <w:rPr>
          <w:rFonts w:ascii="Segoe UI" w:hAnsi="Segoe UI" w:cs="Segoe UI"/>
          <w:color w:val="auto"/>
        </w:rPr>
        <w:t>–</w:t>
      </w:r>
      <w:r w:rsidRPr="00CF6436">
        <w:rPr>
          <w:rFonts w:ascii="Segoe UI" w:eastAsia="Times New Roman" w:hAnsi="Segoe UI" w:cs="Segoe UI"/>
          <w:color w:val="auto"/>
        </w:rPr>
        <w:t>Offi</w:t>
      </w:r>
      <w:r w:rsidR="00AF2ED7" w:rsidRPr="00CF6436">
        <w:rPr>
          <w:rFonts w:ascii="Segoe UI" w:eastAsia="Times New Roman" w:hAnsi="Segoe UI" w:cs="Segoe UI"/>
          <w:color w:val="auto"/>
        </w:rPr>
        <w:t>ce of Management and Budget</w:t>
      </w:r>
    </w:p>
    <w:p w14:paraId="4765CF4B" w14:textId="75A32699" w:rsidR="00234B8F" w:rsidRPr="00CF6436" w:rsidRDefault="00F53CAD" w:rsidP="00202135">
      <w:pPr>
        <w:pStyle w:val="Default"/>
        <w:spacing w:line="480" w:lineRule="auto"/>
        <w:rPr>
          <w:rFonts w:ascii="Segoe UI" w:eastAsia="Times New Roman" w:hAnsi="Segoe UI" w:cs="Segoe UI"/>
          <w:color w:val="auto"/>
        </w:rPr>
      </w:pPr>
      <w:r w:rsidRPr="00CF6436">
        <w:rPr>
          <w:rFonts w:ascii="Segoe UI" w:eastAsia="Times New Roman" w:hAnsi="Segoe UI" w:cs="Segoe UI"/>
          <w:color w:val="auto"/>
        </w:rPr>
        <w:t>PPAC</w:t>
      </w:r>
      <w:r w:rsidR="00203C23" w:rsidRPr="1F843CD6">
        <w:rPr>
          <w:rFonts w:ascii="Segoe UI" w:hAnsi="Segoe UI" w:cs="Segoe UI"/>
          <w:color w:val="auto"/>
        </w:rPr>
        <w:t>–</w:t>
      </w:r>
      <w:r w:rsidRPr="00CF6436">
        <w:rPr>
          <w:rFonts w:ascii="Segoe UI" w:eastAsia="Times New Roman" w:hAnsi="Segoe UI" w:cs="Segoe UI"/>
          <w:color w:val="auto"/>
        </w:rPr>
        <w:t>Patent Public Advisory Committee</w:t>
      </w:r>
    </w:p>
    <w:p w14:paraId="2FE8E092" w14:textId="3EA39CE8" w:rsidR="00234B8F" w:rsidRPr="00CF6436" w:rsidRDefault="00234B8F" w:rsidP="00202135">
      <w:pPr>
        <w:pStyle w:val="Default"/>
        <w:spacing w:line="480" w:lineRule="auto"/>
        <w:rPr>
          <w:rFonts w:ascii="Segoe UI" w:eastAsia="Times New Roman" w:hAnsi="Segoe UI" w:cs="Segoe UI"/>
          <w:color w:val="auto"/>
        </w:rPr>
      </w:pPr>
      <w:r w:rsidRPr="00CF6436">
        <w:rPr>
          <w:rFonts w:ascii="Segoe UI" w:eastAsia="Times New Roman" w:hAnsi="Segoe UI" w:cs="Segoe UI"/>
          <w:color w:val="auto"/>
        </w:rPr>
        <w:t>P</w:t>
      </w:r>
      <w:r w:rsidR="00AF2ED7" w:rsidRPr="00CF6436">
        <w:rPr>
          <w:rFonts w:ascii="Segoe UI" w:eastAsia="Times New Roman" w:hAnsi="Segoe UI" w:cs="Segoe UI"/>
          <w:color w:val="auto"/>
        </w:rPr>
        <w:t>CT</w:t>
      </w:r>
      <w:r w:rsidR="001122ED" w:rsidRPr="1F843CD6">
        <w:rPr>
          <w:rFonts w:ascii="Segoe UI" w:hAnsi="Segoe UI" w:cs="Segoe UI"/>
          <w:color w:val="auto"/>
        </w:rPr>
        <w:t>–</w:t>
      </w:r>
      <w:r w:rsidR="00AF2ED7" w:rsidRPr="00CF6436">
        <w:rPr>
          <w:rFonts w:ascii="Segoe UI" w:eastAsia="Times New Roman" w:hAnsi="Segoe UI" w:cs="Segoe UI"/>
          <w:color w:val="auto"/>
        </w:rPr>
        <w:t>Patent Cooperation Treaty</w:t>
      </w:r>
    </w:p>
    <w:p w14:paraId="2BE6DF07" w14:textId="7BE0C1DA" w:rsidR="00234B8F" w:rsidRDefault="00234B8F" w:rsidP="00202135">
      <w:pPr>
        <w:pStyle w:val="Default"/>
        <w:spacing w:line="480" w:lineRule="auto"/>
        <w:rPr>
          <w:rFonts w:ascii="Segoe UI" w:eastAsia="Times New Roman" w:hAnsi="Segoe UI" w:cs="Segoe UI"/>
          <w:color w:val="auto"/>
        </w:rPr>
      </w:pPr>
      <w:r w:rsidRPr="00CF6436">
        <w:rPr>
          <w:rFonts w:ascii="Segoe UI" w:eastAsia="Times New Roman" w:hAnsi="Segoe UI" w:cs="Segoe UI"/>
          <w:color w:val="auto"/>
        </w:rPr>
        <w:t>PPM</w:t>
      </w:r>
      <w:r w:rsidR="00203C23" w:rsidRPr="1F843CD6">
        <w:rPr>
          <w:rFonts w:ascii="Segoe UI" w:hAnsi="Segoe UI" w:cs="Segoe UI"/>
          <w:color w:val="auto"/>
        </w:rPr>
        <w:t>–</w:t>
      </w:r>
      <w:r w:rsidRPr="00CF6436">
        <w:rPr>
          <w:rFonts w:ascii="Segoe UI" w:eastAsia="Times New Roman" w:hAnsi="Segoe UI" w:cs="Segoe UI"/>
          <w:color w:val="auto"/>
        </w:rPr>
        <w:t xml:space="preserve">Patent </w:t>
      </w:r>
      <w:r w:rsidR="00713BDD" w:rsidRPr="00CF6436">
        <w:rPr>
          <w:rFonts w:ascii="Segoe UI" w:eastAsia="Times New Roman" w:hAnsi="Segoe UI" w:cs="Segoe UI"/>
          <w:color w:val="auto"/>
        </w:rPr>
        <w:t>Pendency</w:t>
      </w:r>
      <w:r w:rsidR="00AF2ED7" w:rsidRPr="00CF6436">
        <w:rPr>
          <w:rFonts w:ascii="Segoe UI" w:eastAsia="Times New Roman" w:hAnsi="Segoe UI" w:cs="Segoe UI"/>
          <w:color w:val="auto"/>
        </w:rPr>
        <w:t xml:space="preserve"> Model</w:t>
      </w:r>
    </w:p>
    <w:p w14:paraId="4A766B5B" w14:textId="7F708CCB" w:rsidR="00D16D98" w:rsidRPr="00CF6436" w:rsidRDefault="00D16D98" w:rsidP="00202135">
      <w:pPr>
        <w:pStyle w:val="Default"/>
        <w:spacing w:line="480" w:lineRule="auto"/>
        <w:rPr>
          <w:rFonts w:ascii="Segoe UI" w:eastAsia="Times New Roman" w:hAnsi="Segoe UI" w:cs="Segoe UI"/>
          <w:color w:val="auto"/>
        </w:rPr>
      </w:pPr>
      <w:r>
        <w:rPr>
          <w:rFonts w:ascii="Segoe UI" w:eastAsia="Times New Roman" w:hAnsi="Segoe UI" w:cs="Segoe UI"/>
          <w:color w:val="auto"/>
        </w:rPr>
        <w:t>PTA</w:t>
      </w:r>
      <w:r w:rsidRPr="1F843CD6">
        <w:rPr>
          <w:rFonts w:ascii="Segoe UI" w:hAnsi="Segoe UI" w:cs="Segoe UI"/>
          <w:color w:val="auto"/>
        </w:rPr>
        <w:t>–</w:t>
      </w:r>
      <w:r w:rsidR="00884676">
        <w:rPr>
          <w:rFonts w:ascii="Segoe UI" w:hAnsi="Segoe UI" w:cs="Segoe UI"/>
          <w:color w:val="auto"/>
        </w:rPr>
        <w:t>p</w:t>
      </w:r>
      <w:r>
        <w:rPr>
          <w:rFonts w:ascii="Segoe UI" w:hAnsi="Segoe UI" w:cs="Segoe UI"/>
          <w:color w:val="auto"/>
        </w:rPr>
        <w:t>atent term adjustment</w:t>
      </w:r>
    </w:p>
    <w:p w14:paraId="4A4B50C0" w14:textId="141D6D6C" w:rsidR="00234B8F" w:rsidRPr="00CF6436" w:rsidRDefault="00234B8F" w:rsidP="00202135">
      <w:pPr>
        <w:pStyle w:val="Default"/>
        <w:spacing w:line="480" w:lineRule="auto"/>
        <w:rPr>
          <w:rFonts w:ascii="Segoe UI" w:eastAsia="Times New Roman" w:hAnsi="Segoe UI" w:cs="Segoe UI"/>
          <w:color w:val="auto"/>
        </w:rPr>
      </w:pPr>
      <w:r w:rsidRPr="00CF6436">
        <w:rPr>
          <w:rFonts w:ascii="Segoe UI" w:eastAsia="Times New Roman" w:hAnsi="Segoe UI" w:cs="Segoe UI"/>
          <w:color w:val="auto"/>
        </w:rPr>
        <w:t>PTAB</w:t>
      </w:r>
      <w:r w:rsidR="00683B86" w:rsidRPr="1F843CD6">
        <w:rPr>
          <w:rFonts w:ascii="Segoe UI" w:hAnsi="Segoe UI" w:cs="Segoe UI"/>
          <w:color w:val="auto"/>
        </w:rPr>
        <w:t>–</w:t>
      </w:r>
      <w:r w:rsidRPr="00CF6436">
        <w:rPr>
          <w:rFonts w:ascii="Segoe UI" w:eastAsia="Times New Roman" w:hAnsi="Segoe UI" w:cs="Segoe UI"/>
          <w:color w:val="auto"/>
        </w:rPr>
        <w:t>P</w:t>
      </w:r>
      <w:r w:rsidR="00AF2ED7" w:rsidRPr="00CF6436">
        <w:rPr>
          <w:rFonts w:ascii="Segoe UI" w:eastAsia="Times New Roman" w:hAnsi="Segoe UI" w:cs="Segoe UI"/>
          <w:color w:val="auto"/>
        </w:rPr>
        <w:t>atent Trial and Appeal Board</w:t>
      </w:r>
    </w:p>
    <w:p w14:paraId="4444FA17" w14:textId="42C4DE4D" w:rsidR="00234B8F" w:rsidRPr="00CF6436" w:rsidRDefault="00234B8F" w:rsidP="00202135">
      <w:pPr>
        <w:pStyle w:val="Default"/>
        <w:spacing w:line="480" w:lineRule="auto"/>
        <w:rPr>
          <w:rFonts w:ascii="Segoe UI" w:eastAsia="Times New Roman" w:hAnsi="Segoe UI" w:cs="Segoe UI"/>
          <w:color w:val="auto"/>
        </w:rPr>
      </w:pPr>
      <w:r w:rsidRPr="00CF6436">
        <w:rPr>
          <w:rFonts w:ascii="Segoe UI" w:eastAsia="Times New Roman" w:hAnsi="Segoe UI" w:cs="Segoe UI"/>
          <w:color w:val="auto"/>
        </w:rPr>
        <w:lastRenderedPageBreak/>
        <w:t>R&amp;D</w:t>
      </w:r>
      <w:r w:rsidR="00683B86" w:rsidRPr="1F843CD6">
        <w:rPr>
          <w:rFonts w:ascii="Segoe UI" w:hAnsi="Segoe UI" w:cs="Segoe UI"/>
          <w:color w:val="auto"/>
        </w:rPr>
        <w:t>–</w:t>
      </w:r>
      <w:r w:rsidR="00884676">
        <w:rPr>
          <w:rFonts w:ascii="Segoe UI" w:eastAsia="Times New Roman" w:hAnsi="Segoe UI" w:cs="Segoe UI"/>
          <w:color w:val="auto"/>
        </w:rPr>
        <w:t>r</w:t>
      </w:r>
      <w:r w:rsidRPr="00CF6436">
        <w:rPr>
          <w:rFonts w:ascii="Segoe UI" w:eastAsia="Times New Roman" w:hAnsi="Segoe UI" w:cs="Segoe UI"/>
          <w:color w:val="auto"/>
        </w:rPr>
        <w:t xml:space="preserve">esearch </w:t>
      </w:r>
      <w:r w:rsidR="00AF2ED7" w:rsidRPr="00CF6436">
        <w:rPr>
          <w:rFonts w:ascii="Segoe UI" w:eastAsia="Times New Roman" w:hAnsi="Segoe UI" w:cs="Segoe UI"/>
          <w:color w:val="auto"/>
        </w:rPr>
        <w:t xml:space="preserve">and </w:t>
      </w:r>
      <w:r w:rsidR="00683B86">
        <w:rPr>
          <w:rFonts w:ascii="Segoe UI" w:eastAsia="Times New Roman" w:hAnsi="Segoe UI" w:cs="Segoe UI"/>
          <w:color w:val="auto"/>
        </w:rPr>
        <w:t>d</w:t>
      </w:r>
      <w:r w:rsidR="00AF2ED7" w:rsidRPr="00CF6436">
        <w:rPr>
          <w:rFonts w:ascii="Segoe UI" w:eastAsia="Times New Roman" w:hAnsi="Segoe UI" w:cs="Segoe UI"/>
          <w:color w:val="auto"/>
        </w:rPr>
        <w:t>evelopment</w:t>
      </w:r>
    </w:p>
    <w:p w14:paraId="6866D14F" w14:textId="47B7BDBA" w:rsidR="00234B8F" w:rsidRPr="00CF6436" w:rsidRDefault="00234B8F" w:rsidP="00202135">
      <w:pPr>
        <w:pStyle w:val="Default"/>
        <w:spacing w:line="480" w:lineRule="auto"/>
        <w:rPr>
          <w:rFonts w:ascii="Segoe UI" w:eastAsia="Times New Roman" w:hAnsi="Segoe UI" w:cs="Segoe UI"/>
          <w:color w:val="auto"/>
        </w:rPr>
      </w:pPr>
      <w:r w:rsidRPr="00CF6436">
        <w:rPr>
          <w:rFonts w:ascii="Segoe UI" w:eastAsia="Times New Roman" w:hAnsi="Segoe UI" w:cs="Segoe UI"/>
          <w:color w:val="auto"/>
        </w:rPr>
        <w:t>RCE</w:t>
      </w:r>
      <w:r w:rsidR="00837DAC" w:rsidRPr="1F843CD6">
        <w:rPr>
          <w:rFonts w:ascii="Segoe UI" w:hAnsi="Segoe UI" w:cs="Segoe UI"/>
          <w:color w:val="auto"/>
        </w:rPr>
        <w:t>–</w:t>
      </w:r>
      <w:r w:rsidR="00884676">
        <w:rPr>
          <w:rFonts w:ascii="Segoe UI" w:eastAsia="Times New Roman" w:hAnsi="Segoe UI" w:cs="Segoe UI"/>
          <w:color w:val="auto"/>
        </w:rPr>
        <w:t>r</w:t>
      </w:r>
      <w:r w:rsidRPr="00CF6436">
        <w:rPr>
          <w:rFonts w:ascii="Segoe UI" w:eastAsia="Times New Roman" w:hAnsi="Segoe UI" w:cs="Segoe UI"/>
          <w:color w:val="auto"/>
        </w:rPr>
        <w:t>eques</w:t>
      </w:r>
      <w:r w:rsidR="00AF2ED7" w:rsidRPr="00CF6436">
        <w:rPr>
          <w:rFonts w:ascii="Segoe UI" w:eastAsia="Times New Roman" w:hAnsi="Segoe UI" w:cs="Segoe UI"/>
          <w:color w:val="auto"/>
        </w:rPr>
        <w:t xml:space="preserve">t for </w:t>
      </w:r>
      <w:r w:rsidR="00884676">
        <w:rPr>
          <w:rFonts w:ascii="Segoe UI" w:eastAsia="Times New Roman" w:hAnsi="Segoe UI" w:cs="Segoe UI"/>
          <w:color w:val="auto"/>
        </w:rPr>
        <w:t>c</w:t>
      </w:r>
      <w:r w:rsidR="00AF2ED7" w:rsidRPr="00CF6436">
        <w:rPr>
          <w:rFonts w:ascii="Segoe UI" w:eastAsia="Times New Roman" w:hAnsi="Segoe UI" w:cs="Segoe UI"/>
          <w:color w:val="auto"/>
        </w:rPr>
        <w:t xml:space="preserve">ontinued </w:t>
      </w:r>
      <w:r w:rsidR="00884676">
        <w:rPr>
          <w:rFonts w:ascii="Segoe UI" w:eastAsia="Times New Roman" w:hAnsi="Segoe UI" w:cs="Segoe UI"/>
          <w:color w:val="auto"/>
        </w:rPr>
        <w:t>e</w:t>
      </w:r>
      <w:r w:rsidR="00AF2ED7" w:rsidRPr="00CF6436">
        <w:rPr>
          <w:rFonts w:ascii="Segoe UI" w:eastAsia="Times New Roman" w:hAnsi="Segoe UI" w:cs="Segoe UI"/>
          <w:color w:val="auto"/>
        </w:rPr>
        <w:t>xamination</w:t>
      </w:r>
    </w:p>
    <w:p w14:paraId="6E90D9AC" w14:textId="04C9E7B5" w:rsidR="00234B8F" w:rsidRPr="00CF6436" w:rsidRDefault="00234B8F" w:rsidP="00202135">
      <w:pPr>
        <w:pStyle w:val="Default"/>
        <w:spacing w:line="480" w:lineRule="auto"/>
        <w:rPr>
          <w:rFonts w:ascii="Segoe UI" w:eastAsia="Times New Roman" w:hAnsi="Segoe UI" w:cs="Segoe UI"/>
          <w:color w:val="auto"/>
        </w:rPr>
      </w:pPr>
      <w:r w:rsidRPr="00CF6436">
        <w:rPr>
          <w:rFonts w:ascii="Segoe UI" w:eastAsia="Times New Roman" w:hAnsi="Segoe UI" w:cs="Segoe UI"/>
          <w:color w:val="auto"/>
        </w:rPr>
        <w:t>RGDP</w:t>
      </w:r>
      <w:r w:rsidR="000B5E77" w:rsidRPr="1F843CD6">
        <w:rPr>
          <w:rFonts w:ascii="Segoe UI" w:hAnsi="Segoe UI" w:cs="Segoe UI"/>
          <w:color w:val="auto"/>
        </w:rPr>
        <w:t>–</w:t>
      </w:r>
      <w:r w:rsidR="00884676">
        <w:rPr>
          <w:rFonts w:ascii="Segoe UI" w:eastAsia="Times New Roman" w:hAnsi="Segoe UI" w:cs="Segoe UI"/>
          <w:color w:val="auto"/>
        </w:rPr>
        <w:t>r</w:t>
      </w:r>
      <w:r w:rsidR="00AF2ED7" w:rsidRPr="00CF6436">
        <w:rPr>
          <w:rFonts w:ascii="Segoe UI" w:eastAsia="Times New Roman" w:hAnsi="Segoe UI" w:cs="Segoe UI"/>
          <w:color w:val="auto"/>
        </w:rPr>
        <w:t xml:space="preserve">eal </w:t>
      </w:r>
      <w:r w:rsidR="000B5E77">
        <w:rPr>
          <w:rFonts w:ascii="Segoe UI" w:eastAsia="Times New Roman" w:hAnsi="Segoe UI" w:cs="Segoe UI"/>
          <w:color w:val="auto"/>
        </w:rPr>
        <w:t>g</w:t>
      </w:r>
      <w:r w:rsidR="00AF2ED7" w:rsidRPr="00CF6436">
        <w:rPr>
          <w:rFonts w:ascii="Segoe UI" w:eastAsia="Times New Roman" w:hAnsi="Segoe UI" w:cs="Segoe UI"/>
          <w:color w:val="auto"/>
        </w:rPr>
        <w:t xml:space="preserve">ross </w:t>
      </w:r>
      <w:r w:rsidR="000B5E77">
        <w:rPr>
          <w:rFonts w:ascii="Segoe UI" w:eastAsia="Times New Roman" w:hAnsi="Segoe UI" w:cs="Segoe UI"/>
          <w:color w:val="auto"/>
        </w:rPr>
        <w:t>d</w:t>
      </w:r>
      <w:r w:rsidR="00AF2ED7" w:rsidRPr="00CF6436">
        <w:rPr>
          <w:rFonts w:ascii="Segoe UI" w:eastAsia="Times New Roman" w:hAnsi="Segoe UI" w:cs="Segoe UI"/>
          <w:color w:val="auto"/>
        </w:rPr>
        <w:t xml:space="preserve">omestic </w:t>
      </w:r>
      <w:r w:rsidR="000B5E77">
        <w:rPr>
          <w:rFonts w:ascii="Segoe UI" w:eastAsia="Times New Roman" w:hAnsi="Segoe UI" w:cs="Segoe UI"/>
          <w:color w:val="auto"/>
        </w:rPr>
        <w:t>p</w:t>
      </w:r>
      <w:r w:rsidR="00AF2ED7" w:rsidRPr="00CF6436">
        <w:rPr>
          <w:rFonts w:ascii="Segoe UI" w:eastAsia="Times New Roman" w:hAnsi="Segoe UI" w:cs="Segoe UI"/>
          <w:color w:val="auto"/>
        </w:rPr>
        <w:t>roduct</w:t>
      </w:r>
    </w:p>
    <w:p w14:paraId="47C4D01E" w14:textId="3D92F1D6" w:rsidR="00F53CAD" w:rsidRPr="00CF6436" w:rsidRDefault="00234B8F" w:rsidP="00202135">
      <w:pPr>
        <w:pStyle w:val="Default"/>
        <w:spacing w:line="480" w:lineRule="auto"/>
        <w:rPr>
          <w:rFonts w:ascii="Segoe UI" w:eastAsia="Times New Roman" w:hAnsi="Segoe UI" w:cs="Segoe UI"/>
          <w:color w:val="auto"/>
        </w:rPr>
      </w:pPr>
      <w:r w:rsidRPr="00CF6436">
        <w:rPr>
          <w:rFonts w:ascii="Segoe UI" w:eastAsia="Times New Roman" w:hAnsi="Segoe UI" w:cs="Segoe UI"/>
          <w:color w:val="auto"/>
        </w:rPr>
        <w:t>RIA</w:t>
      </w:r>
      <w:r w:rsidR="007576BB" w:rsidRPr="1F843CD6">
        <w:rPr>
          <w:rFonts w:ascii="Segoe UI" w:hAnsi="Segoe UI" w:cs="Segoe UI"/>
          <w:color w:val="auto"/>
        </w:rPr>
        <w:t>–</w:t>
      </w:r>
      <w:r w:rsidR="00AF2ED7" w:rsidRPr="00CF6436">
        <w:rPr>
          <w:rFonts w:ascii="Segoe UI" w:eastAsia="Times New Roman" w:hAnsi="Segoe UI" w:cs="Segoe UI"/>
          <w:color w:val="auto"/>
        </w:rPr>
        <w:t>Regulatory Impact Analysis</w:t>
      </w:r>
    </w:p>
    <w:p w14:paraId="5D3AC72B" w14:textId="0C738D83" w:rsidR="00234B8F" w:rsidRPr="00CF6436" w:rsidRDefault="00F53CAD" w:rsidP="00202135">
      <w:pPr>
        <w:pStyle w:val="Default"/>
        <w:spacing w:line="480" w:lineRule="auto"/>
        <w:rPr>
          <w:rFonts w:ascii="Segoe UI" w:eastAsia="Times New Roman" w:hAnsi="Segoe UI" w:cs="Segoe UI"/>
          <w:color w:val="auto"/>
        </w:rPr>
      </w:pPr>
      <w:r w:rsidRPr="00CF6436">
        <w:rPr>
          <w:rFonts w:ascii="Segoe UI" w:eastAsia="Times New Roman" w:hAnsi="Segoe UI" w:cs="Segoe UI"/>
          <w:color w:val="auto"/>
        </w:rPr>
        <w:t>SUCCESS Act</w:t>
      </w:r>
      <w:r w:rsidR="00E77912" w:rsidRPr="1F843CD6">
        <w:rPr>
          <w:rFonts w:ascii="Segoe UI" w:hAnsi="Segoe UI" w:cs="Segoe UI"/>
          <w:color w:val="auto"/>
        </w:rPr>
        <w:t>–</w:t>
      </w:r>
      <w:r w:rsidRPr="00CF6436">
        <w:rPr>
          <w:rFonts w:ascii="Segoe UI" w:eastAsia="Times New Roman" w:hAnsi="Segoe UI" w:cs="Segoe UI"/>
          <w:color w:val="auto"/>
        </w:rPr>
        <w:t>The Study of Underrepresented Classes Chasing Engineering and Science Success Act of 2018</w:t>
      </w:r>
    </w:p>
    <w:p w14:paraId="60CC8D98" w14:textId="3838640A" w:rsidR="00234B8F" w:rsidRPr="00CF6436" w:rsidRDefault="00AF2ED7" w:rsidP="00202135">
      <w:pPr>
        <w:pStyle w:val="Default"/>
        <w:spacing w:line="480" w:lineRule="auto"/>
        <w:rPr>
          <w:rFonts w:ascii="Segoe UI" w:eastAsia="Times New Roman" w:hAnsi="Segoe UI" w:cs="Segoe UI"/>
          <w:color w:val="auto"/>
        </w:rPr>
      </w:pPr>
      <w:r w:rsidRPr="00CF6436">
        <w:rPr>
          <w:rFonts w:ascii="Segoe UI" w:eastAsia="Times New Roman" w:hAnsi="Segoe UI" w:cs="Segoe UI"/>
          <w:color w:val="auto"/>
        </w:rPr>
        <w:t>U.S.C.</w:t>
      </w:r>
      <w:r w:rsidR="00CC2E6C" w:rsidRPr="1F843CD6">
        <w:rPr>
          <w:rFonts w:ascii="Segoe UI" w:hAnsi="Segoe UI" w:cs="Segoe UI"/>
          <w:color w:val="auto"/>
        </w:rPr>
        <w:t>–</w:t>
      </w:r>
      <w:r w:rsidRPr="00CF6436">
        <w:rPr>
          <w:rFonts w:ascii="Segoe UI" w:eastAsia="Times New Roman" w:hAnsi="Segoe UI" w:cs="Segoe UI"/>
          <w:color w:val="auto"/>
        </w:rPr>
        <w:t>United States Code</w:t>
      </w:r>
    </w:p>
    <w:p w14:paraId="2260FD34" w14:textId="650902C1" w:rsidR="00A43E5F" w:rsidRPr="00CF6436" w:rsidRDefault="00234B8F" w:rsidP="00202135">
      <w:pPr>
        <w:pStyle w:val="Default"/>
        <w:spacing w:line="480" w:lineRule="auto"/>
        <w:rPr>
          <w:rFonts w:ascii="Segoe UI" w:eastAsiaTheme="minorHAnsi" w:hAnsi="Segoe UI" w:cs="Segoe UI"/>
          <w:sz w:val="22"/>
        </w:rPr>
      </w:pPr>
      <w:r w:rsidRPr="00CF6436">
        <w:rPr>
          <w:rFonts w:ascii="Segoe UI" w:eastAsia="Times New Roman" w:hAnsi="Segoe UI" w:cs="Segoe UI"/>
          <w:color w:val="auto"/>
        </w:rPr>
        <w:t>USPTO</w:t>
      </w:r>
      <w:r w:rsidR="00E72555" w:rsidRPr="1F843CD6">
        <w:rPr>
          <w:rFonts w:ascii="Segoe UI" w:hAnsi="Segoe UI" w:cs="Segoe UI"/>
          <w:color w:val="auto"/>
        </w:rPr>
        <w:t>–</w:t>
      </w:r>
      <w:r w:rsidRPr="00CF6436">
        <w:rPr>
          <w:rFonts w:ascii="Segoe UI" w:eastAsia="Times New Roman" w:hAnsi="Segoe UI" w:cs="Segoe UI"/>
          <w:color w:val="auto"/>
        </w:rPr>
        <w:t xml:space="preserve">United States </w:t>
      </w:r>
      <w:r w:rsidR="00963646" w:rsidRPr="00CF6436">
        <w:rPr>
          <w:rFonts w:ascii="Segoe UI" w:eastAsia="Times New Roman" w:hAnsi="Segoe UI" w:cs="Segoe UI"/>
          <w:color w:val="auto"/>
        </w:rPr>
        <w:t>Patent and</w:t>
      </w:r>
      <w:r w:rsidR="00AF2ED7" w:rsidRPr="00CF6436">
        <w:rPr>
          <w:rFonts w:ascii="Segoe UI" w:eastAsia="Times New Roman" w:hAnsi="Segoe UI" w:cs="Segoe UI"/>
          <w:color w:val="auto"/>
        </w:rPr>
        <w:t xml:space="preserve"> Trademark Office</w:t>
      </w:r>
      <w:bookmarkStart w:id="330" w:name="_Toc450566030"/>
      <w:bookmarkStart w:id="331" w:name="_Toc450567968"/>
      <w:bookmarkStart w:id="332" w:name="_Toc450568013"/>
      <w:bookmarkStart w:id="333" w:name="_Toc450568045"/>
      <w:bookmarkStart w:id="334" w:name="_Toc450579093"/>
      <w:bookmarkStart w:id="335" w:name="_Toc450669478"/>
      <w:bookmarkStart w:id="336" w:name="_Toc450566031"/>
      <w:bookmarkStart w:id="337" w:name="_Toc450567969"/>
      <w:bookmarkStart w:id="338" w:name="_Toc450568014"/>
      <w:bookmarkStart w:id="339" w:name="_Toc450568046"/>
      <w:bookmarkStart w:id="340" w:name="_Toc450579094"/>
      <w:bookmarkStart w:id="341" w:name="_Toc450669479"/>
      <w:bookmarkStart w:id="342" w:name="_Toc450669483"/>
      <w:bookmarkStart w:id="343" w:name="_Toc450566033"/>
      <w:bookmarkStart w:id="344" w:name="_Toc450567971"/>
      <w:bookmarkStart w:id="345" w:name="_Toc450568016"/>
      <w:bookmarkStart w:id="346" w:name="_Toc450568048"/>
      <w:bookmarkStart w:id="347" w:name="_Toc450579096"/>
      <w:bookmarkStart w:id="348" w:name="_Toc450669484"/>
      <w:bookmarkStart w:id="349" w:name="_Toc450566034"/>
      <w:bookmarkStart w:id="350" w:name="_Toc450567972"/>
      <w:bookmarkStart w:id="351" w:name="_Toc450568017"/>
      <w:bookmarkStart w:id="352" w:name="_Toc450568049"/>
      <w:bookmarkStart w:id="353" w:name="_Toc450579097"/>
      <w:bookmarkStart w:id="354" w:name="_Toc450669485"/>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sectPr w:rsidR="00A43E5F" w:rsidRPr="00CF6436" w:rsidSect="00573CF6">
      <w:footerReference w:type="default" r:id="rId42"/>
      <w:type w:val="continuous"/>
      <w:pgSz w:w="12240" w:h="15840" w:code="1"/>
      <w:pgMar w:top="1166" w:right="1440" w:bottom="1440" w:left="188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04332" w14:textId="77777777" w:rsidR="00C56166" w:rsidRDefault="00C56166" w:rsidP="00A32049">
      <w:pPr>
        <w:spacing w:line="240" w:lineRule="auto"/>
      </w:pPr>
      <w:r>
        <w:separator/>
      </w:r>
    </w:p>
    <w:p w14:paraId="5B2E82CB" w14:textId="77777777" w:rsidR="00C56166" w:rsidRDefault="00C56166"/>
  </w:endnote>
  <w:endnote w:type="continuationSeparator" w:id="0">
    <w:p w14:paraId="5526A62B" w14:textId="77777777" w:rsidR="00C56166" w:rsidRDefault="00C56166" w:rsidP="00A32049">
      <w:pPr>
        <w:spacing w:line="240" w:lineRule="auto"/>
      </w:pPr>
      <w:r>
        <w:continuationSeparator/>
      </w:r>
    </w:p>
    <w:p w14:paraId="46C196FD" w14:textId="77777777" w:rsidR="00C56166" w:rsidRDefault="00C56166"/>
  </w:endnote>
  <w:endnote w:type="continuationNotice" w:id="1">
    <w:p w14:paraId="68188221" w14:textId="77777777" w:rsidR="00C56166" w:rsidRDefault="00C56166" w:rsidP="00A32049">
      <w:pPr>
        <w:spacing w:line="240" w:lineRule="auto"/>
      </w:pPr>
    </w:p>
    <w:p w14:paraId="0F451438" w14:textId="77777777" w:rsidR="00C56166" w:rsidRDefault="00C56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e 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5D96" w14:textId="77777777" w:rsidR="000D3E3D" w:rsidRDefault="000D3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A3188" w14:textId="77777777" w:rsidR="000D3E3D" w:rsidRDefault="000D3E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35F31" w14:textId="77777777" w:rsidR="000D3E3D" w:rsidRDefault="000D3E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7349314"/>
      <w:docPartObj>
        <w:docPartGallery w:val="Page Numbers (Bottom of Page)"/>
        <w:docPartUnique/>
      </w:docPartObj>
    </w:sdtPr>
    <w:sdtEndPr/>
    <w:sdtContent>
      <w:p w14:paraId="2A408DB9" w14:textId="11342342" w:rsidR="00F67C0D" w:rsidRPr="00ED6A62" w:rsidRDefault="00F67C0D" w:rsidP="00ED6A62">
        <w:pPr>
          <w:jc w:val="center"/>
        </w:pPr>
        <w:r w:rsidRPr="00ED6A62">
          <w:fldChar w:fldCharType="begin"/>
        </w:r>
        <w:r w:rsidRPr="00ED6A62">
          <w:instrText xml:space="preserve"> PAGE   \* MERGEFORMAT </w:instrText>
        </w:r>
        <w:r w:rsidRPr="00ED6A62">
          <w:fldChar w:fldCharType="separate"/>
        </w:r>
        <w:proofErr w:type="spellStart"/>
        <w:r w:rsidR="00023954" w:rsidRPr="00ED6A62">
          <w:t>i</w:t>
        </w:r>
        <w:proofErr w:type="spellEnd"/>
        <w:r w:rsidRPr="00ED6A62">
          <w:fldChar w:fldCharType="end"/>
        </w:r>
      </w:p>
    </w:sdtContent>
  </w:sdt>
  <w:p w14:paraId="0989C17C" w14:textId="77777777" w:rsidR="00F67C0D" w:rsidRDefault="00F67C0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4701647"/>
      <w:docPartObj>
        <w:docPartGallery w:val="Page Numbers (Bottom of Page)"/>
        <w:docPartUnique/>
      </w:docPartObj>
    </w:sdtPr>
    <w:sdtEndPr>
      <w:rPr>
        <w:noProof/>
      </w:rPr>
    </w:sdtEndPr>
    <w:sdtContent>
      <w:p w14:paraId="4277056E" w14:textId="174AC705" w:rsidR="00E5379C" w:rsidRDefault="00E537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51FE5D" w14:textId="77777777" w:rsidR="007958BC" w:rsidRDefault="007958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25032" w14:textId="77777777" w:rsidR="00C56166" w:rsidRDefault="00C56166" w:rsidP="00A32049">
      <w:pPr>
        <w:spacing w:line="240" w:lineRule="auto"/>
      </w:pPr>
      <w:r>
        <w:separator/>
      </w:r>
    </w:p>
    <w:p w14:paraId="50DB6A40" w14:textId="77777777" w:rsidR="00C56166" w:rsidRDefault="00C56166"/>
  </w:footnote>
  <w:footnote w:type="continuationSeparator" w:id="0">
    <w:p w14:paraId="57E15B61" w14:textId="77777777" w:rsidR="00C56166" w:rsidRDefault="00C56166" w:rsidP="00A32049">
      <w:pPr>
        <w:spacing w:line="240" w:lineRule="auto"/>
      </w:pPr>
      <w:r>
        <w:continuationSeparator/>
      </w:r>
    </w:p>
    <w:p w14:paraId="7B7B71B3" w14:textId="77777777" w:rsidR="00C56166" w:rsidRDefault="00C56166"/>
  </w:footnote>
  <w:footnote w:type="continuationNotice" w:id="1">
    <w:p w14:paraId="4685D133" w14:textId="77777777" w:rsidR="00C56166" w:rsidRDefault="00C56166" w:rsidP="00A32049">
      <w:pPr>
        <w:spacing w:line="240" w:lineRule="auto"/>
      </w:pPr>
    </w:p>
    <w:p w14:paraId="16B764DA" w14:textId="77777777" w:rsidR="00C56166" w:rsidRDefault="00C56166"/>
  </w:footnote>
  <w:footnote w:id="2">
    <w:p w14:paraId="57DFDFA3" w14:textId="2B60EDDD" w:rsidR="00211D89" w:rsidRPr="00CE3598" w:rsidRDefault="00211D89" w:rsidP="000115B1">
      <w:pPr>
        <w:pStyle w:val="FootnoteText"/>
        <w:rPr>
          <w:rFonts w:ascii="Segoe UI" w:hAnsi="Segoe UI" w:cs="Segoe UI"/>
        </w:rPr>
      </w:pPr>
      <w:r w:rsidRPr="00CE3598">
        <w:rPr>
          <w:rStyle w:val="FootnoteReference"/>
          <w:rFonts w:ascii="Segoe UI" w:hAnsi="Segoe UI" w:cs="Segoe UI"/>
        </w:rPr>
        <w:footnoteRef/>
      </w:r>
      <w:r w:rsidRPr="00CE3598">
        <w:rPr>
          <w:rFonts w:ascii="Segoe UI" w:hAnsi="Segoe UI" w:cs="Segoe UI"/>
        </w:rPr>
        <w:t xml:space="preserve"> </w:t>
      </w:r>
      <w:r w:rsidRPr="5129E6EA">
        <w:rPr>
          <w:rFonts w:ascii="Segoe UI" w:eastAsiaTheme="minorEastAsia" w:hAnsi="Segoe UI" w:cs="Segoe UI"/>
        </w:rPr>
        <w:t>For example, income from reimbursable agreements and recoveries of prior year obligations</w:t>
      </w:r>
      <w:r w:rsidRPr="00E72555">
        <w:rPr>
          <w:rFonts w:ascii="Segoe UI" w:eastAsiaTheme="minorEastAsia" w:hAnsi="Segoe UI" w:cs="Segoe UI"/>
          <w:color w:val="2B579A"/>
          <w:shd w:val="clear" w:color="auto" w:fill="E6E6E6"/>
        </w:rPr>
        <w:t>.</w:t>
      </w:r>
    </w:p>
  </w:footnote>
  <w:footnote w:id="3">
    <w:p w14:paraId="4293603C" w14:textId="1D5C7595" w:rsidR="00F67C0D" w:rsidRDefault="00F67C0D">
      <w:pPr>
        <w:pStyle w:val="FootnoteText"/>
      </w:pPr>
      <w:r>
        <w:rPr>
          <w:rStyle w:val="FootnoteReference"/>
        </w:rPr>
        <w:footnoteRef/>
      </w:r>
      <w:r>
        <w:t xml:space="preserve"> Does not include “other income” such as reimbursements. The revenue in the transfer tables is solely from fee collections.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CD793" w14:textId="77777777" w:rsidR="000D3E3D" w:rsidRDefault="000D3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88A67" w14:textId="77777777" w:rsidR="000D3E3D" w:rsidRDefault="000D3E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E51E0" w14:textId="77777777" w:rsidR="000D3E3D" w:rsidRDefault="000D3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4BD"/>
    <w:multiLevelType w:val="hybridMultilevel"/>
    <w:tmpl w:val="E896893A"/>
    <w:lvl w:ilvl="0" w:tplc="FFFFFFFF">
      <w:start w:val="1"/>
      <w:numFmt w:val="lowerLetter"/>
      <w:lvlText w:val="%1)"/>
      <w:lvlJc w:val="left"/>
      <w:pPr>
        <w:ind w:left="810" w:hanging="360"/>
      </w:pPr>
      <w:rPr>
        <w:b/>
        <w:i w:val="0"/>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 w15:restartNumberingAfterBreak="0">
    <w:nsid w:val="054549D8"/>
    <w:multiLevelType w:val="multilevel"/>
    <w:tmpl w:val="76BEFBF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6F47FB4"/>
    <w:multiLevelType w:val="hybridMultilevel"/>
    <w:tmpl w:val="EA045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80336"/>
    <w:multiLevelType w:val="hybridMultilevel"/>
    <w:tmpl w:val="AD4A7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C5931"/>
    <w:multiLevelType w:val="hybridMultilevel"/>
    <w:tmpl w:val="0E0EAB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0BD94234"/>
    <w:multiLevelType w:val="multilevel"/>
    <w:tmpl w:val="4CE42962"/>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pStyle w:val="Heading3Numbering"/>
      <w:lvlText w:val="%1.%2.%3"/>
      <w:lvlJc w:val="left"/>
      <w:pPr>
        <w:ind w:left="720" w:hanging="720"/>
      </w:pPr>
      <w:rPr>
        <w:rFonts w:hint="default"/>
        <w:b/>
        <w:color w:val="4F81BD"/>
      </w:rPr>
    </w:lvl>
    <w:lvl w:ilvl="3">
      <w:start w:val="1"/>
      <w:numFmt w:val="decimal"/>
      <w:pStyle w:val="Heading4Numbering"/>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C0840C2"/>
    <w:multiLevelType w:val="multilevel"/>
    <w:tmpl w:val="73560CBA"/>
    <w:lvl w:ilvl="0">
      <w:start w:val="1"/>
      <w:numFmt w:val="decimal"/>
      <w:lvlText w:val="%1"/>
      <w:lvlJc w:val="left"/>
      <w:pPr>
        <w:ind w:left="360" w:hanging="360"/>
      </w:pPr>
      <w:rPr>
        <w:rFonts w:hint="default"/>
      </w:rPr>
    </w:lvl>
    <w:lvl w:ilvl="1">
      <w:start w:val="1"/>
      <w:numFmt w:val="decimal"/>
      <w:pStyle w:val="Heading2Number"/>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DB3400B"/>
    <w:multiLevelType w:val="hybridMultilevel"/>
    <w:tmpl w:val="5EF2C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D72DB"/>
    <w:multiLevelType w:val="hybridMultilevel"/>
    <w:tmpl w:val="40C8B344"/>
    <w:lvl w:ilvl="0" w:tplc="2916AD9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9717C"/>
    <w:multiLevelType w:val="hybridMultilevel"/>
    <w:tmpl w:val="F7FE6EBA"/>
    <w:lvl w:ilvl="0" w:tplc="97368E3C">
      <w:start w:val="1"/>
      <w:numFmt w:val="decimal"/>
      <w:pStyle w:val="Heading1"/>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5364CA"/>
    <w:multiLevelType w:val="hybridMultilevel"/>
    <w:tmpl w:val="DC08E0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F754B"/>
    <w:multiLevelType w:val="hybridMultilevel"/>
    <w:tmpl w:val="2E92F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C33A10"/>
    <w:multiLevelType w:val="hybridMultilevel"/>
    <w:tmpl w:val="C56AE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523F4E"/>
    <w:multiLevelType w:val="hybridMultilevel"/>
    <w:tmpl w:val="B2783D0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4" w15:restartNumberingAfterBreak="0">
    <w:nsid w:val="3AED49DB"/>
    <w:multiLevelType w:val="hybridMultilevel"/>
    <w:tmpl w:val="E5D0FA9C"/>
    <w:lvl w:ilvl="0" w:tplc="04B86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452FA7"/>
    <w:multiLevelType w:val="hybridMultilevel"/>
    <w:tmpl w:val="38C0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372EFC"/>
    <w:multiLevelType w:val="hybridMultilevel"/>
    <w:tmpl w:val="36E8B28C"/>
    <w:lvl w:ilvl="0" w:tplc="57B87E56">
      <w:start w:val="1"/>
      <w:numFmt w:val="lowerLetter"/>
      <w:lvlText w:val="%1)"/>
      <w:lvlJc w:val="left"/>
      <w:pPr>
        <w:ind w:left="1440" w:hanging="360"/>
      </w:pPr>
      <w:rPr>
        <w:b/>
        <w: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5C374B9"/>
    <w:multiLevelType w:val="hybridMultilevel"/>
    <w:tmpl w:val="2DF442D4"/>
    <w:lvl w:ilvl="0" w:tplc="54D016C6">
      <w:start w:val="1"/>
      <w:numFmt w:val="lowerLetter"/>
      <w:lvlText w:val="%1)"/>
      <w:lvlJc w:val="left"/>
      <w:pPr>
        <w:ind w:left="360" w:hanging="360"/>
      </w:pPr>
      <w:rPr>
        <w:rFonts w:hint="default"/>
        <w:b/>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B10333E"/>
    <w:multiLevelType w:val="hybridMultilevel"/>
    <w:tmpl w:val="207CAD5C"/>
    <w:lvl w:ilvl="0" w:tplc="EBA826A0">
      <w:numFmt w:val="bullet"/>
      <w:lvlText w:val="•"/>
      <w:lvlJc w:val="left"/>
      <w:pPr>
        <w:ind w:left="1080" w:hanging="720"/>
      </w:pPr>
      <w:rPr>
        <w:rFonts w:ascii="Times New Roman" w:eastAsiaTheme="minorHAnsi"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824DAA"/>
    <w:multiLevelType w:val="hybridMultilevel"/>
    <w:tmpl w:val="A2761FFC"/>
    <w:lvl w:ilvl="0" w:tplc="57B87E56">
      <w:start w:val="1"/>
      <w:numFmt w:val="lowerLetter"/>
      <w:lvlText w:val="%1)"/>
      <w:lvlJc w:val="left"/>
      <w:pPr>
        <w:ind w:left="1440" w:hanging="360"/>
      </w:pPr>
      <w:rPr>
        <w:b/>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BE65BA1"/>
    <w:multiLevelType w:val="hybridMultilevel"/>
    <w:tmpl w:val="4AE47B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F8347A"/>
    <w:multiLevelType w:val="hybridMultilevel"/>
    <w:tmpl w:val="866EB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B176A9"/>
    <w:multiLevelType w:val="hybridMultilevel"/>
    <w:tmpl w:val="CDA4B898"/>
    <w:lvl w:ilvl="0" w:tplc="445854C0">
      <w:start w:val="1"/>
      <w:numFmt w:val="lowerLetter"/>
      <w:lvlText w:val="%1)"/>
      <w:lvlJc w:val="left"/>
      <w:pPr>
        <w:ind w:left="144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A9D5539"/>
    <w:multiLevelType w:val="hybridMultilevel"/>
    <w:tmpl w:val="146E256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70A70C50"/>
    <w:multiLevelType w:val="multilevel"/>
    <w:tmpl w:val="FEA46086"/>
    <w:lvl w:ilvl="0">
      <w:start w:val="3"/>
      <w:numFmt w:val="decimal"/>
      <w:lvlText w:val="%1"/>
      <w:lvlJc w:val="left"/>
      <w:pPr>
        <w:ind w:left="360" w:hanging="360"/>
      </w:pPr>
      <w:rPr>
        <w:rFonts w:ascii="Times New Roman" w:eastAsiaTheme="minorEastAsia" w:hAnsi="Times New Roman" w:cs="Times New Roman" w:hint="default"/>
        <w:color w:val="auto"/>
        <w:sz w:val="22"/>
      </w:rPr>
    </w:lvl>
    <w:lvl w:ilvl="1">
      <w:start w:val="3"/>
      <w:numFmt w:val="decimal"/>
      <w:lvlText w:val="%1.%2"/>
      <w:lvlJc w:val="left"/>
      <w:pPr>
        <w:ind w:left="360" w:hanging="360"/>
      </w:pPr>
      <w:rPr>
        <w:rFonts w:ascii="Times New Roman" w:eastAsiaTheme="minorEastAsia" w:hAnsi="Times New Roman" w:cs="Times New Roman" w:hint="default"/>
        <w:color w:val="auto"/>
        <w:sz w:val="22"/>
      </w:rPr>
    </w:lvl>
    <w:lvl w:ilvl="2">
      <w:start w:val="2"/>
      <w:numFmt w:val="decimal"/>
      <w:lvlText w:val="%1.%2.%3"/>
      <w:lvlJc w:val="left"/>
      <w:pPr>
        <w:ind w:left="720" w:hanging="720"/>
      </w:pPr>
      <w:rPr>
        <w:rFonts w:ascii="Times New Roman" w:eastAsiaTheme="minorEastAsia" w:hAnsi="Times New Roman" w:cs="Times New Roman" w:hint="default"/>
        <w:color w:val="auto"/>
        <w:sz w:val="22"/>
      </w:rPr>
    </w:lvl>
    <w:lvl w:ilvl="3">
      <w:start w:val="1"/>
      <w:numFmt w:val="decimal"/>
      <w:lvlText w:val="%1.%2.%3.%4"/>
      <w:lvlJc w:val="left"/>
      <w:pPr>
        <w:ind w:left="720" w:hanging="720"/>
      </w:pPr>
      <w:rPr>
        <w:rFonts w:ascii="Times New Roman" w:eastAsiaTheme="minorEastAsia" w:hAnsi="Times New Roman" w:cs="Times New Roman" w:hint="default"/>
        <w:color w:val="auto"/>
        <w:sz w:val="22"/>
      </w:rPr>
    </w:lvl>
    <w:lvl w:ilvl="4">
      <w:start w:val="1"/>
      <w:numFmt w:val="decimal"/>
      <w:lvlText w:val="%1.%2.%3.%4.%5"/>
      <w:lvlJc w:val="left"/>
      <w:pPr>
        <w:ind w:left="1080" w:hanging="1080"/>
      </w:pPr>
      <w:rPr>
        <w:rFonts w:ascii="Times New Roman" w:eastAsiaTheme="minorEastAsia" w:hAnsi="Times New Roman" w:cs="Times New Roman" w:hint="default"/>
        <w:color w:val="auto"/>
        <w:sz w:val="22"/>
      </w:rPr>
    </w:lvl>
    <w:lvl w:ilvl="5">
      <w:start w:val="1"/>
      <w:numFmt w:val="decimal"/>
      <w:lvlText w:val="%1.%2.%3.%4.%5.%6"/>
      <w:lvlJc w:val="left"/>
      <w:pPr>
        <w:ind w:left="1080" w:hanging="1080"/>
      </w:pPr>
      <w:rPr>
        <w:rFonts w:ascii="Times New Roman" w:eastAsiaTheme="minorEastAsia" w:hAnsi="Times New Roman" w:cs="Times New Roman" w:hint="default"/>
        <w:color w:val="auto"/>
        <w:sz w:val="22"/>
      </w:rPr>
    </w:lvl>
    <w:lvl w:ilvl="6">
      <w:start w:val="1"/>
      <w:numFmt w:val="decimal"/>
      <w:lvlText w:val="%1.%2.%3.%4.%5.%6.%7"/>
      <w:lvlJc w:val="left"/>
      <w:pPr>
        <w:ind w:left="1440" w:hanging="1440"/>
      </w:pPr>
      <w:rPr>
        <w:rFonts w:ascii="Times New Roman" w:eastAsiaTheme="minorEastAsia" w:hAnsi="Times New Roman" w:cs="Times New Roman" w:hint="default"/>
        <w:color w:val="auto"/>
        <w:sz w:val="22"/>
      </w:rPr>
    </w:lvl>
    <w:lvl w:ilvl="7">
      <w:start w:val="1"/>
      <w:numFmt w:val="decimal"/>
      <w:lvlText w:val="%1.%2.%3.%4.%5.%6.%7.%8"/>
      <w:lvlJc w:val="left"/>
      <w:pPr>
        <w:ind w:left="1440" w:hanging="1440"/>
      </w:pPr>
      <w:rPr>
        <w:rFonts w:ascii="Times New Roman" w:eastAsiaTheme="minorEastAsia" w:hAnsi="Times New Roman" w:cs="Times New Roman" w:hint="default"/>
        <w:color w:val="auto"/>
        <w:sz w:val="22"/>
      </w:rPr>
    </w:lvl>
    <w:lvl w:ilvl="8">
      <w:start w:val="1"/>
      <w:numFmt w:val="decimal"/>
      <w:lvlText w:val="%1.%2.%3.%4.%5.%6.%7.%8.%9"/>
      <w:lvlJc w:val="left"/>
      <w:pPr>
        <w:ind w:left="1800" w:hanging="1800"/>
      </w:pPr>
      <w:rPr>
        <w:rFonts w:ascii="Times New Roman" w:eastAsiaTheme="minorEastAsia" w:hAnsi="Times New Roman" w:cs="Times New Roman" w:hint="default"/>
        <w:color w:val="auto"/>
        <w:sz w:val="22"/>
      </w:rPr>
    </w:lvl>
  </w:abstractNum>
  <w:abstractNum w:abstractNumId="25" w15:restartNumberingAfterBreak="0">
    <w:nsid w:val="7CF926DB"/>
    <w:multiLevelType w:val="hybridMultilevel"/>
    <w:tmpl w:val="A2761FFC"/>
    <w:lvl w:ilvl="0" w:tplc="57B87E56">
      <w:start w:val="1"/>
      <w:numFmt w:val="lowerLetter"/>
      <w:lvlText w:val="%1)"/>
      <w:lvlJc w:val="left"/>
      <w:pPr>
        <w:ind w:left="360" w:hanging="360"/>
      </w:pPr>
      <w:rPr>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5"/>
  </w:num>
  <w:num w:numId="3">
    <w:abstractNumId w:val="3"/>
  </w:num>
  <w:num w:numId="4">
    <w:abstractNumId w:val="0"/>
  </w:num>
  <w:num w:numId="5">
    <w:abstractNumId w:val="9"/>
  </w:num>
  <w:num w:numId="6">
    <w:abstractNumId w:val="22"/>
  </w:num>
  <w:num w:numId="7">
    <w:abstractNumId w:val="6"/>
  </w:num>
  <w:num w:numId="8">
    <w:abstractNumId w:val="2"/>
  </w:num>
  <w:num w:numId="9">
    <w:abstractNumId w:val="11"/>
  </w:num>
  <w:num w:numId="10">
    <w:abstractNumId w:val="23"/>
  </w:num>
  <w:num w:numId="11">
    <w:abstractNumId w:val="4"/>
  </w:num>
  <w:num w:numId="12">
    <w:abstractNumId w:val="14"/>
  </w:num>
  <w:num w:numId="1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4"/>
    </w:lvlOverride>
    <w:lvlOverride w:ilvl="1"/>
  </w:num>
  <w:num w:numId="15">
    <w:abstractNumId w:val="6"/>
    <w:lvlOverride w:ilvl="0">
      <w:startOverride w:val="6"/>
    </w:lvlOverride>
    <w:lvlOverride w:ilvl="1"/>
  </w:num>
  <w:num w:numId="16">
    <w:abstractNumId w:val="6"/>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1"/>
  </w:num>
  <w:num w:numId="19">
    <w:abstractNumId w:val="17"/>
  </w:num>
  <w:num w:numId="20">
    <w:abstractNumId w:val="15"/>
  </w:num>
  <w:num w:numId="21">
    <w:abstractNumId w:val="1"/>
  </w:num>
  <w:num w:numId="22">
    <w:abstractNumId w:val="6"/>
    <w:lvlOverride w:ilvl="0">
      <w:startOverride w:val="7"/>
    </w:lvlOverride>
    <w:lvlOverride w:ilvl="1"/>
  </w:num>
  <w:num w:numId="23">
    <w:abstractNumId w:val="6"/>
    <w:lvlOverride w:ilvl="0">
      <w:startOverride w:val="6"/>
    </w:lvlOverride>
    <w:lvlOverride w:ilvl="1"/>
  </w:num>
  <w:num w:numId="24">
    <w:abstractNumId w:val="6"/>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5"/>
  </w:num>
  <w:num w:numId="29">
    <w:abstractNumId w:val="16"/>
  </w:num>
  <w:num w:numId="30">
    <w:abstractNumId w:val="13"/>
  </w:num>
  <w:num w:numId="31">
    <w:abstractNumId w:val="12"/>
  </w:num>
  <w:num w:numId="32">
    <w:abstractNumId w:val="10"/>
  </w:num>
  <w:num w:numId="33">
    <w:abstractNumId w:val="24"/>
  </w:num>
  <w:num w:numId="34">
    <w:abstractNumId w:val="8"/>
  </w:num>
  <w:num w:numId="35">
    <w:abstractNumId w:val="19"/>
  </w:num>
  <w:num w:numId="36">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trackRevisions/>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925"/>
    <w:rsid w:val="00000026"/>
    <w:rsid w:val="0000051E"/>
    <w:rsid w:val="00000594"/>
    <w:rsid w:val="00000D37"/>
    <w:rsid w:val="000015B2"/>
    <w:rsid w:val="00001C99"/>
    <w:rsid w:val="00001E73"/>
    <w:rsid w:val="00002BF1"/>
    <w:rsid w:val="00002C5A"/>
    <w:rsid w:val="0000335D"/>
    <w:rsid w:val="00003562"/>
    <w:rsid w:val="00003794"/>
    <w:rsid w:val="000041CA"/>
    <w:rsid w:val="0000442B"/>
    <w:rsid w:val="00004655"/>
    <w:rsid w:val="00004698"/>
    <w:rsid w:val="00004AB9"/>
    <w:rsid w:val="00004B30"/>
    <w:rsid w:val="00004BB6"/>
    <w:rsid w:val="00005323"/>
    <w:rsid w:val="000053E9"/>
    <w:rsid w:val="00005D9F"/>
    <w:rsid w:val="00005F5A"/>
    <w:rsid w:val="00006E90"/>
    <w:rsid w:val="000071F2"/>
    <w:rsid w:val="000075EA"/>
    <w:rsid w:val="000076CC"/>
    <w:rsid w:val="000076DD"/>
    <w:rsid w:val="0000787E"/>
    <w:rsid w:val="00007907"/>
    <w:rsid w:val="00007BC0"/>
    <w:rsid w:val="00007C9F"/>
    <w:rsid w:val="00007DA8"/>
    <w:rsid w:val="00009F28"/>
    <w:rsid w:val="0000EEC5"/>
    <w:rsid w:val="0001018A"/>
    <w:rsid w:val="0001038C"/>
    <w:rsid w:val="00010AF5"/>
    <w:rsid w:val="00010C2C"/>
    <w:rsid w:val="00010C60"/>
    <w:rsid w:val="00010E83"/>
    <w:rsid w:val="00011159"/>
    <w:rsid w:val="000115B1"/>
    <w:rsid w:val="00011924"/>
    <w:rsid w:val="00011925"/>
    <w:rsid w:val="00011C16"/>
    <w:rsid w:val="00011E06"/>
    <w:rsid w:val="00012079"/>
    <w:rsid w:val="000137D0"/>
    <w:rsid w:val="00013BA0"/>
    <w:rsid w:val="00013E54"/>
    <w:rsid w:val="00013ED5"/>
    <w:rsid w:val="00013F1D"/>
    <w:rsid w:val="00014070"/>
    <w:rsid w:val="0001409D"/>
    <w:rsid w:val="0001425A"/>
    <w:rsid w:val="00014706"/>
    <w:rsid w:val="000148FF"/>
    <w:rsid w:val="000149BA"/>
    <w:rsid w:val="00014CDD"/>
    <w:rsid w:val="00014DA3"/>
    <w:rsid w:val="00015282"/>
    <w:rsid w:val="00015AF2"/>
    <w:rsid w:val="00015F7C"/>
    <w:rsid w:val="00016520"/>
    <w:rsid w:val="0001686C"/>
    <w:rsid w:val="0001696E"/>
    <w:rsid w:val="00016A4E"/>
    <w:rsid w:val="00016C85"/>
    <w:rsid w:val="00016C9D"/>
    <w:rsid w:val="00016DB8"/>
    <w:rsid w:val="00016EB2"/>
    <w:rsid w:val="00016F79"/>
    <w:rsid w:val="00017D26"/>
    <w:rsid w:val="00017F0B"/>
    <w:rsid w:val="00017FB6"/>
    <w:rsid w:val="000201E0"/>
    <w:rsid w:val="000204C0"/>
    <w:rsid w:val="0002055F"/>
    <w:rsid w:val="00020811"/>
    <w:rsid w:val="000208B4"/>
    <w:rsid w:val="00020ADC"/>
    <w:rsid w:val="00020CF5"/>
    <w:rsid w:val="0002124C"/>
    <w:rsid w:val="00021316"/>
    <w:rsid w:val="0002142E"/>
    <w:rsid w:val="00021E5F"/>
    <w:rsid w:val="00021F5C"/>
    <w:rsid w:val="0002211A"/>
    <w:rsid w:val="00022167"/>
    <w:rsid w:val="000228FF"/>
    <w:rsid w:val="00022AA9"/>
    <w:rsid w:val="00022BD7"/>
    <w:rsid w:val="000230A0"/>
    <w:rsid w:val="00023954"/>
    <w:rsid w:val="00023AEC"/>
    <w:rsid w:val="0002427F"/>
    <w:rsid w:val="00024323"/>
    <w:rsid w:val="000243AD"/>
    <w:rsid w:val="00024F33"/>
    <w:rsid w:val="000254CA"/>
    <w:rsid w:val="000254FE"/>
    <w:rsid w:val="000258B6"/>
    <w:rsid w:val="0002631B"/>
    <w:rsid w:val="000263E1"/>
    <w:rsid w:val="000269CB"/>
    <w:rsid w:val="00026EA3"/>
    <w:rsid w:val="000271EB"/>
    <w:rsid w:val="00027ACD"/>
    <w:rsid w:val="00027C42"/>
    <w:rsid w:val="00027D93"/>
    <w:rsid w:val="000307FD"/>
    <w:rsid w:val="00030C16"/>
    <w:rsid w:val="000311A7"/>
    <w:rsid w:val="00031819"/>
    <w:rsid w:val="000319D8"/>
    <w:rsid w:val="00031E35"/>
    <w:rsid w:val="00032786"/>
    <w:rsid w:val="000329B8"/>
    <w:rsid w:val="00032A9A"/>
    <w:rsid w:val="00032A9F"/>
    <w:rsid w:val="00032B7B"/>
    <w:rsid w:val="000332B0"/>
    <w:rsid w:val="000337BE"/>
    <w:rsid w:val="00033B89"/>
    <w:rsid w:val="00033CA1"/>
    <w:rsid w:val="0003439E"/>
    <w:rsid w:val="00034887"/>
    <w:rsid w:val="00035063"/>
    <w:rsid w:val="00035451"/>
    <w:rsid w:val="000359F1"/>
    <w:rsid w:val="00035DE8"/>
    <w:rsid w:val="00035F71"/>
    <w:rsid w:val="00035F92"/>
    <w:rsid w:val="000360ED"/>
    <w:rsid w:val="000366BB"/>
    <w:rsid w:val="00036A25"/>
    <w:rsid w:val="00036FAD"/>
    <w:rsid w:val="00037015"/>
    <w:rsid w:val="000370C5"/>
    <w:rsid w:val="000378C1"/>
    <w:rsid w:val="00037BB4"/>
    <w:rsid w:val="00037BF6"/>
    <w:rsid w:val="00037D3F"/>
    <w:rsid w:val="00040054"/>
    <w:rsid w:val="0004015C"/>
    <w:rsid w:val="00040565"/>
    <w:rsid w:val="00040582"/>
    <w:rsid w:val="000407A9"/>
    <w:rsid w:val="0004088A"/>
    <w:rsid w:val="0004152B"/>
    <w:rsid w:val="0004153F"/>
    <w:rsid w:val="0004171C"/>
    <w:rsid w:val="00041DF0"/>
    <w:rsid w:val="00041E12"/>
    <w:rsid w:val="0004249C"/>
    <w:rsid w:val="00042560"/>
    <w:rsid w:val="000426B0"/>
    <w:rsid w:val="0004275F"/>
    <w:rsid w:val="00042887"/>
    <w:rsid w:val="00042CBE"/>
    <w:rsid w:val="00042CF6"/>
    <w:rsid w:val="00043D5F"/>
    <w:rsid w:val="00043DB7"/>
    <w:rsid w:val="00043DE5"/>
    <w:rsid w:val="00044084"/>
    <w:rsid w:val="00044CBB"/>
    <w:rsid w:val="00044EF7"/>
    <w:rsid w:val="000450D0"/>
    <w:rsid w:val="0004537C"/>
    <w:rsid w:val="00045480"/>
    <w:rsid w:val="00045896"/>
    <w:rsid w:val="00045BC3"/>
    <w:rsid w:val="00045C0E"/>
    <w:rsid w:val="00045D92"/>
    <w:rsid w:val="00045DCA"/>
    <w:rsid w:val="0004606D"/>
    <w:rsid w:val="00046480"/>
    <w:rsid w:val="0004673F"/>
    <w:rsid w:val="00046D32"/>
    <w:rsid w:val="00046DA3"/>
    <w:rsid w:val="000470AB"/>
    <w:rsid w:val="000473D9"/>
    <w:rsid w:val="000478F6"/>
    <w:rsid w:val="00050ADE"/>
    <w:rsid w:val="00050D87"/>
    <w:rsid w:val="00050FDF"/>
    <w:rsid w:val="00051113"/>
    <w:rsid w:val="000514C6"/>
    <w:rsid w:val="000516F5"/>
    <w:rsid w:val="0005216A"/>
    <w:rsid w:val="0005279D"/>
    <w:rsid w:val="00052EE3"/>
    <w:rsid w:val="000530F5"/>
    <w:rsid w:val="00053692"/>
    <w:rsid w:val="0005386A"/>
    <w:rsid w:val="00053AE1"/>
    <w:rsid w:val="00053AF9"/>
    <w:rsid w:val="00053FE5"/>
    <w:rsid w:val="00054137"/>
    <w:rsid w:val="0005422B"/>
    <w:rsid w:val="00054CB9"/>
    <w:rsid w:val="0005570B"/>
    <w:rsid w:val="00055BA7"/>
    <w:rsid w:val="00055E68"/>
    <w:rsid w:val="000564F2"/>
    <w:rsid w:val="000568A9"/>
    <w:rsid w:val="00056AAD"/>
    <w:rsid w:val="00056BB3"/>
    <w:rsid w:val="000571DE"/>
    <w:rsid w:val="00057256"/>
    <w:rsid w:val="00057787"/>
    <w:rsid w:val="00057BD7"/>
    <w:rsid w:val="000601CF"/>
    <w:rsid w:val="00060485"/>
    <w:rsid w:val="0006092D"/>
    <w:rsid w:val="0006099E"/>
    <w:rsid w:val="000609E0"/>
    <w:rsid w:val="00060A4B"/>
    <w:rsid w:val="00060FDB"/>
    <w:rsid w:val="00061339"/>
    <w:rsid w:val="00061844"/>
    <w:rsid w:val="00061895"/>
    <w:rsid w:val="00062199"/>
    <w:rsid w:val="000621CE"/>
    <w:rsid w:val="0006252E"/>
    <w:rsid w:val="000629F8"/>
    <w:rsid w:val="000632A0"/>
    <w:rsid w:val="00063637"/>
    <w:rsid w:val="00063C7E"/>
    <w:rsid w:val="00063E78"/>
    <w:rsid w:val="0006400B"/>
    <w:rsid w:val="000644EA"/>
    <w:rsid w:val="00064C81"/>
    <w:rsid w:val="00064E0F"/>
    <w:rsid w:val="00064F06"/>
    <w:rsid w:val="0006576A"/>
    <w:rsid w:val="00065986"/>
    <w:rsid w:val="00065DD2"/>
    <w:rsid w:val="00065E44"/>
    <w:rsid w:val="00066508"/>
    <w:rsid w:val="000668E1"/>
    <w:rsid w:val="00066D74"/>
    <w:rsid w:val="00067402"/>
    <w:rsid w:val="000676CD"/>
    <w:rsid w:val="00067BEB"/>
    <w:rsid w:val="0007018B"/>
    <w:rsid w:val="00070717"/>
    <w:rsid w:val="000707B0"/>
    <w:rsid w:val="00070920"/>
    <w:rsid w:val="00070EF6"/>
    <w:rsid w:val="00071062"/>
    <w:rsid w:val="0007122E"/>
    <w:rsid w:val="00071266"/>
    <w:rsid w:val="00071516"/>
    <w:rsid w:val="000717A6"/>
    <w:rsid w:val="00071D46"/>
    <w:rsid w:val="000726E7"/>
    <w:rsid w:val="00072BDF"/>
    <w:rsid w:val="00073145"/>
    <w:rsid w:val="0007332F"/>
    <w:rsid w:val="00073945"/>
    <w:rsid w:val="00073A3F"/>
    <w:rsid w:val="00073D7D"/>
    <w:rsid w:val="00073F20"/>
    <w:rsid w:val="00073F65"/>
    <w:rsid w:val="00074099"/>
    <w:rsid w:val="000746C6"/>
    <w:rsid w:val="000749E3"/>
    <w:rsid w:val="00074A5E"/>
    <w:rsid w:val="000751A2"/>
    <w:rsid w:val="000752E7"/>
    <w:rsid w:val="0007548D"/>
    <w:rsid w:val="00075538"/>
    <w:rsid w:val="00075734"/>
    <w:rsid w:val="0007578F"/>
    <w:rsid w:val="00075A3E"/>
    <w:rsid w:val="00075C77"/>
    <w:rsid w:val="000762F7"/>
    <w:rsid w:val="0007698B"/>
    <w:rsid w:val="00076A15"/>
    <w:rsid w:val="00076CA4"/>
    <w:rsid w:val="00076DEC"/>
    <w:rsid w:val="0007715F"/>
    <w:rsid w:val="0007721D"/>
    <w:rsid w:val="00077BF6"/>
    <w:rsid w:val="00080730"/>
    <w:rsid w:val="00080ECA"/>
    <w:rsid w:val="00081A7D"/>
    <w:rsid w:val="00081BAA"/>
    <w:rsid w:val="00081D82"/>
    <w:rsid w:val="00081DC9"/>
    <w:rsid w:val="00083121"/>
    <w:rsid w:val="00083196"/>
    <w:rsid w:val="000837AA"/>
    <w:rsid w:val="00083A8E"/>
    <w:rsid w:val="00083AD3"/>
    <w:rsid w:val="00083C9A"/>
    <w:rsid w:val="0008414C"/>
    <w:rsid w:val="0008421B"/>
    <w:rsid w:val="0008433E"/>
    <w:rsid w:val="000844FD"/>
    <w:rsid w:val="000848FF"/>
    <w:rsid w:val="00084BA8"/>
    <w:rsid w:val="00085322"/>
    <w:rsid w:val="000857C0"/>
    <w:rsid w:val="00085AB9"/>
    <w:rsid w:val="00086DA5"/>
    <w:rsid w:val="0008717A"/>
    <w:rsid w:val="00087267"/>
    <w:rsid w:val="0008731A"/>
    <w:rsid w:val="0008762F"/>
    <w:rsid w:val="0008766F"/>
    <w:rsid w:val="00087E1B"/>
    <w:rsid w:val="00087F5E"/>
    <w:rsid w:val="00087F66"/>
    <w:rsid w:val="000900C7"/>
    <w:rsid w:val="00090EDA"/>
    <w:rsid w:val="00090F56"/>
    <w:rsid w:val="000911C8"/>
    <w:rsid w:val="000911CE"/>
    <w:rsid w:val="000918F6"/>
    <w:rsid w:val="00091D4F"/>
    <w:rsid w:val="00091EE7"/>
    <w:rsid w:val="00091FD7"/>
    <w:rsid w:val="000920E4"/>
    <w:rsid w:val="00092252"/>
    <w:rsid w:val="000922AA"/>
    <w:rsid w:val="00092540"/>
    <w:rsid w:val="00092840"/>
    <w:rsid w:val="00092EF5"/>
    <w:rsid w:val="00093201"/>
    <w:rsid w:val="00093426"/>
    <w:rsid w:val="000935F7"/>
    <w:rsid w:val="00094ABB"/>
    <w:rsid w:val="00095578"/>
    <w:rsid w:val="0009599F"/>
    <w:rsid w:val="000963E7"/>
    <w:rsid w:val="00096586"/>
    <w:rsid w:val="00096A97"/>
    <w:rsid w:val="00096D4F"/>
    <w:rsid w:val="00096D66"/>
    <w:rsid w:val="00096F81"/>
    <w:rsid w:val="00096FBF"/>
    <w:rsid w:val="00097305"/>
    <w:rsid w:val="000974AA"/>
    <w:rsid w:val="00097586"/>
    <w:rsid w:val="00097683"/>
    <w:rsid w:val="00097914"/>
    <w:rsid w:val="00097B92"/>
    <w:rsid w:val="00097EE3"/>
    <w:rsid w:val="00097FEB"/>
    <w:rsid w:val="000A012B"/>
    <w:rsid w:val="000A0423"/>
    <w:rsid w:val="000A09AD"/>
    <w:rsid w:val="000A16DA"/>
    <w:rsid w:val="000A24FC"/>
    <w:rsid w:val="000A2838"/>
    <w:rsid w:val="000A2A81"/>
    <w:rsid w:val="000A2A9E"/>
    <w:rsid w:val="000A3194"/>
    <w:rsid w:val="000A38C8"/>
    <w:rsid w:val="000A487A"/>
    <w:rsid w:val="000A49A8"/>
    <w:rsid w:val="000A4DCD"/>
    <w:rsid w:val="000A4DD5"/>
    <w:rsid w:val="000A5910"/>
    <w:rsid w:val="000A5949"/>
    <w:rsid w:val="000A59A6"/>
    <w:rsid w:val="000A61E6"/>
    <w:rsid w:val="000A67E7"/>
    <w:rsid w:val="000A6944"/>
    <w:rsid w:val="000A6A6E"/>
    <w:rsid w:val="000A71CC"/>
    <w:rsid w:val="000A7384"/>
    <w:rsid w:val="000A76BF"/>
    <w:rsid w:val="000B0585"/>
    <w:rsid w:val="000B0AEC"/>
    <w:rsid w:val="000B0F5D"/>
    <w:rsid w:val="000B1128"/>
    <w:rsid w:val="000B11F2"/>
    <w:rsid w:val="000B1292"/>
    <w:rsid w:val="000B19BB"/>
    <w:rsid w:val="000B20D8"/>
    <w:rsid w:val="000B2567"/>
    <w:rsid w:val="000B2783"/>
    <w:rsid w:val="000B295D"/>
    <w:rsid w:val="000B2E72"/>
    <w:rsid w:val="000B2FC5"/>
    <w:rsid w:val="000B31ED"/>
    <w:rsid w:val="000B4268"/>
    <w:rsid w:val="000B4435"/>
    <w:rsid w:val="000B4680"/>
    <w:rsid w:val="000B4775"/>
    <w:rsid w:val="000B4B83"/>
    <w:rsid w:val="000B527E"/>
    <w:rsid w:val="000B54CF"/>
    <w:rsid w:val="000B5526"/>
    <w:rsid w:val="000B55C5"/>
    <w:rsid w:val="000B577B"/>
    <w:rsid w:val="000B586F"/>
    <w:rsid w:val="000B5BB7"/>
    <w:rsid w:val="000B5E77"/>
    <w:rsid w:val="000B6EE5"/>
    <w:rsid w:val="000B7423"/>
    <w:rsid w:val="000B7C6F"/>
    <w:rsid w:val="000B7E19"/>
    <w:rsid w:val="000B7F24"/>
    <w:rsid w:val="000C011E"/>
    <w:rsid w:val="000C0399"/>
    <w:rsid w:val="000C03E8"/>
    <w:rsid w:val="000C099E"/>
    <w:rsid w:val="000C1045"/>
    <w:rsid w:val="000C1219"/>
    <w:rsid w:val="000C14A1"/>
    <w:rsid w:val="000C14A2"/>
    <w:rsid w:val="000C1A07"/>
    <w:rsid w:val="000C1FE2"/>
    <w:rsid w:val="000C201D"/>
    <w:rsid w:val="000C211D"/>
    <w:rsid w:val="000C2714"/>
    <w:rsid w:val="000C2B59"/>
    <w:rsid w:val="000C378B"/>
    <w:rsid w:val="000C3861"/>
    <w:rsid w:val="000C42DF"/>
    <w:rsid w:val="000C44FE"/>
    <w:rsid w:val="000C4924"/>
    <w:rsid w:val="000C5400"/>
    <w:rsid w:val="000C5444"/>
    <w:rsid w:val="000C5FDB"/>
    <w:rsid w:val="000C63FB"/>
    <w:rsid w:val="000C687B"/>
    <w:rsid w:val="000C6AC0"/>
    <w:rsid w:val="000C7A54"/>
    <w:rsid w:val="000C7CCF"/>
    <w:rsid w:val="000D02AE"/>
    <w:rsid w:val="000D0346"/>
    <w:rsid w:val="000D03EF"/>
    <w:rsid w:val="000D0741"/>
    <w:rsid w:val="000D0813"/>
    <w:rsid w:val="000D0B32"/>
    <w:rsid w:val="000D0E63"/>
    <w:rsid w:val="000D0EDE"/>
    <w:rsid w:val="000D1403"/>
    <w:rsid w:val="000D1D07"/>
    <w:rsid w:val="000D244D"/>
    <w:rsid w:val="000D334A"/>
    <w:rsid w:val="000D3476"/>
    <w:rsid w:val="000D3B07"/>
    <w:rsid w:val="000D3BEE"/>
    <w:rsid w:val="000D3E3D"/>
    <w:rsid w:val="000D406E"/>
    <w:rsid w:val="000D4230"/>
    <w:rsid w:val="000D4276"/>
    <w:rsid w:val="000D4389"/>
    <w:rsid w:val="000D4773"/>
    <w:rsid w:val="000D4914"/>
    <w:rsid w:val="000D4E2F"/>
    <w:rsid w:val="000D502B"/>
    <w:rsid w:val="000D55A6"/>
    <w:rsid w:val="000D571D"/>
    <w:rsid w:val="000D58AC"/>
    <w:rsid w:val="000D5B04"/>
    <w:rsid w:val="000D5EFA"/>
    <w:rsid w:val="000D5F9E"/>
    <w:rsid w:val="000D647D"/>
    <w:rsid w:val="000D6494"/>
    <w:rsid w:val="000D6933"/>
    <w:rsid w:val="000D6CF8"/>
    <w:rsid w:val="000D732A"/>
    <w:rsid w:val="000D73D7"/>
    <w:rsid w:val="000D77FE"/>
    <w:rsid w:val="000D79D4"/>
    <w:rsid w:val="000E002D"/>
    <w:rsid w:val="000E0524"/>
    <w:rsid w:val="000E1823"/>
    <w:rsid w:val="000E20E9"/>
    <w:rsid w:val="000E2539"/>
    <w:rsid w:val="000E2806"/>
    <w:rsid w:val="000E2994"/>
    <w:rsid w:val="000E318D"/>
    <w:rsid w:val="000E334D"/>
    <w:rsid w:val="000E355F"/>
    <w:rsid w:val="000E3685"/>
    <w:rsid w:val="000E3708"/>
    <w:rsid w:val="000E417E"/>
    <w:rsid w:val="000E43FA"/>
    <w:rsid w:val="000E47DD"/>
    <w:rsid w:val="000E49D7"/>
    <w:rsid w:val="000E51BB"/>
    <w:rsid w:val="000E53F4"/>
    <w:rsid w:val="000E5454"/>
    <w:rsid w:val="000E55DE"/>
    <w:rsid w:val="000E5927"/>
    <w:rsid w:val="000E5FA8"/>
    <w:rsid w:val="000E6020"/>
    <w:rsid w:val="000E6078"/>
    <w:rsid w:val="000E6119"/>
    <w:rsid w:val="000E689D"/>
    <w:rsid w:val="000E6C16"/>
    <w:rsid w:val="000E6D8A"/>
    <w:rsid w:val="000E7051"/>
    <w:rsid w:val="000E76CE"/>
    <w:rsid w:val="000E786F"/>
    <w:rsid w:val="000E7970"/>
    <w:rsid w:val="000E7AEE"/>
    <w:rsid w:val="000E7E15"/>
    <w:rsid w:val="000F0362"/>
    <w:rsid w:val="000F067E"/>
    <w:rsid w:val="000F07DA"/>
    <w:rsid w:val="000F176C"/>
    <w:rsid w:val="000F1793"/>
    <w:rsid w:val="000F20DC"/>
    <w:rsid w:val="000F2197"/>
    <w:rsid w:val="000F2275"/>
    <w:rsid w:val="000F23EF"/>
    <w:rsid w:val="000F2BE4"/>
    <w:rsid w:val="000F2C96"/>
    <w:rsid w:val="000F2FE6"/>
    <w:rsid w:val="000F30AC"/>
    <w:rsid w:val="000F3888"/>
    <w:rsid w:val="000F3F41"/>
    <w:rsid w:val="000F3F61"/>
    <w:rsid w:val="000F412C"/>
    <w:rsid w:val="000F4A8E"/>
    <w:rsid w:val="000F552B"/>
    <w:rsid w:val="000F5BBE"/>
    <w:rsid w:val="000F5C9F"/>
    <w:rsid w:val="000F5DD1"/>
    <w:rsid w:val="000F6108"/>
    <w:rsid w:val="000F6160"/>
    <w:rsid w:val="000F758F"/>
    <w:rsid w:val="000F7F22"/>
    <w:rsid w:val="00100156"/>
    <w:rsid w:val="00100675"/>
    <w:rsid w:val="00100944"/>
    <w:rsid w:val="00100A11"/>
    <w:rsid w:val="00100C6B"/>
    <w:rsid w:val="00101670"/>
    <w:rsid w:val="00101CC4"/>
    <w:rsid w:val="001038EE"/>
    <w:rsid w:val="00103998"/>
    <w:rsid w:val="00103B38"/>
    <w:rsid w:val="00103FB6"/>
    <w:rsid w:val="001041A4"/>
    <w:rsid w:val="00104657"/>
    <w:rsid w:val="001046AA"/>
    <w:rsid w:val="00104806"/>
    <w:rsid w:val="00104811"/>
    <w:rsid w:val="00104CEF"/>
    <w:rsid w:val="00104ECA"/>
    <w:rsid w:val="001056EF"/>
    <w:rsid w:val="00105A64"/>
    <w:rsid w:val="00105C5E"/>
    <w:rsid w:val="001061E5"/>
    <w:rsid w:val="00106613"/>
    <w:rsid w:val="0010661B"/>
    <w:rsid w:val="0010703D"/>
    <w:rsid w:val="001072FD"/>
    <w:rsid w:val="00107809"/>
    <w:rsid w:val="00110590"/>
    <w:rsid w:val="0011061E"/>
    <w:rsid w:val="00110DF7"/>
    <w:rsid w:val="0011100B"/>
    <w:rsid w:val="001116D7"/>
    <w:rsid w:val="001118F4"/>
    <w:rsid w:val="001122ED"/>
    <w:rsid w:val="001124DD"/>
    <w:rsid w:val="00112CFF"/>
    <w:rsid w:val="00113488"/>
    <w:rsid w:val="0011390E"/>
    <w:rsid w:val="0011398C"/>
    <w:rsid w:val="00113F8E"/>
    <w:rsid w:val="00114175"/>
    <w:rsid w:val="001143F9"/>
    <w:rsid w:val="001152B6"/>
    <w:rsid w:val="00115F78"/>
    <w:rsid w:val="00116390"/>
    <w:rsid w:val="00116C58"/>
    <w:rsid w:val="00116CD0"/>
    <w:rsid w:val="00116DBE"/>
    <w:rsid w:val="00117253"/>
    <w:rsid w:val="001172DB"/>
    <w:rsid w:val="001173DE"/>
    <w:rsid w:val="00117429"/>
    <w:rsid w:val="001178F3"/>
    <w:rsid w:val="00117C50"/>
    <w:rsid w:val="00117F27"/>
    <w:rsid w:val="0012004D"/>
    <w:rsid w:val="0012006D"/>
    <w:rsid w:val="0012020D"/>
    <w:rsid w:val="001206D2"/>
    <w:rsid w:val="001206FB"/>
    <w:rsid w:val="001207AF"/>
    <w:rsid w:val="001207F5"/>
    <w:rsid w:val="00120B9E"/>
    <w:rsid w:val="001217D6"/>
    <w:rsid w:val="00121CC1"/>
    <w:rsid w:val="00121F57"/>
    <w:rsid w:val="00122B41"/>
    <w:rsid w:val="00122BB2"/>
    <w:rsid w:val="00123CF7"/>
    <w:rsid w:val="00123D98"/>
    <w:rsid w:val="00124116"/>
    <w:rsid w:val="00124557"/>
    <w:rsid w:val="001245DA"/>
    <w:rsid w:val="00124629"/>
    <w:rsid w:val="00125DF0"/>
    <w:rsid w:val="001266B9"/>
    <w:rsid w:val="00126A04"/>
    <w:rsid w:val="00126E65"/>
    <w:rsid w:val="0012778B"/>
    <w:rsid w:val="001277B2"/>
    <w:rsid w:val="00127AAB"/>
    <w:rsid w:val="0013028A"/>
    <w:rsid w:val="00130499"/>
    <w:rsid w:val="00130B6F"/>
    <w:rsid w:val="00130BF2"/>
    <w:rsid w:val="00130C85"/>
    <w:rsid w:val="00130CE2"/>
    <w:rsid w:val="00131775"/>
    <w:rsid w:val="00131995"/>
    <w:rsid w:val="00131B12"/>
    <w:rsid w:val="00131BCA"/>
    <w:rsid w:val="001320BA"/>
    <w:rsid w:val="001321F4"/>
    <w:rsid w:val="001325B1"/>
    <w:rsid w:val="00132ADB"/>
    <w:rsid w:val="0013352D"/>
    <w:rsid w:val="001339C1"/>
    <w:rsid w:val="001339DD"/>
    <w:rsid w:val="00133D9F"/>
    <w:rsid w:val="001340B7"/>
    <w:rsid w:val="00134345"/>
    <w:rsid w:val="001344F4"/>
    <w:rsid w:val="00135073"/>
    <w:rsid w:val="0013553B"/>
    <w:rsid w:val="00135C21"/>
    <w:rsid w:val="0013650D"/>
    <w:rsid w:val="001367AB"/>
    <w:rsid w:val="00136890"/>
    <w:rsid w:val="00136D6F"/>
    <w:rsid w:val="001374D5"/>
    <w:rsid w:val="0013754C"/>
    <w:rsid w:val="00137618"/>
    <w:rsid w:val="0013768C"/>
    <w:rsid w:val="001402FA"/>
    <w:rsid w:val="00140755"/>
    <w:rsid w:val="00140A78"/>
    <w:rsid w:val="00140AC5"/>
    <w:rsid w:val="00140EF7"/>
    <w:rsid w:val="001410B4"/>
    <w:rsid w:val="00141752"/>
    <w:rsid w:val="00141B02"/>
    <w:rsid w:val="00141C78"/>
    <w:rsid w:val="00142059"/>
    <w:rsid w:val="00142604"/>
    <w:rsid w:val="00142715"/>
    <w:rsid w:val="00142DE6"/>
    <w:rsid w:val="001430F4"/>
    <w:rsid w:val="00143934"/>
    <w:rsid w:val="00144817"/>
    <w:rsid w:val="0014482F"/>
    <w:rsid w:val="00144CB5"/>
    <w:rsid w:val="00145111"/>
    <w:rsid w:val="0014557A"/>
    <w:rsid w:val="0014557C"/>
    <w:rsid w:val="0014561A"/>
    <w:rsid w:val="00145DFE"/>
    <w:rsid w:val="00146A0C"/>
    <w:rsid w:val="00146C92"/>
    <w:rsid w:val="00146F3F"/>
    <w:rsid w:val="001478BA"/>
    <w:rsid w:val="00147A0E"/>
    <w:rsid w:val="001502FB"/>
    <w:rsid w:val="00150A3C"/>
    <w:rsid w:val="00150A77"/>
    <w:rsid w:val="00150AC3"/>
    <w:rsid w:val="00150CA6"/>
    <w:rsid w:val="00150F46"/>
    <w:rsid w:val="0015110F"/>
    <w:rsid w:val="00151214"/>
    <w:rsid w:val="00151421"/>
    <w:rsid w:val="00151A55"/>
    <w:rsid w:val="00151FF9"/>
    <w:rsid w:val="00152478"/>
    <w:rsid w:val="001524E9"/>
    <w:rsid w:val="001529C5"/>
    <w:rsid w:val="00152C57"/>
    <w:rsid w:val="00152C99"/>
    <w:rsid w:val="00153284"/>
    <w:rsid w:val="0015335C"/>
    <w:rsid w:val="00153638"/>
    <w:rsid w:val="00153973"/>
    <w:rsid w:val="00153A54"/>
    <w:rsid w:val="00153D64"/>
    <w:rsid w:val="001540DF"/>
    <w:rsid w:val="00154612"/>
    <w:rsid w:val="00154B15"/>
    <w:rsid w:val="00154B72"/>
    <w:rsid w:val="00154D54"/>
    <w:rsid w:val="00155534"/>
    <w:rsid w:val="00155A3C"/>
    <w:rsid w:val="00155BFD"/>
    <w:rsid w:val="00155EB1"/>
    <w:rsid w:val="00155EEA"/>
    <w:rsid w:val="001560B0"/>
    <w:rsid w:val="001560D9"/>
    <w:rsid w:val="00156544"/>
    <w:rsid w:val="00156BC2"/>
    <w:rsid w:val="00157061"/>
    <w:rsid w:val="001571F3"/>
    <w:rsid w:val="0015769A"/>
    <w:rsid w:val="001576F1"/>
    <w:rsid w:val="00157D9A"/>
    <w:rsid w:val="00157E11"/>
    <w:rsid w:val="00160329"/>
    <w:rsid w:val="0016033F"/>
    <w:rsid w:val="001604FF"/>
    <w:rsid w:val="00160AA1"/>
    <w:rsid w:val="00160B77"/>
    <w:rsid w:val="00160D0D"/>
    <w:rsid w:val="00160FD6"/>
    <w:rsid w:val="001610D6"/>
    <w:rsid w:val="0016147C"/>
    <w:rsid w:val="0016165C"/>
    <w:rsid w:val="0016165D"/>
    <w:rsid w:val="00161837"/>
    <w:rsid w:val="001619FF"/>
    <w:rsid w:val="00161F50"/>
    <w:rsid w:val="00162184"/>
    <w:rsid w:val="00162272"/>
    <w:rsid w:val="001623A5"/>
    <w:rsid w:val="001623C4"/>
    <w:rsid w:val="001624A9"/>
    <w:rsid w:val="001628C1"/>
    <w:rsid w:val="00162A56"/>
    <w:rsid w:val="00162AE6"/>
    <w:rsid w:val="00162DF0"/>
    <w:rsid w:val="001630F9"/>
    <w:rsid w:val="001637C9"/>
    <w:rsid w:val="00164318"/>
    <w:rsid w:val="001646AA"/>
    <w:rsid w:val="001647EF"/>
    <w:rsid w:val="00164CC5"/>
    <w:rsid w:val="001650C2"/>
    <w:rsid w:val="001651C6"/>
    <w:rsid w:val="0016528F"/>
    <w:rsid w:val="001654E3"/>
    <w:rsid w:val="0016554B"/>
    <w:rsid w:val="001658A0"/>
    <w:rsid w:val="00165AD5"/>
    <w:rsid w:val="00165BA5"/>
    <w:rsid w:val="00165BF4"/>
    <w:rsid w:val="00165DEF"/>
    <w:rsid w:val="00165FAC"/>
    <w:rsid w:val="00166188"/>
    <w:rsid w:val="001662B7"/>
    <w:rsid w:val="00166A65"/>
    <w:rsid w:val="00166C02"/>
    <w:rsid w:val="00167569"/>
    <w:rsid w:val="0016762C"/>
    <w:rsid w:val="0016768D"/>
    <w:rsid w:val="001677B2"/>
    <w:rsid w:val="00167D1C"/>
    <w:rsid w:val="00167D98"/>
    <w:rsid w:val="00167E24"/>
    <w:rsid w:val="00167FAB"/>
    <w:rsid w:val="001709AA"/>
    <w:rsid w:val="00170ADC"/>
    <w:rsid w:val="00170D75"/>
    <w:rsid w:val="00171453"/>
    <w:rsid w:val="001718C9"/>
    <w:rsid w:val="00171C32"/>
    <w:rsid w:val="0017299F"/>
    <w:rsid w:val="00172C2E"/>
    <w:rsid w:val="00172D6B"/>
    <w:rsid w:val="00173730"/>
    <w:rsid w:val="00173BAA"/>
    <w:rsid w:val="00173F99"/>
    <w:rsid w:val="001745F6"/>
    <w:rsid w:val="00174616"/>
    <w:rsid w:val="001747E1"/>
    <w:rsid w:val="00174C1B"/>
    <w:rsid w:val="00174C57"/>
    <w:rsid w:val="00175B6E"/>
    <w:rsid w:val="00176DE5"/>
    <w:rsid w:val="00176EE0"/>
    <w:rsid w:val="001770C0"/>
    <w:rsid w:val="001777D2"/>
    <w:rsid w:val="00177DDF"/>
    <w:rsid w:val="0017BF32"/>
    <w:rsid w:val="0018067A"/>
    <w:rsid w:val="00180806"/>
    <w:rsid w:val="00181C6E"/>
    <w:rsid w:val="001825FE"/>
    <w:rsid w:val="00182841"/>
    <w:rsid w:val="00182DAF"/>
    <w:rsid w:val="00182FCA"/>
    <w:rsid w:val="00183081"/>
    <w:rsid w:val="00183475"/>
    <w:rsid w:val="001834A5"/>
    <w:rsid w:val="001835FD"/>
    <w:rsid w:val="001839D7"/>
    <w:rsid w:val="00183B3A"/>
    <w:rsid w:val="00183D1A"/>
    <w:rsid w:val="00183E45"/>
    <w:rsid w:val="00183E6F"/>
    <w:rsid w:val="00183EE0"/>
    <w:rsid w:val="001840C5"/>
    <w:rsid w:val="001841FE"/>
    <w:rsid w:val="00184467"/>
    <w:rsid w:val="001846BC"/>
    <w:rsid w:val="00184757"/>
    <w:rsid w:val="00184D8C"/>
    <w:rsid w:val="00184EDE"/>
    <w:rsid w:val="001851BD"/>
    <w:rsid w:val="001852A1"/>
    <w:rsid w:val="001852F7"/>
    <w:rsid w:val="0018556D"/>
    <w:rsid w:val="001858F1"/>
    <w:rsid w:val="0018623F"/>
    <w:rsid w:val="00186581"/>
    <w:rsid w:val="001868EB"/>
    <w:rsid w:val="0018721D"/>
    <w:rsid w:val="00190018"/>
    <w:rsid w:val="00190880"/>
    <w:rsid w:val="00190FAE"/>
    <w:rsid w:val="001913C4"/>
    <w:rsid w:val="00191B74"/>
    <w:rsid w:val="00191F29"/>
    <w:rsid w:val="0019213C"/>
    <w:rsid w:val="001921BB"/>
    <w:rsid w:val="001925F0"/>
    <w:rsid w:val="00192A79"/>
    <w:rsid w:val="00192BF2"/>
    <w:rsid w:val="001943D9"/>
    <w:rsid w:val="001946BB"/>
    <w:rsid w:val="00194760"/>
    <w:rsid w:val="00194D8B"/>
    <w:rsid w:val="00195620"/>
    <w:rsid w:val="00196798"/>
    <w:rsid w:val="00196B99"/>
    <w:rsid w:val="00196CBD"/>
    <w:rsid w:val="001971D6"/>
    <w:rsid w:val="0019743F"/>
    <w:rsid w:val="00197538"/>
    <w:rsid w:val="00197DF5"/>
    <w:rsid w:val="00199768"/>
    <w:rsid w:val="001A01F7"/>
    <w:rsid w:val="001A0271"/>
    <w:rsid w:val="001A037D"/>
    <w:rsid w:val="001A03AF"/>
    <w:rsid w:val="001A03FA"/>
    <w:rsid w:val="001A0F19"/>
    <w:rsid w:val="001A100F"/>
    <w:rsid w:val="001A14F3"/>
    <w:rsid w:val="001A1C0E"/>
    <w:rsid w:val="001A21BE"/>
    <w:rsid w:val="001A237E"/>
    <w:rsid w:val="001A24DC"/>
    <w:rsid w:val="001A24EC"/>
    <w:rsid w:val="001A2686"/>
    <w:rsid w:val="001A28AF"/>
    <w:rsid w:val="001A299E"/>
    <w:rsid w:val="001A2A2E"/>
    <w:rsid w:val="001A2A33"/>
    <w:rsid w:val="001A2AEA"/>
    <w:rsid w:val="001A2EA7"/>
    <w:rsid w:val="001A352A"/>
    <w:rsid w:val="001A424A"/>
    <w:rsid w:val="001A4DCB"/>
    <w:rsid w:val="001A4FD3"/>
    <w:rsid w:val="001A508C"/>
    <w:rsid w:val="001A53F6"/>
    <w:rsid w:val="001A554E"/>
    <w:rsid w:val="001A5E96"/>
    <w:rsid w:val="001A6C26"/>
    <w:rsid w:val="001A6DB0"/>
    <w:rsid w:val="001A790F"/>
    <w:rsid w:val="001A7B82"/>
    <w:rsid w:val="001B0305"/>
    <w:rsid w:val="001B036C"/>
    <w:rsid w:val="001B059D"/>
    <w:rsid w:val="001B07A0"/>
    <w:rsid w:val="001B07F1"/>
    <w:rsid w:val="001B0A53"/>
    <w:rsid w:val="001B0A56"/>
    <w:rsid w:val="001B0C56"/>
    <w:rsid w:val="001B0D2B"/>
    <w:rsid w:val="001B0E27"/>
    <w:rsid w:val="001B0E44"/>
    <w:rsid w:val="001B180B"/>
    <w:rsid w:val="001B1E51"/>
    <w:rsid w:val="001B20B0"/>
    <w:rsid w:val="001B2134"/>
    <w:rsid w:val="001B27F5"/>
    <w:rsid w:val="001B3099"/>
    <w:rsid w:val="001B30FF"/>
    <w:rsid w:val="001B31FA"/>
    <w:rsid w:val="001B360C"/>
    <w:rsid w:val="001B3CA7"/>
    <w:rsid w:val="001B41AC"/>
    <w:rsid w:val="001B43A3"/>
    <w:rsid w:val="001B4906"/>
    <w:rsid w:val="001B5023"/>
    <w:rsid w:val="001B5299"/>
    <w:rsid w:val="001B5447"/>
    <w:rsid w:val="001B55C0"/>
    <w:rsid w:val="001B5929"/>
    <w:rsid w:val="001B5EEE"/>
    <w:rsid w:val="001B62D9"/>
    <w:rsid w:val="001B66A7"/>
    <w:rsid w:val="001B739A"/>
    <w:rsid w:val="001B75BB"/>
    <w:rsid w:val="001B76AC"/>
    <w:rsid w:val="001B774E"/>
    <w:rsid w:val="001B788E"/>
    <w:rsid w:val="001B7BC3"/>
    <w:rsid w:val="001B7E98"/>
    <w:rsid w:val="001C00DC"/>
    <w:rsid w:val="001C0E29"/>
    <w:rsid w:val="001C0F72"/>
    <w:rsid w:val="001C11E9"/>
    <w:rsid w:val="001C1565"/>
    <w:rsid w:val="001C17B9"/>
    <w:rsid w:val="001C1BDA"/>
    <w:rsid w:val="001C22CA"/>
    <w:rsid w:val="001C2368"/>
    <w:rsid w:val="001C2590"/>
    <w:rsid w:val="001C2601"/>
    <w:rsid w:val="001C2B19"/>
    <w:rsid w:val="001C2BE0"/>
    <w:rsid w:val="001C2CC4"/>
    <w:rsid w:val="001C3094"/>
    <w:rsid w:val="001C3563"/>
    <w:rsid w:val="001C36C8"/>
    <w:rsid w:val="001C38A7"/>
    <w:rsid w:val="001C3F00"/>
    <w:rsid w:val="001C3F96"/>
    <w:rsid w:val="001C4985"/>
    <w:rsid w:val="001C5330"/>
    <w:rsid w:val="001C5725"/>
    <w:rsid w:val="001C599E"/>
    <w:rsid w:val="001C5C20"/>
    <w:rsid w:val="001C5CCB"/>
    <w:rsid w:val="001C63B2"/>
    <w:rsid w:val="001C6FFD"/>
    <w:rsid w:val="001C78B4"/>
    <w:rsid w:val="001C7A1C"/>
    <w:rsid w:val="001C7EA6"/>
    <w:rsid w:val="001D00EA"/>
    <w:rsid w:val="001D01A7"/>
    <w:rsid w:val="001D043E"/>
    <w:rsid w:val="001D0530"/>
    <w:rsid w:val="001D0662"/>
    <w:rsid w:val="001D0A5E"/>
    <w:rsid w:val="001D1C7C"/>
    <w:rsid w:val="001D222A"/>
    <w:rsid w:val="001D2283"/>
    <w:rsid w:val="001D2359"/>
    <w:rsid w:val="001D25AD"/>
    <w:rsid w:val="001D269A"/>
    <w:rsid w:val="001D2867"/>
    <w:rsid w:val="001D2A9C"/>
    <w:rsid w:val="001D2BB0"/>
    <w:rsid w:val="001D2D02"/>
    <w:rsid w:val="001D2DFA"/>
    <w:rsid w:val="001D3102"/>
    <w:rsid w:val="001D3404"/>
    <w:rsid w:val="001D3710"/>
    <w:rsid w:val="001D37CE"/>
    <w:rsid w:val="001D3C02"/>
    <w:rsid w:val="001D4343"/>
    <w:rsid w:val="001D463C"/>
    <w:rsid w:val="001D498E"/>
    <w:rsid w:val="001D4A60"/>
    <w:rsid w:val="001D4E1E"/>
    <w:rsid w:val="001D4E89"/>
    <w:rsid w:val="001D5016"/>
    <w:rsid w:val="001D508B"/>
    <w:rsid w:val="001D51E4"/>
    <w:rsid w:val="001D643E"/>
    <w:rsid w:val="001D68D9"/>
    <w:rsid w:val="001D6E21"/>
    <w:rsid w:val="001D6F08"/>
    <w:rsid w:val="001D7133"/>
    <w:rsid w:val="001D72FC"/>
    <w:rsid w:val="001D73DC"/>
    <w:rsid w:val="001D78DC"/>
    <w:rsid w:val="001D7B24"/>
    <w:rsid w:val="001D7BC4"/>
    <w:rsid w:val="001D7D7D"/>
    <w:rsid w:val="001E0425"/>
    <w:rsid w:val="001E05CA"/>
    <w:rsid w:val="001E06C9"/>
    <w:rsid w:val="001E06FE"/>
    <w:rsid w:val="001E0CA0"/>
    <w:rsid w:val="001E1AD0"/>
    <w:rsid w:val="001E1E5D"/>
    <w:rsid w:val="001E296B"/>
    <w:rsid w:val="001E2B83"/>
    <w:rsid w:val="001E2D81"/>
    <w:rsid w:val="001E2EF4"/>
    <w:rsid w:val="001E33D0"/>
    <w:rsid w:val="001E39E2"/>
    <w:rsid w:val="001E48B8"/>
    <w:rsid w:val="001E48DD"/>
    <w:rsid w:val="001E4A61"/>
    <w:rsid w:val="001E4B9B"/>
    <w:rsid w:val="001E4CA5"/>
    <w:rsid w:val="001E528D"/>
    <w:rsid w:val="001E5D9B"/>
    <w:rsid w:val="001E6029"/>
    <w:rsid w:val="001E61DF"/>
    <w:rsid w:val="001E6B20"/>
    <w:rsid w:val="001E6DCE"/>
    <w:rsid w:val="001E6FB6"/>
    <w:rsid w:val="001E7EA2"/>
    <w:rsid w:val="001F07DE"/>
    <w:rsid w:val="001F0851"/>
    <w:rsid w:val="001F0D3E"/>
    <w:rsid w:val="001F0D7D"/>
    <w:rsid w:val="001F0D99"/>
    <w:rsid w:val="001F11CE"/>
    <w:rsid w:val="001F18AC"/>
    <w:rsid w:val="001F1F69"/>
    <w:rsid w:val="001F2142"/>
    <w:rsid w:val="001F22C7"/>
    <w:rsid w:val="001F249B"/>
    <w:rsid w:val="001F2CBD"/>
    <w:rsid w:val="001F2DA5"/>
    <w:rsid w:val="001F3671"/>
    <w:rsid w:val="001F3BB0"/>
    <w:rsid w:val="001F3D08"/>
    <w:rsid w:val="001F3DD7"/>
    <w:rsid w:val="001F433A"/>
    <w:rsid w:val="001F4CDA"/>
    <w:rsid w:val="001F5A98"/>
    <w:rsid w:val="001F5C46"/>
    <w:rsid w:val="001F5CB9"/>
    <w:rsid w:val="001F5CFD"/>
    <w:rsid w:val="001F605E"/>
    <w:rsid w:val="001F606C"/>
    <w:rsid w:val="001F6237"/>
    <w:rsid w:val="001F6436"/>
    <w:rsid w:val="001F65E8"/>
    <w:rsid w:val="001F6937"/>
    <w:rsid w:val="001F6EC3"/>
    <w:rsid w:val="001F7A11"/>
    <w:rsid w:val="00200D2B"/>
    <w:rsid w:val="002018DF"/>
    <w:rsid w:val="002019AE"/>
    <w:rsid w:val="00201BC4"/>
    <w:rsid w:val="00201BE8"/>
    <w:rsid w:val="00201C9C"/>
    <w:rsid w:val="00201E80"/>
    <w:rsid w:val="00202135"/>
    <w:rsid w:val="0020242C"/>
    <w:rsid w:val="002024EE"/>
    <w:rsid w:val="00202807"/>
    <w:rsid w:val="0020296C"/>
    <w:rsid w:val="002029F0"/>
    <w:rsid w:val="00202A6B"/>
    <w:rsid w:val="00202F3F"/>
    <w:rsid w:val="002031BE"/>
    <w:rsid w:val="00203462"/>
    <w:rsid w:val="002036B7"/>
    <w:rsid w:val="00203B22"/>
    <w:rsid w:val="00203C23"/>
    <w:rsid w:val="00203C2F"/>
    <w:rsid w:val="00204862"/>
    <w:rsid w:val="00204C21"/>
    <w:rsid w:val="00205604"/>
    <w:rsid w:val="00205AF7"/>
    <w:rsid w:val="00205B0D"/>
    <w:rsid w:val="00205B1B"/>
    <w:rsid w:val="00205C90"/>
    <w:rsid w:val="0020627B"/>
    <w:rsid w:val="00206A02"/>
    <w:rsid w:val="0020734D"/>
    <w:rsid w:val="00207352"/>
    <w:rsid w:val="0020770C"/>
    <w:rsid w:val="00207D88"/>
    <w:rsid w:val="00210037"/>
    <w:rsid w:val="0021030D"/>
    <w:rsid w:val="0021038B"/>
    <w:rsid w:val="002107CA"/>
    <w:rsid w:val="00210961"/>
    <w:rsid w:val="002115F0"/>
    <w:rsid w:val="0021165B"/>
    <w:rsid w:val="002117F8"/>
    <w:rsid w:val="00211944"/>
    <w:rsid w:val="00211AF6"/>
    <w:rsid w:val="00211D89"/>
    <w:rsid w:val="00212A50"/>
    <w:rsid w:val="002141CD"/>
    <w:rsid w:val="00214242"/>
    <w:rsid w:val="002143D3"/>
    <w:rsid w:val="00214568"/>
    <w:rsid w:val="00214FB5"/>
    <w:rsid w:val="00214FB9"/>
    <w:rsid w:val="0021519F"/>
    <w:rsid w:val="00215389"/>
    <w:rsid w:val="00215505"/>
    <w:rsid w:val="00215CEC"/>
    <w:rsid w:val="00216646"/>
    <w:rsid w:val="00216789"/>
    <w:rsid w:val="00216870"/>
    <w:rsid w:val="00216BD8"/>
    <w:rsid w:val="00216EDB"/>
    <w:rsid w:val="00216F5B"/>
    <w:rsid w:val="00217735"/>
    <w:rsid w:val="00217A3B"/>
    <w:rsid w:val="00217C39"/>
    <w:rsid w:val="00217DCF"/>
    <w:rsid w:val="002200C3"/>
    <w:rsid w:val="00220231"/>
    <w:rsid w:val="0022038F"/>
    <w:rsid w:val="0022050F"/>
    <w:rsid w:val="0022055E"/>
    <w:rsid w:val="00221A78"/>
    <w:rsid w:val="00221CB1"/>
    <w:rsid w:val="0022257C"/>
    <w:rsid w:val="00222813"/>
    <w:rsid w:val="002232B7"/>
    <w:rsid w:val="002233BB"/>
    <w:rsid w:val="00223B35"/>
    <w:rsid w:val="00224099"/>
    <w:rsid w:val="0022433B"/>
    <w:rsid w:val="0022487B"/>
    <w:rsid w:val="00224D4D"/>
    <w:rsid w:val="00224EF5"/>
    <w:rsid w:val="0022572F"/>
    <w:rsid w:val="00225935"/>
    <w:rsid w:val="00225D85"/>
    <w:rsid w:val="00225F37"/>
    <w:rsid w:val="002263D5"/>
    <w:rsid w:val="002265B4"/>
    <w:rsid w:val="00226785"/>
    <w:rsid w:val="002267A2"/>
    <w:rsid w:val="0022698D"/>
    <w:rsid w:val="002269BA"/>
    <w:rsid w:val="00226A8A"/>
    <w:rsid w:val="00226B5F"/>
    <w:rsid w:val="00227146"/>
    <w:rsid w:val="0022786E"/>
    <w:rsid w:val="00227922"/>
    <w:rsid w:val="00227ECD"/>
    <w:rsid w:val="00230695"/>
    <w:rsid w:val="00230AB9"/>
    <w:rsid w:val="00230D37"/>
    <w:rsid w:val="00230FA8"/>
    <w:rsid w:val="002318EE"/>
    <w:rsid w:val="002319F2"/>
    <w:rsid w:val="00232016"/>
    <w:rsid w:val="0023205F"/>
    <w:rsid w:val="00232281"/>
    <w:rsid w:val="0023243A"/>
    <w:rsid w:val="00232B76"/>
    <w:rsid w:val="0023324B"/>
    <w:rsid w:val="002336B7"/>
    <w:rsid w:val="00233799"/>
    <w:rsid w:val="00233A26"/>
    <w:rsid w:val="00233D54"/>
    <w:rsid w:val="002342E1"/>
    <w:rsid w:val="002345C4"/>
    <w:rsid w:val="002347E7"/>
    <w:rsid w:val="00234B5B"/>
    <w:rsid w:val="00234B8F"/>
    <w:rsid w:val="00234E7C"/>
    <w:rsid w:val="00234F20"/>
    <w:rsid w:val="00234F4E"/>
    <w:rsid w:val="00235661"/>
    <w:rsid w:val="00235884"/>
    <w:rsid w:val="00236451"/>
    <w:rsid w:val="00236E6C"/>
    <w:rsid w:val="002374C6"/>
    <w:rsid w:val="00237534"/>
    <w:rsid w:val="00237947"/>
    <w:rsid w:val="00237CDF"/>
    <w:rsid w:val="00237D9D"/>
    <w:rsid w:val="00237ECC"/>
    <w:rsid w:val="00239EFB"/>
    <w:rsid w:val="00240011"/>
    <w:rsid w:val="002412A9"/>
    <w:rsid w:val="0024156A"/>
    <w:rsid w:val="00241B4B"/>
    <w:rsid w:val="00241FA8"/>
    <w:rsid w:val="002422AE"/>
    <w:rsid w:val="002424AA"/>
    <w:rsid w:val="0024251B"/>
    <w:rsid w:val="00242618"/>
    <w:rsid w:val="002426AB"/>
    <w:rsid w:val="002429E2"/>
    <w:rsid w:val="00243226"/>
    <w:rsid w:val="002432D0"/>
    <w:rsid w:val="0024382B"/>
    <w:rsid w:val="00243C51"/>
    <w:rsid w:val="0024425F"/>
    <w:rsid w:val="00244340"/>
    <w:rsid w:val="00244997"/>
    <w:rsid w:val="00244E5B"/>
    <w:rsid w:val="002450FB"/>
    <w:rsid w:val="0024511F"/>
    <w:rsid w:val="00245792"/>
    <w:rsid w:val="00245A2D"/>
    <w:rsid w:val="00245C1F"/>
    <w:rsid w:val="00245E37"/>
    <w:rsid w:val="0024671B"/>
    <w:rsid w:val="002470CC"/>
    <w:rsid w:val="00247973"/>
    <w:rsid w:val="00250021"/>
    <w:rsid w:val="00250431"/>
    <w:rsid w:val="00250EB5"/>
    <w:rsid w:val="00251063"/>
    <w:rsid w:val="002512F5"/>
    <w:rsid w:val="002512FF"/>
    <w:rsid w:val="00251671"/>
    <w:rsid w:val="00251AAA"/>
    <w:rsid w:val="00252324"/>
    <w:rsid w:val="0025234A"/>
    <w:rsid w:val="00252A1F"/>
    <w:rsid w:val="00252DB3"/>
    <w:rsid w:val="00253358"/>
    <w:rsid w:val="002537D9"/>
    <w:rsid w:val="00253D6B"/>
    <w:rsid w:val="00253DF4"/>
    <w:rsid w:val="002549F2"/>
    <w:rsid w:val="00254C4A"/>
    <w:rsid w:val="00254D17"/>
    <w:rsid w:val="00254FE4"/>
    <w:rsid w:val="00255312"/>
    <w:rsid w:val="00255771"/>
    <w:rsid w:val="00255A09"/>
    <w:rsid w:val="00255B51"/>
    <w:rsid w:val="00255BB3"/>
    <w:rsid w:val="00255FE9"/>
    <w:rsid w:val="00256777"/>
    <w:rsid w:val="002568E0"/>
    <w:rsid w:val="00256ED8"/>
    <w:rsid w:val="00257B26"/>
    <w:rsid w:val="002604E2"/>
    <w:rsid w:val="002606AF"/>
    <w:rsid w:val="00260958"/>
    <w:rsid w:val="0026097C"/>
    <w:rsid w:val="002609B4"/>
    <w:rsid w:val="00260CF3"/>
    <w:rsid w:val="0026145C"/>
    <w:rsid w:val="002617E4"/>
    <w:rsid w:val="0026196A"/>
    <w:rsid w:val="00261D35"/>
    <w:rsid w:val="002624D3"/>
    <w:rsid w:val="002629D8"/>
    <w:rsid w:val="00262B7A"/>
    <w:rsid w:val="00262F28"/>
    <w:rsid w:val="00262F6B"/>
    <w:rsid w:val="002630D7"/>
    <w:rsid w:val="0026354A"/>
    <w:rsid w:val="00263656"/>
    <w:rsid w:val="002637D5"/>
    <w:rsid w:val="00263991"/>
    <w:rsid w:val="00263A6A"/>
    <w:rsid w:val="00263C66"/>
    <w:rsid w:val="00264655"/>
    <w:rsid w:val="0026488E"/>
    <w:rsid w:val="00264EB9"/>
    <w:rsid w:val="0026518D"/>
    <w:rsid w:val="002656A0"/>
    <w:rsid w:val="00266912"/>
    <w:rsid w:val="00266F00"/>
    <w:rsid w:val="00266F3B"/>
    <w:rsid w:val="00266FBC"/>
    <w:rsid w:val="002670D7"/>
    <w:rsid w:val="002677E3"/>
    <w:rsid w:val="00267B04"/>
    <w:rsid w:val="0027090D"/>
    <w:rsid w:val="002713B6"/>
    <w:rsid w:val="00271747"/>
    <w:rsid w:val="00271A0F"/>
    <w:rsid w:val="00271AE7"/>
    <w:rsid w:val="00272AD7"/>
    <w:rsid w:val="00272BA7"/>
    <w:rsid w:val="0027307C"/>
    <w:rsid w:val="00273ABC"/>
    <w:rsid w:val="00273AE9"/>
    <w:rsid w:val="00273B5B"/>
    <w:rsid w:val="00274599"/>
    <w:rsid w:val="0027478B"/>
    <w:rsid w:val="002749A6"/>
    <w:rsid w:val="00274B23"/>
    <w:rsid w:val="00275378"/>
    <w:rsid w:val="002755D5"/>
    <w:rsid w:val="00275920"/>
    <w:rsid w:val="002759AA"/>
    <w:rsid w:val="00275BFB"/>
    <w:rsid w:val="00275C38"/>
    <w:rsid w:val="002760F2"/>
    <w:rsid w:val="00276363"/>
    <w:rsid w:val="00276DDC"/>
    <w:rsid w:val="0027744C"/>
    <w:rsid w:val="0027748E"/>
    <w:rsid w:val="002775CB"/>
    <w:rsid w:val="00277C7A"/>
    <w:rsid w:val="00280297"/>
    <w:rsid w:val="00280599"/>
    <w:rsid w:val="002805CD"/>
    <w:rsid w:val="0028073D"/>
    <w:rsid w:val="00280C25"/>
    <w:rsid w:val="00281559"/>
    <w:rsid w:val="00282426"/>
    <w:rsid w:val="0028257C"/>
    <w:rsid w:val="00282A62"/>
    <w:rsid w:val="00282F6A"/>
    <w:rsid w:val="0028334F"/>
    <w:rsid w:val="00283599"/>
    <w:rsid w:val="00283DB4"/>
    <w:rsid w:val="002840C2"/>
    <w:rsid w:val="002846AE"/>
    <w:rsid w:val="00284D8D"/>
    <w:rsid w:val="0028545A"/>
    <w:rsid w:val="00285799"/>
    <w:rsid w:val="00285C06"/>
    <w:rsid w:val="00285C2C"/>
    <w:rsid w:val="00286970"/>
    <w:rsid w:val="00286F9A"/>
    <w:rsid w:val="00286F9F"/>
    <w:rsid w:val="00290213"/>
    <w:rsid w:val="00290309"/>
    <w:rsid w:val="0029094B"/>
    <w:rsid w:val="00290A53"/>
    <w:rsid w:val="00290B8C"/>
    <w:rsid w:val="00291239"/>
    <w:rsid w:val="002912C6"/>
    <w:rsid w:val="00291E41"/>
    <w:rsid w:val="00291F0D"/>
    <w:rsid w:val="00291FB6"/>
    <w:rsid w:val="002920BD"/>
    <w:rsid w:val="00292210"/>
    <w:rsid w:val="0029235A"/>
    <w:rsid w:val="00292A3D"/>
    <w:rsid w:val="00292ACE"/>
    <w:rsid w:val="00292B90"/>
    <w:rsid w:val="00293D97"/>
    <w:rsid w:val="00294404"/>
    <w:rsid w:val="00294A16"/>
    <w:rsid w:val="00294B7A"/>
    <w:rsid w:val="00295B8B"/>
    <w:rsid w:val="00295C7D"/>
    <w:rsid w:val="00296381"/>
    <w:rsid w:val="00296608"/>
    <w:rsid w:val="002966BE"/>
    <w:rsid w:val="00296AB0"/>
    <w:rsid w:val="00296CD6"/>
    <w:rsid w:val="00296E64"/>
    <w:rsid w:val="002971E1"/>
    <w:rsid w:val="00297292"/>
    <w:rsid w:val="002974CA"/>
    <w:rsid w:val="002974FE"/>
    <w:rsid w:val="00297812"/>
    <w:rsid w:val="002A0AE0"/>
    <w:rsid w:val="002A0E48"/>
    <w:rsid w:val="002A0EA0"/>
    <w:rsid w:val="002A143E"/>
    <w:rsid w:val="002A14D8"/>
    <w:rsid w:val="002A17CB"/>
    <w:rsid w:val="002A223C"/>
    <w:rsid w:val="002A2605"/>
    <w:rsid w:val="002A2FAD"/>
    <w:rsid w:val="002A378E"/>
    <w:rsid w:val="002A37B8"/>
    <w:rsid w:val="002A3849"/>
    <w:rsid w:val="002A3867"/>
    <w:rsid w:val="002A3986"/>
    <w:rsid w:val="002A39F9"/>
    <w:rsid w:val="002A3CE2"/>
    <w:rsid w:val="002A43FC"/>
    <w:rsid w:val="002A45DF"/>
    <w:rsid w:val="002A5148"/>
    <w:rsid w:val="002A5620"/>
    <w:rsid w:val="002A57E5"/>
    <w:rsid w:val="002A589E"/>
    <w:rsid w:val="002A5A3D"/>
    <w:rsid w:val="002A6115"/>
    <w:rsid w:val="002A6222"/>
    <w:rsid w:val="002A65C9"/>
    <w:rsid w:val="002A69B0"/>
    <w:rsid w:val="002A6FE2"/>
    <w:rsid w:val="002A7180"/>
    <w:rsid w:val="002A7A22"/>
    <w:rsid w:val="002AFBC7"/>
    <w:rsid w:val="002B05A0"/>
    <w:rsid w:val="002B0B42"/>
    <w:rsid w:val="002B0C05"/>
    <w:rsid w:val="002B0CD0"/>
    <w:rsid w:val="002B0D70"/>
    <w:rsid w:val="002B1017"/>
    <w:rsid w:val="002B1113"/>
    <w:rsid w:val="002B140D"/>
    <w:rsid w:val="002B1A3A"/>
    <w:rsid w:val="002B1D14"/>
    <w:rsid w:val="002B25B1"/>
    <w:rsid w:val="002B25BC"/>
    <w:rsid w:val="002B2839"/>
    <w:rsid w:val="002B2E18"/>
    <w:rsid w:val="002B2F8D"/>
    <w:rsid w:val="002B324C"/>
    <w:rsid w:val="002B32F3"/>
    <w:rsid w:val="002B347A"/>
    <w:rsid w:val="002B3508"/>
    <w:rsid w:val="002B36C9"/>
    <w:rsid w:val="002B3730"/>
    <w:rsid w:val="002B3786"/>
    <w:rsid w:val="002B3C10"/>
    <w:rsid w:val="002B3D64"/>
    <w:rsid w:val="002B411B"/>
    <w:rsid w:val="002B454A"/>
    <w:rsid w:val="002B47C2"/>
    <w:rsid w:val="002B53D5"/>
    <w:rsid w:val="002B54F7"/>
    <w:rsid w:val="002B5957"/>
    <w:rsid w:val="002B5D1E"/>
    <w:rsid w:val="002B676F"/>
    <w:rsid w:val="002B6D68"/>
    <w:rsid w:val="002B744D"/>
    <w:rsid w:val="002B7A97"/>
    <w:rsid w:val="002B7AA3"/>
    <w:rsid w:val="002B7D26"/>
    <w:rsid w:val="002B7E3E"/>
    <w:rsid w:val="002B7F1A"/>
    <w:rsid w:val="002B7FDC"/>
    <w:rsid w:val="002C0172"/>
    <w:rsid w:val="002C030A"/>
    <w:rsid w:val="002C0541"/>
    <w:rsid w:val="002C0690"/>
    <w:rsid w:val="002C0C69"/>
    <w:rsid w:val="002C11AA"/>
    <w:rsid w:val="002C11C3"/>
    <w:rsid w:val="002C1292"/>
    <w:rsid w:val="002C1431"/>
    <w:rsid w:val="002C1627"/>
    <w:rsid w:val="002C16DE"/>
    <w:rsid w:val="002C1836"/>
    <w:rsid w:val="002C1928"/>
    <w:rsid w:val="002C1B4A"/>
    <w:rsid w:val="002C2041"/>
    <w:rsid w:val="002C2210"/>
    <w:rsid w:val="002C2A5C"/>
    <w:rsid w:val="002C2A93"/>
    <w:rsid w:val="002C3167"/>
    <w:rsid w:val="002C34CD"/>
    <w:rsid w:val="002C34FC"/>
    <w:rsid w:val="002C359C"/>
    <w:rsid w:val="002C3AED"/>
    <w:rsid w:val="002C3E93"/>
    <w:rsid w:val="002C45D7"/>
    <w:rsid w:val="002C469C"/>
    <w:rsid w:val="002C4EFE"/>
    <w:rsid w:val="002C504A"/>
    <w:rsid w:val="002C505C"/>
    <w:rsid w:val="002C5170"/>
    <w:rsid w:val="002C5E41"/>
    <w:rsid w:val="002C5E79"/>
    <w:rsid w:val="002C5F60"/>
    <w:rsid w:val="002C6078"/>
    <w:rsid w:val="002C6702"/>
    <w:rsid w:val="002C68BA"/>
    <w:rsid w:val="002C6A8D"/>
    <w:rsid w:val="002C6AE0"/>
    <w:rsid w:val="002C6E33"/>
    <w:rsid w:val="002C6F4D"/>
    <w:rsid w:val="002C7236"/>
    <w:rsid w:val="002C74E7"/>
    <w:rsid w:val="002D015E"/>
    <w:rsid w:val="002D1A4E"/>
    <w:rsid w:val="002D1A76"/>
    <w:rsid w:val="002D25FB"/>
    <w:rsid w:val="002D26AC"/>
    <w:rsid w:val="002D280C"/>
    <w:rsid w:val="002D2A3F"/>
    <w:rsid w:val="002D2F02"/>
    <w:rsid w:val="002D2F8A"/>
    <w:rsid w:val="002D319F"/>
    <w:rsid w:val="002D32CA"/>
    <w:rsid w:val="002D3552"/>
    <w:rsid w:val="002D36EE"/>
    <w:rsid w:val="002D3B23"/>
    <w:rsid w:val="002D3C09"/>
    <w:rsid w:val="002D3C0B"/>
    <w:rsid w:val="002D3FD9"/>
    <w:rsid w:val="002D4B58"/>
    <w:rsid w:val="002D4EDE"/>
    <w:rsid w:val="002D561F"/>
    <w:rsid w:val="002D5693"/>
    <w:rsid w:val="002D577A"/>
    <w:rsid w:val="002D58E0"/>
    <w:rsid w:val="002D5917"/>
    <w:rsid w:val="002D59FE"/>
    <w:rsid w:val="002D64C6"/>
    <w:rsid w:val="002D651A"/>
    <w:rsid w:val="002D68C3"/>
    <w:rsid w:val="002D6960"/>
    <w:rsid w:val="002D69CE"/>
    <w:rsid w:val="002D6AC8"/>
    <w:rsid w:val="002D6D26"/>
    <w:rsid w:val="002D6E3C"/>
    <w:rsid w:val="002D7C2D"/>
    <w:rsid w:val="002D7C86"/>
    <w:rsid w:val="002D7CA5"/>
    <w:rsid w:val="002DB1B2"/>
    <w:rsid w:val="002E0007"/>
    <w:rsid w:val="002E00D1"/>
    <w:rsid w:val="002E0AA4"/>
    <w:rsid w:val="002E0F4C"/>
    <w:rsid w:val="002E1253"/>
    <w:rsid w:val="002E131C"/>
    <w:rsid w:val="002E148D"/>
    <w:rsid w:val="002E15AC"/>
    <w:rsid w:val="002E1930"/>
    <w:rsid w:val="002E2378"/>
    <w:rsid w:val="002E2518"/>
    <w:rsid w:val="002E26EB"/>
    <w:rsid w:val="002E2B1E"/>
    <w:rsid w:val="002E3390"/>
    <w:rsid w:val="002E3F22"/>
    <w:rsid w:val="002E3FB3"/>
    <w:rsid w:val="002E4571"/>
    <w:rsid w:val="002E4A57"/>
    <w:rsid w:val="002E4F1E"/>
    <w:rsid w:val="002E51B0"/>
    <w:rsid w:val="002E56AE"/>
    <w:rsid w:val="002E56EE"/>
    <w:rsid w:val="002E66BB"/>
    <w:rsid w:val="002E6AD3"/>
    <w:rsid w:val="002E747D"/>
    <w:rsid w:val="002F1240"/>
    <w:rsid w:val="002F257B"/>
    <w:rsid w:val="002F2697"/>
    <w:rsid w:val="002F28A1"/>
    <w:rsid w:val="002F2DD4"/>
    <w:rsid w:val="002F37C9"/>
    <w:rsid w:val="002F3868"/>
    <w:rsid w:val="002F3A5D"/>
    <w:rsid w:val="002F3C7A"/>
    <w:rsid w:val="002F3CFC"/>
    <w:rsid w:val="002F3E46"/>
    <w:rsid w:val="002F3EEE"/>
    <w:rsid w:val="002F41AF"/>
    <w:rsid w:val="002F4D30"/>
    <w:rsid w:val="002F54AE"/>
    <w:rsid w:val="002F5893"/>
    <w:rsid w:val="002F5BEC"/>
    <w:rsid w:val="002F60FA"/>
    <w:rsid w:val="002F617D"/>
    <w:rsid w:val="002F6469"/>
    <w:rsid w:val="002F6AAD"/>
    <w:rsid w:val="002F70FA"/>
    <w:rsid w:val="002F72C3"/>
    <w:rsid w:val="002F7305"/>
    <w:rsid w:val="002F7308"/>
    <w:rsid w:val="002F7396"/>
    <w:rsid w:val="002F7487"/>
    <w:rsid w:val="00300B4E"/>
    <w:rsid w:val="00301235"/>
    <w:rsid w:val="003014B1"/>
    <w:rsid w:val="003017B2"/>
    <w:rsid w:val="00301817"/>
    <w:rsid w:val="00301BA6"/>
    <w:rsid w:val="00301CEE"/>
    <w:rsid w:val="0030217C"/>
    <w:rsid w:val="00302672"/>
    <w:rsid w:val="00302B7C"/>
    <w:rsid w:val="003030B1"/>
    <w:rsid w:val="003032D1"/>
    <w:rsid w:val="0030381C"/>
    <w:rsid w:val="00303A01"/>
    <w:rsid w:val="00303EA1"/>
    <w:rsid w:val="00303FFF"/>
    <w:rsid w:val="003044F2"/>
    <w:rsid w:val="00304A60"/>
    <w:rsid w:val="003056BB"/>
    <w:rsid w:val="003057B6"/>
    <w:rsid w:val="00305ABA"/>
    <w:rsid w:val="00306100"/>
    <w:rsid w:val="003067F1"/>
    <w:rsid w:val="00306A11"/>
    <w:rsid w:val="00306A9F"/>
    <w:rsid w:val="00307708"/>
    <w:rsid w:val="00307A5A"/>
    <w:rsid w:val="00307D25"/>
    <w:rsid w:val="00307FB8"/>
    <w:rsid w:val="003101CD"/>
    <w:rsid w:val="003102A3"/>
    <w:rsid w:val="0031064F"/>
    <w:rsid w:val="00310E7F"/>
    <w:rsid w:val="0031118A"/>
    <w:rsid w:val="00311919"/>
    <w:rsid w:val="0031192F"/>
    <w:rsid w:val="00311BD4"/>
    <w:rsid w:val="00311FB4"/>
    <w:rsid w:val="00312451"/>
    <w:rsid w:val="003129A1"/>
    <w:rsid w:val="003129C9"/>
    <w:rsid w:val="00313222"/>
    <w:rsid w:val="00313A3F"/>
    <w:rsid w:val="00313EA5"/>
    <w:rsid w:val="003141D7"/>
    <w:rsid w:val="00315152"/>
    <w:rsid w:val="00315C3F"/>
    <w:rsid w:val="00316094"/>
    <w:rsid w:val="0031628E"/>
    <w:rsid w:val="00316950"/>
    <w:rsid w:val="00316C9A"/>
    <w:rsid w:val="00316FD5"/>
    <w:rsid w:val="00317287"/>
    <w:rsid w:val="00317535"/>
    <w:rsid w:val="00317914"/>
    <w:rsid w:val="00317A02"/>
    <w:rsid w:val="00317D49"/>
    <w:rsid w:val="003207D3"/>
    <w:rsid w:val="00320E32"/>
    <w:rsid w:val="00320E3B"/>
    <w:rsid w:val="0032122D"/>
    <w:rsid w:val="0032123F"/>
    <w:rsid w:val="003214B8"/>
    <w:rsid w:val="00321517"/>
    <w:rsid w:val="0032176E"/>
    <w:rsid w:val="00321DFC"/>
    <w:rsid w:val="003220D6"/>
    <w:rsid w:val="00322752"/>
    <w:rsid w:val="00322B27"/>
    <w:rsid w:val="00322F95"/>
    <w:rsid w:val="00323246"/>
    <w:rsid w:val="0032370F"/>
    <w:rsid w:val="00323734"/>
    <w:rsid w:val="0032393F"/>
    <w:rsid w:val="00323C2B"/>
    <w:rsid w:val="00324974"/>
    <w:rsid w:val="0032502C"/>
    <w:rsid w:val="00325600"/>
    <w:rsid w:val="003258D2"/>
    <w:rsid w:val="00325DB9"/>
    <w:rsid w:val="003264B6"/>
    <w:rsid w:val="00326D45"/>
    <w:rsid w:val="00327446"/>
    <w:rsid w:val="003279AB"/>
    <w:rsid w:val="0033010A"/>
    <w:rsid w:val="00330443"/>
    <w:rsid w:val="0033191D"/>
    <w:rsid w:val="00331EC9"/>
    <w:rsid w:val="0033219C"/>
    <w:rsid w:val="00332238"/>
    <w:rsid w:val="0033294C"/>
    <w:rsid w:val="00332999"/>
    <w:rsid w:val="00332A42"/>
    <w:rsid w:val="00332BD4"/>
    <w:rsid w:val="003335E1"/>
    <w:rsid w:val="00333CF1"/>
    <w:rsid w:val="00333CFA"/>
    <w:rsid w:val="003343CE"/>
    <w:rsid w:val="00334582"/>
    <w:rsid w:val="0033472A"/>
    <w:rsid w:val="00334C54"/>
    <w:rsid w:val="0033523C"/>
    <w:rsid w:val="003359DD"/>
    <w:rsid w:val="00336199"/>
    <w:rsid w:val="00336294"/>
    <w:rsid w:val="003369E8"/>
    <w:rsid w:val="00336D39"/>
    <w:rsid w:val="00336F6A"/>
    <w:rsid w:val="0033714F"/>
    <w:rsid w:val="00337737"/>
    <w:rsid w:val="00340058"/>
    <w:rsid w:val="00340065"/>
    <w:rsid w:val="00340151"/>
    <w:rsid w:val="0034024C"/>
    <w:rsid w:val="00340C33"/>
    <w:rsid w:val="00340EBF"/>
    <w:rsid w:val="00341AFF"/>
    <w:rsid w:val="00341F31"/>
    <w:rsid w:val="00341F75"/>
    <w:rsid w:val="00342501"/>
    <w:rsid w:val="00342503"/>
    <w:rsid w:val="0034254D"/>
    <w:rsid w:val="003425D5"/>
    <w:rsid w:val="00342650"/>
    <w:rsid w:val="003426D9"/>
    <w:rsid w:val="00342855"/>
    <w:rsid w:val="00342E0D"/>
    <w:rsid w:val="00343E4A"/>
    <w:rsid w:val="00344018"/>
    <w:rsid w:val="003443A0"/>
    <w:rsid w:val="0034466A"/>
    <w:rsid w:val="0034483F"/>
    <w:rsid w:val="00344A52"/>
    <w:rsid w:val="00344F94"/>
    <w:rsid w:val="0034550E"/>
    <w:rsid w:val="00345898"/>
    <w:rsid w:val="00345B30"/>
    <w:rsid w:val="003466B2"/>
    <w:rsid w:val="003466E1"/>
    <w:rsid w:val="003466FE"/>
    <w:rsid w:val="00346915"/>
    <w:rsid w:val="00346E30"/>
    <w:rsid w:val="0034725F"/>
    <w:rsid w:val="00347468"/>
    <w:rsid w:val="00347A49"/>
    <w:rsid w:val="00347C97"/>
    <w:rsid w:val="003505F4"/>
    <w:rsid w:val="00350644"/>
    <w:rsid w:val="0035075E"/>
    <w:rsid w:val="003508C9"/>
    <w:rsid w:val="00350D26"/>
    <w:rsid w:val="003513C6"/>
    <w:rsid w:val="00351451"/>
    <w:rsid w:val="0035199F"/>
    <w:rsid w:val="00352628"/>
    <w:rsid w:val="00353306"/>
    <w:rsid w:val="00353334"/>
    <w:rsid w:val="00353569"/>
    <w:rsid w:val="003537BB"/>
    <w:rsid w:val="003537C0"/>
    <w:rsid w:val="003538E5"/>
    <w:rsid w:val="003540EE"/>
    <w:rsid w:val="00354DB5"/>
    <w:rsid w:val="00355114"/>
    <w:rsid w:val="00355155"/>
    <w:rsid w:val="0035581E"/>
    <w:rsid w:val="00355A42"/>
    <w:rsid w:val="00355A61"/>
    <w:rsid w:val="0035691C"/>
    <w:rsid w:val="00356B59"/>
    <w:rsid w:val="00356BE1"/>
    <w:rsid w:val="003572A0"/>
    <w:rsid w:val="0035754C"/>
    <w:rsid w:val="00359AE7"/>
    <w:rsid w:val="003600F6"/>
    <w:rsid w:val="00360200"/>
    <w:rsid w:val="003604C9"/>
    <w:rsid w:val="00360580"/>
    <w:rsid w:val="00360734"/>
    <w:rsid w:val="003610F0"/>
    <w:rsid w:val="0036189D"/>
    <w:rsid w:val="00361BFF"/>
    <w:rsid w:val="0036250F"/>
    <w:rsid w:val="00362A83"/>
    <w:rsid w:val="00362D14"/>
    <w:rsid w:val="00362EE4"/>
    <w:rsid w:val="003632F7"/>
    <w:rsid w:val="00363E91"/>
    <w:rsid w:val="00363F8E"/>
    <w:rsid w:val="00363F99"/>
    <w:rsid w:val="00364029"/>
    <w:rsid w:val="003644BA"/>
    <w:rsid w:val="0036473E"/>
    <w:rsid w:val="00364FFF"/>
    <w:rsid w:val="003654BC"/>
    <w:rsid w:val="0036585F"/>
    <w:rsid w:val="00365F87"/>
    <w:rsid w:val="00366383"/>
    <w:rsid w:val="0036669D"/>
    <w:rsid w:val="003669C1"/>
    <w:rsid w:val="00366F26"/>
    <w:rsid w:val="0036757E"/>
    <w:rsid w:val="00367605"/>
    <w:rsid w:val="00367820"/>
    <w:rsid w:val="003704B0"/>
    <w:rsid w:val="003705D0"/>
    <w:rsid w:val="003708AF"/>
    <w:rsid w:val="00370DFB"/>
    <w:rsid w:val="00370EC0"/>
    <w:rsid w:val="0037140C"/>
    <w:rsid w:val="00371A08"/>
    <w:rsid w:val="0037240B"/>
    <w:rsid w:val="00372EEA"/>
    <w:rsid w:val="00372FE4"/>
    <w:rsid w:val="003737A0"/>
    <w:rsid w:val="00373A96"/>
    <w:rsid w:val="00374657"/>
    <w:rsid w:val="00374922"/>
    <w:rsid w:val="00374C73"/>
    <w:rsid w:val="00374E02"/>
    <w:rsid w:val="00374F40"/>
    <w:rsid w:val="0037507D"/>
    <w:rsid w:val="003753F8"/>
    <w:rsid w:val="00375867"/>
    <w:rsid w:val="00375952"/>
    <w:rsid w:val="00375AB0"/>
    <w:rsid w:val="00375FE8"/>
    <w:rsid w:val="003760E7"/>
    <w:rsid w:val="0037619E"/>
    <w:rsid w:val="003761AF"/>
    <w:rsid w:val="00376342"/>
    <w:rsid w:val="00376928"/>
    <w:rsid w:val="00376FDA"/>
    <w:rsid w:val="003773AD"/>
    <w:rsid w:val="00380182"/>
    <w:rsid w:val="0038023C"/>
    <w:rsid w:val="003807FC"/>
    <w:rsid w:val="00381238"/>
    <w:rsid w:val="00381E32"/>
    <w:rsid w:val="00381F5C"/>
    <w:rsid w:val="00382674"/>
    <w:rsid w:val="00382682"/>
    <w:rsid w:val="00382A63"/>
    <w:rsid w:val="00382AAA"/>
    <w:rsid w:val="00382B91"/>
    <w:rsid w:val="003833A2"/>
    <w:rsid w:val="00383756"/>
    <w:rsid w:val="003837DD"/>
    <w:rsid w:val="003839F2"/>
    <w:rsid w:val="00384364"/>
    <w:rsid w:val="003844BE"/>
    <w:rsid w:val="00384971"/>
    <w:rsid w:val="00384A58"/>
    <w:rsid w:val="00384AE2"/>
    <w:rsid w:val="00384BE7"/>
    <w:rsid w:val="00384F66"/>
    <w:rsid w:val="00385B22"/>
    <w:rsid w:val="00385BFE"/>
    <w:rsid w:val="00385E35"/>
    <w:rsid w:val="00385ED4"/>
    <w:rsid w:val="00386354"/>
    <w:rsid w:val="00386395"/>
    <w:rsid w:val="00386963"/>
    <w:rsid w:val="00386CC6"/>
    <w:rsid w:val="00386DB3"/>
    <w:rsid w:val="003875E0"/>
    <w:rsid w:val="003878BF"/>
    <w:rsid w:val="00387A1A"/>
    <w:rsid w:val="00387CB3"/>
    <w:rsid w:val="00390284"/>
    <w:rsid w:val="0039057E"/>
    <w:rsid w:val="00391873"/>
    <w:rsid w:val="00391CA5"/>
    <w:rsid w:val="00391CF4"/>
    <w:rsid w:val="00391E50"/>
    <w:rsid w:val="00391F5F"/>
    <w:rsid w:val="003921D5"/>
    <w:rsid w:val="00392CB7"/>
    <w:rsid w:val="00392E07"/>
    <w:rsid w:val="00393371"/>
    <w:rsid w:val="003934F8"/>
    <w:rsid w:val="00393519"/>
    <w:rsid w:val="0039354D"/>
    <w:rsid w:val="003938C5"/>
    <w:rsid w:val="00393BAC"/>
    <w:rsid w:val="00393CD4"/>
    <w:rsid w:val="00393D76"/>
    <w:rsid w:val="0039426C"/>
    <w:rsid w:val="003946E3"/>
    <w:rsid w:val="00394E42"/>
    <w:rsid w:val="0039519C"/>
    <w:rsid w:val="0039549E"/>
    <w:rsid w:val="003954A9"/>
    <w:rsid w:val="003957F1"/>
    <w:rsid w:val="00396054"/>
    <w:rsid w:val="003969F3"/>
    <w:rsid w:val="00396C56"/>
    <w:rsid w:val="00396E84"/>
    <w:rsid w:val="0039708A"/>
    <w:rsid w:val="003970BA"/>
    <w:rsid w:val="00397403"/>
    <w:rsid w:val="00397795"/>
    <w:rsid w:val="00397BA4"/>
    <w:rsid w:val="00397FE3"/>
    <w:rsid w:val="00397FF3"/>
    <w:rsid w:val="00399559"/>
    <w:rsid w:val="003A0002"/>
    <w:rsid w:val="003A02BF"/>
    <w:rsid w:val="003A03DA"/>
    <w:rsid w:val="003A0AD3"/>
    <w:rsid w:val="003A0C38"/>
    <w:rsid w:val="003A0FC5"/>
    <w:rsid w:val="003A1013"/>
    <w:rsid w:val="003A136A"/>
    <w:rsid w:val="003A1831"/>
    <w:rsid w:val="003A184E"/>
    <w:rsid w:val="003A2A46"/>
    <w:rsid w:val="003A2BF5"/>
    <w:rsid w:val="003A2C01"/>
    <w:rsid w:val="003A42E9"/>
    <w:rsid w:val="003A4765"/>
    <w:rsid w:val="003A499E"/>
    <w:rsid w:val="003A50F7"/>
    <w:rsid w:val="003A54F3"/>
    <w:rsid w:val="003A55D2"/>
    <w:rsid w:val="003A5606"/>
    <w:rsid w:val="003A5939"/>
    <w:rsid w:val="003A5D7D"/>
    <w:rsid w:val="003A6676"/>
    <w:rsid w:val="003A68E5"/>
    <w:rsid w:val="003A713E"/>
    <w:rsid w:val="003A756E"/>
    <w:rsid w:val="003B03CA"/>
    <w:rsid w:val="003B0B74"/>
    <w:rsid w:val="003B0C44"/>
    <w:rsid w:val="003B0DAB"/>
    <w:rsid w:val="003B0E06"/>
    <w:rsid w:val="003B1B39"/>
    <w:rsid w:val="003B1C71"/>
    <w:rsid w:val="003B1C8A"/>
    <w:rsid w:val="003B244E"/>
    <w:rsid w:val="003B2B0C"/>
    <w:rsid w:val="003B2C65"/>
    <w:rsid w:val="003B2F0A"/>
    <w:rsid w:val="003B3522"/>
    <w:rsid w:val="003B3D76"/>
    <w:rsid w:val="003B3FBE"/>
    <w:rsid w:val="003B405A"/>
    <w:rsid w:val="003B4312"/>
    <w:rsid w:val="003B4841"/>
    <w:rsid w:val="003B4ABE"/>
    <w:rsid w:val="003B4AC7"/>
    <w:rsid w:val="003B509F"/>
    <w:rsid w:val="003B5754"/>
    <w:rsid w:val="003B5B50"/>
    <w:rsid w:val="003B5F68"/>
    <w:rsid w:val="003B632D"/>
    <w:rsid w:val="003B6488"/>
    <w:rsid w:val="003B6B0C"/>
    <w:rsid w:val="003B6E8D"/>
    <w:rsid w:val="003B6FD2"/>
    <w:rsid w:val="003B70D4"/>
    <w:rsid w:val="003B7863"/>
    <w:rsid w:val="003B7DCB"/>
    <w:rsid w:val="003B7E72"/>
    <w:rsid w:val="003B7F80"/>
    <w:rsid w:val="003C0394"/>
    <w:rsid w:val="003C0B3A"/>
    <w:rsid w:val="003C1314"/>
    <w:rsid w:val="003C16B9"/>
    <w:rsid w:val="003C1D3E"/>
    <w:rsid w:val="003C22AB"/>
    <w:rsid w:val="003C2654"/>
    <w:rsid w:val="003C2CAD"/>
    <w:rsid w:val="003C2EF1"/>
    <w:rsid w:val="003C2F36"/>
    <w:rsid w:val="003C2F8F"/>
    <w:rsid w:val="003C3D49"/>
    <w:rsid w:val="003C3F7B"/>
    <w:rsid w:val="003C41FE"/>
    <w:rsid w:val="003C4439"/>
    <w:rsid w:val="003C45C9"/>
    <w:rsid w:val="003C491E"/>
    <w:rsid w:val="003C4CE2"/>
    <w:rsid w:val="003C5239"/>
    <w:rsid w:val="003C5687"/>
    <w:rsid w:val="003C59B3"/>
    <w:rsid w:val="003C59CA"/>
    <w:rsid w:val="003C5A2E"/>
    <w:rsid w:val="003C5AC3"/>
    <w:rsid w:val="003C5E02"/>
    <w:rsid w:val="003C61E4"/>
    <w:rsid w:val="003C76F6"/>
    <w:rsid w:val="003C797B"/>
    <w:rsid w:val="003C79F1"/>
    <w:rsid w:val="003C7AFB"/>
    <w:rsid w:val="003D0767"/>
    <w:rsid w:val="003D093E"/>
    <w:rsid w:val="003D0CAA"/>
    <w:rsid w:val="003D1172"/>
    <w:rsid w:val="003D1418"/>
    <w:rsid w:val="003D2782"/>
    <w:rsid w:val="003D3791"/>
    <w:rsid w:val="003D37B5"/>
    <w:rsid w:val="003D3C3E"/>
    <w:rsid w:val="003D3E45"/>
    <w:rsid w:val="003D4179"/>
    <w:rsid w:val="003D44B9"/>
    <w:rsid w:val="003D454A"/>
    <w:rsid w:val="003D4D52"/>
    <w:rsid w:val="003D516C"/>
    <w:rsid w:val="003D51C8"/>
    <w:rsid w:val="003D5334"/>
    <w:rsid w:val="003D562F"/>
    <w:rsid w:val="003D5E07"/>
    <w:rsid w:val="003D5E36"/>
    <w:rsid w:val="003D6164"/>
    <w:rsid w:val="003D6198"/>
    <w:rsid w:val="003D653D"/>
    <w:rsid w:val="003D670E"/>
    <w:rsid w:val="003D69FD"/>
    <w:rsid w:val="003D704A"/>
    <w:rsid w:val="003D7247"/>
    <w:rsid w:val="003D729A"/>
    <w:rsid w:val="003D72B2"/>
    <w:rsid w:val="003D77BA"/>
    <w:rsid w:val="003D9607"/>
    <w:rsid w:val="003E0286"/>
    <w:rsid w:val="003E0323"/>
    <w:rsid w:val="003E1286"/>
    <w:rsid w:val="003E13D1"/>
    <w:rsid w:val="003E1F17"/>
    <w:rsid w:val="003E2436"/>
    <w:rsid w:val="003E2794"/>
    <w:rsid w:val="003E2CE3"/>
    <w:rsid w:val="003E2D3D"/>
    <w:rsid w:val="003E360E"/>
    <w:rsid w:val="003E398C"/>
    <w:rsid w:val="003E3B23"/>
    <w:rsid w:val="003E4E6C"/>
    <w:rsid w:val="003E509C"/>
    <w:rsid w:val="003E52F8"/>
    <w:rsid w:val="003E5375"/>
    <w:rsid w:val="003E5477"/>
    <w:rsid w:val="003E54D9"/>
    <w:rsid w:val="003E5BE4"/>
    <w:rsid w:val="003E5DA3"/>
    <w:rsid w:val="003E5E11"/>
    <w:rsid w:val="003E5E14"/>
    <w:rsid w:val="003E6358"/>
    <w:rsid w:val="003E6513"/>
    <w:rsid w:val="003E65F6"/>
    <w:rsid w:val="003E6B46"/>
    <w:rsid w:val="003E6D2D"/>
    <w:rsid w:val="003E6E3C"/>
    <w:rsid w:val="003E7282"/>
    <w:rsid w:val="003E79BC"/>
    <w:rsid w:val="003E7BAA"/>
    <w:rsid w:val="003E7F93"/>
    <w:rsid w:val="003F02D0"/>
    <w:rsid w:val="003F07C9"/>
    <w:rsid w:val="003F0AB7"/>
    <w:rsid w:val="003F0BB1"/>
    <w:rsid w:val="003F0BB4"/>
    <w:rsid w:val="003F0CDB"/>
    <w:rsid w:val="003F10D8"/>
    <w:rsid w:val="003F193A"/>
    <w:rsid w:val="003F1D4F"/>
    <w:rsid w:val="003F1F09"/>
    <w:rsid w:val="003F2411"/>
    <w:rsid w:val="003F24A5"/>
    <w:rsid w:val="003F25E5"/>
    <w:rsid w:val="003F2840"/>
    <w:rsid w:val="003F28D8"/>
    <w:rsid w:val="003F30EB"/>
    <w:rsid w:val="003F3224"/>
    <w:rsid w:val="003F3475"/>
    <w:rsid w:val="003F360D"/>
    <w:rsid w:val="003F3644"/>
    <w:rsid w:val="003F3791"/>
    <w:rsid w:val="003F38DE"/>
    <w:rsid w:val="003F3B3B"/>
    <w:rsid w:val="003F3D85"/>
    <w:rsid w:val="003F3F0E"/>
    <w:rsid w:val="003F49D3"/>
    <w:rsid w:val="003F546D"/>
    <w:rsid w:val="003F5712"/>
    <w:rsid w:val="003F5B45"/>
    <w:rsid w:val="003F5C12"/>
    <w:rsid w:val="003F5D34"/>
    <w:rsid w:val="003F60DF"/>
    <w:rsid w:val="003F60ED"/>
    <w:rsid w:val="003F6565"/>
    <w:rsid w:val="003F66EC"/>
    <w:rsid w:val="003F7973"/>
    <w:rsid w:val="003F7CD9"/>
    <w:rsid w:val="003F7DA8"/>
    <w:rsid w:val="003F7E4D"/>
    <w:rsid w:val="004003C0"/>
    <w:rsid w:val="00400A07"/>
    <w:rsid w:val="00400A1C"/>
    <w:rsid w:val="0040110C"/>
    <w:rsid w:val="00401962"/>
    <w:rsid w:val="004019F1"/>
    <w:rsid w:val="00401BEE"/>
    <w:rsid w:val="00401F13"/>
    <w:rsid w:val="0040225C"/>
    <w:rsid w:val="0040260A"/>
    <w:rsid w:val="004027CA"/>
    <w:rsid w:val="00402AE6"/>
    <w:rsid w:val="00402DD8"/>
    <w:rsid w:val="00402E2E"/>
    <w:rsid w:val="00402E8E"/>
    <w:rsid w:val="004030BC"/>
    <w:rsid w:val="00403AF2"/>
    <w:rsid w:val="00403B80"/>
    <w:rsid w:val="004044B7"/>
    <w:rsid w:val="00404A1A"/>
    <w:rsid w:val="00404A95"/>
    <w:rsid w:val="00404CEC"/>
    <w:rsid w:val="00404E0A"/>
    <w:rsid w:val="00404FCB"/>
    <w:rsid w:val="004052C8"/>
    <w:rsid w:val="004057CD"/>
    <w:rsid w:val="0040644E"/>
    <w:rsid w:val="00406865"/>
    <w:rsid w:val="00406A29"/>
    <w:rsid w:val="00406C2F"/>
    <w:rsid w:val="00406CDB"/>
    <w:rsid w:val="00406FA2"/>
    <w:rsid w:val="0040729D"/>
    <w:rsid w:val="00410A9D"/>
    <w:rsid w:val="00410E72"/>
    <w:rsid w:val="004119C5"/>
    <w:rsid w:val="00412344"/>
    <w:rsid w:val="004124FE"/>
    <w:rsid w:val="004127A4"/>
    <w:rsid w:val="00412FF6"/>
    <w:rsid w:val="00413064"/>
    <w:rsid w:val="004130D1"/>
    <w:rsid w:val="00413432"/>
    <w:rsid w:val="004134DE"/>
    <w:rsid w:val="004134F5"/>
    <w:rsid w:val="00413FAE"/>
    <w:rsid w:val="00414364"/>
    <w:rsid w:val="004149DF"/>
    <w:rsid w:val="00415001"/>
    <w:rsid w:val="004153BF"/>
    <w:rsid w:val="004153CC"/>
    <w:rsid w:val="0041606A"/>
    <w:rsid w:val="004162D3"/>
    <w:rsid w:val="00416554"/>
    <w:rsid w:val="0041676D"/>
    <w:rsid w:val="00416A91"/>
    <w:rsid w:val="00416E2E"/>
    <w:rsid w:val="00416F98"/>
    <w:rsid w:val="00417066"/>
    <w:rsid w:val="004170D4"/>
    <w:rsid w:val="004171CA"/>
    <w:rsid w:val="0041766B"/>
    <w:rsid w:val="0041781A"/>
    <w:rsid w:val="004179C8"/>
    <w:rsid w:val="0042022E"/>
    <w:rsid w:val="004207C3"/>
    <w:rsid w:val="00420A8F"/>
    <w:rsid w:val="00421564"/>
    <w:rsid w:val="00421AA7"/>
    <w:rsid w:val="00421F9C"/>
    <w:rsid w:val="004222AB"/>
    <w:rsid w:val="00422D0D"/>
    <w:rsid w:val="00422DA9"/>
    <w:rsid w:val="00422EE7"/>
    <w:rsid w:val="00422F0D"/>
    <w:rsid w:val="004234ED"/>
    <w:rsid w:val="004236D2"/>
    <w:rsid w:val="00423779"/>
    <w:rsid w:val="00424F5A"/>
    <w:rsid w:val="004250A9"/>
    <w:rsid w:val="0042533D"/>
    <w:rsid w:val="004253C7"/>
    <w:rsid w:val="00425702"/>
    <w:rsid w:val="004257D3"/>
    <w:rsid w:val="00425B80"/>
    <w:rsid w:val="00425CBE"/>
    <w:rsid w:val="004262CE"/>
    <w:rsid w:val="0042717B"/>
    <w:rsid w:val="004271C6"/>
    <w:rsid w:val="00427260"/>
    <w:rsid w:val="00427A5F"/>
    <w:rsid w:val="00427B49"/>
    <w:rsid w:val="0043030D"/>
    <w:rsid w:val="004303E6"/>
    <w:rsid w:val="00430915"/>
    <w:rsid w:val="004309CA"/>
    <w:rsid w:val="004311F9"/>
    <w:rsid w:val="00431250"/>
    <w:rsid w:val="0043170D"/>
    <w:rsid w:val="004317E6"/>
    <w:rsid w:val="004319CA"/>
    <w:rsid w:val="00431BB5"/>
    <w:rsid w:val="0043212B"/>
    <w:rsid w:val="004326B4"/>
    <w:rsid w:val="00433069"/>
    <w:rsid w:val="004331E9"/>
    <w:rsid w:val="004335E3"/>
    <w:rsid w:val="00433795"/>
    <w:rsid w:val="00433CA2"/>
    <w:rsid w:val="00433E14"/>
    <w:rsid w:val="00433F2A"/>
    <w:rsid w:val="00434618"/>
    <w:rsid w:val="0043532F"/>
    <w:rsid w:val="0043604A"/>
    <w:rsid w:val="004368DC"/>
    <w:rsid w:val="00436E41"/>
    <w:rsid w:val="00436F16"/>
    <w:rsid w:val="00437149"/>
    <w:rsid w:val="004375C1"/>
    <w:rsid w:val="004377E5"/>
    <w:rsid w:val="00437DDB"/>
    <w:rsid w:val="004400EB"/>
    <w:rsid w:val="00440309"/>
    <w:rsid w:val="00440445"/>
    <w:rsid w:val="00440D82"/>
    <w:rsid w:val="00440DFE"/>
    <w:rsid w:val="00440E15"/>
    <w:rsid w:val="00440ECF"/>
    <w:rsid w:val="00440F6D"/>
    <w:rsid w:val="00441015"/>
    <w:rsid w:val="00441138"/>
    <w:rsid w:val="0044114E"/>
    <w:rsid w:val="00441551"/>
    <w:rsid w:val="004417AC"/>
    <w:rsid w:val="00441864"/>
    <w:rsid w:val="00441D20"/>
    <w:rsid w:val="0044208B"/>
    <w:rsid w:val="004420F4"/>
    <w:rsid w:val="00442477"/>
    <w:rsid w:val="004427BE"/>
    <w:rsid w:val="004427E1"/>
    <w:rsid w:val="00442866"/>
    <w:rsid w:val="00442951"/>
    <w:rsid w:val="004437DC"/>
    <w:rsid w:val="00443955"/>
    <w:rsid w:val="00443B89"/>
    <w:rsid w:val="0044421D"/>
    <w:rsid w:val="0044429E"/>
    <w:rsid w:val="004444DF"/>
    <w:rsid w:val="0044454F"/>
    <w:rsid w:val="004447D2"/>
    <w:rsid w:val="004449C9"/>
    <w:rsid w:val="00444B3B"/>
    <w:rsid w:val="00444B7F"/>
    <w:rsid w:val="00444D47"/>
    <w:rsid w:val="00444D5A"/>
    <w:rsid w:val="00444F01"/>
    <w:rsid w:val="00444FE8"/>
    <w:rsid w:val="00445044"/>
    <w:rsid w:val="0044594D"/>
    <w:rsid w:val="00445B52"/>
    <w:rsid w:val="004465CC"/>
    <w:rsid w:val="004466DD"/>
    <w:rsid w:val="00446B2F"/>
    <w:rsid w:val="00446C57"/>
    <w:rsid w:val="004472B0"/>
    <w:rsid w:val="00447914"/>
    <w:rsid w:val="00447C5E"/>
    <w:rsid w:val="00450249"/>
    <w:rsid w:val="0045079C"/>
    <w:rsid w:val="00450FE9"/>
    <w:rsid w:val="0045116D"/>
    <w:rsid w:val="004515D4"/>
    <w:rsid w:val="00452688"/>
    <w:rsid w:val="004528BB"/>
    <w:rsid w:val="00452919"/>
    <w:rsid w:val="00452FA3"/>
    <w:rsid w:val="00452FBD"/>
    <w:rsid w:val="00453070"/>
    <w:rsid w:val="00453715"/>
    <w:rsid w:val="00453B83"/>
    <w:rsid w:val="00453CFB"/>
    <w:rsid w:val="004540AE"/>
    <w:rsid w:val="00454535"/>
    <w:rsid w:val="00454AED"/>
    <w:rsid w:val="00455141"/>
    <w:rsid w:val="00455436"/>
    <w:rsid w:val="00455459"/>
    <w:rsid w:val="004556F3"/>
    <w:rsid w:val="0045605B"/>
    <w:rsid w:val="00456B7A"/>
    <w:rsid w:val="00456C42"/>
    <w:rsid w:val="00456F70"/>
    <w:rsid w:val="00457252"/>
    <w:rsid w:val="00457395"/>
    <w:rsid w:val="004574F0"/>
    <w:rsid w:val="004575AE"/>
    <w:rsid w:val="004607A0"/>
    <w:rsid w:val="004608D4"/>
    <w:rsid w:val="00461046"/>
    <w:rsid w:val="00461217"/>
    <w:rsid w:val="004612CA"/>
    <w:rsid w:val="004613BD"/>
    <w:rsid w:val="00461B1D"/>
    <w:rsid w:val="00462185"/>
    <w:rsid w:val="00462655"/>
    <w:rsid w:val="00463157"/>
    <w:rsid w:val="0046335B"/>
    <w:rsid w:val="004634EE"/>
    <w:rsid w:val="004636D8"/>
    <w:rsid w:val="004637F3"/>
    <w:rsid w:val="00463A52"/>
    <w:rsid w:val="00463F77"/>
    <w:rsid w:val="00464398"/>
    <w:rsid w:val="0046515C"/>
    <w:rsid w:val="004651AC"/>
    <w:rsid w:val="00465520"/>
    <w:rsid w:val="004657E9"/>
    <w:rsid w:val="004660C3"/>
    <w:rsid w:val="004662FB"/>
    <w:rsid w:val="00466743"/>
    <w:rsid w:val="00466B09"/>
    <w:rsid w:val="00466FDB"/>
    <w:rsid w:val="00467138"/>
    <w:rsid w:val="004671E6"/>
    <w:rsid w:val="004671F0"/>
    <w:rsid w:val="004674DA"/>
    <w:rsid w:val="00467DF7"/>
    <w:rsid w:val="0047071E"/>
    <w:rsid w:val="00471028"/>
    <w:rsid w:val="0047166B"/>
    <w:rsid w:val="00471D47"/>
    <w:rsid w:val="00471DDA"/>
    <w:rsid w:val="004720B0"/>
    <w:rsid w:val="004721EE"/>
    <w:rsid w:val="00472478"/>
    <w:rsid w:val="004726AC"/>
    <w:rsid w:val="00472767"/>
    <w:rsid w:val="00472959"/>
    <w:rsid w:val="00472C07"/>
    <w:rsid w:val="00472E2C"/>
    <w:rsid w:val="004731E7"/>
    <w:rsid w:val="00473417"/>
    <w:rsid w:val="0047412C"/>
    <w:rsid w:val="004744C4"/>
    <w:rsid w:val="0047474E"/>
    <w:rsid w:val="00474EAE"/>
    <w:rsid w:val="0047510D"/>
    <w:rsid w:val="004754AB"/>
    <w:rsid w:val="00475714"/>
    <w:rsid w:val="00475B48"/>
    <w:rsid w:val="00476912"/>
    <w:rsid w:val="00476950"/>
    <w:rsid w:val="00476C05"/>
    <w:rsid w:val="00477863"/>
    <w:rsid w:val="00477A78"/>
    <w:rsid w:val="00477E01"/>
    <w:rsid w:val="00480403"/>
    <w:rsid w:val="00480911"/>
    <w:rsid w:val="00480AF9"/>
    <w:rsid w:val="00480CB6"/>
    <w:rsid w:val="00480FC7"/>
    <w:rsid w:val="00481021"/>
    <w:rsid w:val="00481C4E"/>
    <w:rsid w:val="00481DF6"/>
    <w:rsid w:val="00482305"/>
    <w:rsid w:val="00482576"/>
    <w:rsid w:val="00482802"/>
    <w:rsid w:val="00482814"/>
    <w:rsid w:val="0048384B"/>
    <w:rsid w:val="00483871"/>
    <w:rsid w:val="00483A1E"/>
    <w:rsid w:val="00483ABA"/>
    <w:rsid w:val="00483B2E"/>
    <w:rsid w:val="00483CA9"/>
    <w:rsid w:val="004845CC"/>
    <w:rsid w:val="004846D3"/>
    <w:rsid w:val="00484D2E"/>
    <w:rsid w:val="004855CB"/>
    <w:rsid w:val="0048578B"/>
    <w:rsid w:val="004858EE"/>
    <w:rsid w:val="00485A70"/>
    <w:rsid w:val="00485DC8"/>
    <w:rsid w:val="00485ED1"/>
    <w:rsid w:val="0048608B"/>
    <w:rsid w:val="004860FF"/>
    <w:rsid w:val="00486109"/>
    <w:rsid w:val="0048611C"/>
    <w:rsid w:val="00486509"/>
    <w:rsid w:val="004866A1"/>
    <w:rsid w:val="00486725"/>
    <w:rsid w:val="00486DA6"/>
    <w:rsid w:val="00486EE0"/>
    <w:rsid w:val="00486FAD"/>
    <w:rsid w:val="00487094"/>
    <w:rsid w:val="004875A8"/>
    <w:rsid w:val="0048762E"/>
    <w:rsid w:val="00487912"/>
    <w:rsid w:val="00487E34"/>
    <w:rsid w:val="0048C5B9"/>
    <w:rsid w:val="00490224"/>
    <w:rsid w:val="004902DC"/>
    <w:rsid w:val="0049064A"/>
    <w:rsid w:val="004906EC"/>
    <w:rsid w:val="004907FC"/>
    <w:rsid w:val="00490FD0"/>
    <w:rsid w:val="00491052"/>
    <w:rsid w:val="0049122F"/>
    <w:rsid w:val="00491675"/>
    <w:rsid w:val="00491701"/>
    <w:rsid w:val="004923B8"/>
    <w:rsid w:val="004924F5"/>
    <w:rsid w:val="0049250E"/>
    <w:rsid w:val="00492660"/>
    <w:rsid w:val="00492932"/>
    <w:rsid w:val="00492A61"/>
    <w:rsid w:val="00492B4E"/>
    <w:rsid w:val="00493633"/>
    <w:rsid w:val="004936FF"/>
    <w:rsid w:val="00493E15"/>
    <w:rsid w:val="004942D8"/>
    <w:rsid w:val="00494533"/>
    <w:rsid w:val="00494791"/>
    <w:rsid w:val="0049493A"/>
    <w:rsid w:val="00494CA6"/>
    <w:rsid w:val="00494D68"/>
    <w:rsid w:val="004958B7"/>
    <w:rsid w:val="004958DE"/>
    <w:rsid w:val="00495B50"/>
    <w:rsid w:val="00495B76"/>
    <w:rsid w:val="00495C9B"/>
    <w:rsid w:val="00495D60"/>
    <w:rsid w:val="00495DDD"/>
    <w:rsid w:val="00496571"/>
    <w:rsid w:val="004967E1"/>
    <w:rsid w:val="00496988"/>
    <w:rsid w:val="004969C3"/>
    <w:rsid w:val="00497047"/>
    <w:rsid w:val="0049739F"/>
    <w:rsid w:val="0049754C"/>
    <w:rsid w:val="00497811"/>
    <w:rsid w:val="004978EA"/>
    <w:rsid w:val="00497C7E"/>
    <w:rsid w:val="004A0074"/>
    <w:rsid w:val="004A041C"/>
    <w:rsid w:val="004A0DFE"/>
    <w:rsid w:val="004A12D5"/>
    <w:rsid w:val="004A1999"/>
    <w:rsid w:val="004A1A47"/>
    <w:rsid w:val="004A1FB3"/>
    <w:rsid w:val="004A24FD"/>
    <w:rsid w:val="004A2D23"/>
    <w:rsid w:val="004A3680"/>
    <w:rsid w:val="004A381F"/>
    <w:rsid w:val="004A38A1"/>
    <w:rsid w:val="004A3BFF"/>
    <w:rsid w:val="004A3FF0"/>
    <w:rsid w:val="004A45CE"/>
    <w:rsid w:val="004A47AB"/>
    <w:rsid w:val="004A4CC3"/>
    <w:rsid w:val="004A5041"/>
    <w:rsid w:val="004A58B1"/>
    <w:rsid w:val="004A5B38"/>
    <w:rsid w:val="004A5CF7"/>
    <w:rsid w:val="004A5DE6"/>
    <w:rsid w:val="004A5EF5"/>
    <w:rsid w:val="004A6399"/>
    <w:rsid w:val="004A6810"/>
    <w:rsid w:val="004A6872"/>
    <w:rsid w:val="004A6A3D"/>
    <w:rsid w:val="004A6D53"/>
    <w:rsid w:val="004A73D2"/>
    <w:rsid w:val="004A7A88"/>
    <w:rsid w:val="004A7C50"/>
    <w:rsid w:val="004A7DC3"/>
    <w:rsid w:val="004A7F5A"/>
    <w:rsid w:val="004B03DC"/>
    <w:rsid w:val="004B0779"/>
    <w:rsid w:val="004B0A24"/>
    <w:rsid w:val="004B136D"/>
    <w:rsid w:val="004B1590"/>
    <w:rsid w:val="004B15C5"/>
    <w:rsid w:val="004B2FC1"/>
    <w:rsid w:val="004B30A9"/>
    <w:rsid w:val="004B310E"/>
    <w:rsid w:val="004B3DD0"/>
    <w:rsid w:val="004B3E56"/>
    <w:rsid w:val="004B41A7"/>
    <w:rsid w:val="004B44C0"/>
    <w:rsid w:val="004B452C"/>
    <w:rsid w:val="004B456C"/>
    <w:rsid w:val="004B4814"/>
    <w:rsid w:val="004B4F97"/>
    <w:rsid w:val="004B5705"/>
    <w:rsid w:val="004B5776"/>
    <w:rsid w:val="004B58EE"/>
    <w:rsid w:val="004B5D12"/>
    <w:rsid w:val="004B5F30"/>
    <w:rsid w:val="004B6CA0"/>
    <w:rsid w:val="004B6EC6"/>
    <w:rsid w:val="004B7236"/>
    <w:rsid w:val="004C0219"/>
    <w:rsid w:val="004C0451"/>
    <w:rsid w:val="004C0550"/>
    <w:rsid w:val="004C0707"/>
    <w:rsid w:val="004C18B6"/>
    <w:rsid w:val="004C1BF9"/>
    <w:rsid w:val="004C1EF5"/>
    <w:rsid w:val="004C30AD"/>
    <w:rsid w:val="004C3BC5"/>
    <w:rsid w:val="004C3CB2"/>
    <w:rsid w:val="004C4F3C"/>
    <w:rsid w:val="004C5881"/>
    <w:rsid w:val="004C5B3B"/>
    <w:rsid w:val="004C6023"/>
    <w:rsid w:val="004C6868"/>
    <w:rsid w:val="004C6988"/>
    <w:rsid w:val="004C7659"/>
    <w:rsid w:val="004C778E"/>
    <w:rsid w:val="004C7877"/>
    <w:rsid w:val="004C78BA"/>
    <w:rsid w:val="004C78F7"/>
    <w:rsid w:val="004C7B9C"/>
    <w:rsid w:val="004C7F1D"/>
    <w:rsid w:val="004D038B"/>
    <w:rsid w:val="004D0593"/>
    <w:rsid w:val="004D073C"/>
    <w:rsid w:val="004D0F42"/>
    <w:rsid w:val="004D11E2"/>
    <w:rsid w:val="004D1751"/>
    <w:rsid w:val="004D1833"/>
    <w:rsid w:val="004D2077"/>
    <w:rsid w:val="004D2464"/>
    <w:rsid w:val="004D2798"/>
    <w:rsid w:val="004D27CE"/>
    <w:rsid w:val="004D2EFE"/>
    <w:rsid w:val="004D3145"/>
    <w:rsid w:val="004D348E"/>
    <w:rsid w:val="004D3E51"/>
    <w:rsid w:val="004D4283"/>
    <w:rsid w:val="004D45DD"/>
    <w:rsid w:val="004D45EA"/>
    <w:rsid w:val="004D49BF"/>
    <w:rsid w:val="004D4B04"/>
    <w:rsid w:val="004D4C50"/>
    <w:rsid w:val="004D4CEE"/>
    <w:rsid w:val="004D4D28"/>
    <w:rsid w:val="004D4F53"/>
    <w:rsid w:val="004D5419"/>
    <w:rsid w:val="004D5C9E"/>
    <w:rsid w:val="004D692E"/>
    <w:rsid w:val="004D69DD"/>
    <w:rsid w:val="004D6A2F"/>
    <w:rsid w:val="004D6BBC"/>
    <w:rsid w:val="004D6FD4"/>
    <w:rsid w:val="004D79B2"/>
    <w:rsid w:val="004D7EA3"/>
    <w:rsid w:val="004E06CB"/>
    <w:rsid w:val="004E0F73"/>
    <w:rsid w:val="004E0FD9"/>
    <w:rsid w:val="004E144A"/>
    <w:rsid w:val="004E1752"/>
    <w:rsid w:val="004E2107"/>
    <w:rsid w:val="004E21C6"/>
    <w:rsid w:val="004E277E"/>
    <w:rsid w:val="004E291B"/>
    <w:rsid w:val="004E2CFD"/>
    <w:rsid w:val="004E2FBD"/>
    <w:rsid w:val="004E32C9"/>
    <w:rsid w:val="004E3B7B"/>
    <w:rsid w:val="004E3D4F"/>
    <w:rsid w:val="004E3EB8"/>
    <w:rsid w:val="004E3F69"/>
    <w:rsid w:val="004E3FE7"/>
    <w:rsid w:val="004E4E01"/>
    <w:rsid w:val="004E4EBA"/>
    <w:rsid w:val="004E50CD"/>
    <w:rsid w:val="004E6355"/>
    <w:rsid w:val="004E6BD3"/>
    <w:rsid w:val="004E796D"/>
    <w:rsid w:val="004E79B3"/>
    <w:rsid w:val="004E7CC7"/>
    <w:rsid w:val="004E7F4F"/>
    <w:rsid w:val="004F056E"/>
    <w:rsid w:val="004F068F"/>
    <w:rsid w:val="004F0708"/>
    <w:rsid w:val="004F0ACB"/>
    <w:rsid w:val="004F0E05"/>
    <w:rsid w:val="004F0E15"/>
    <w:rsid w:val="004F120C"/>
    <w:rsid w:val="004F178A"/>
    <w:rsid w:val="004F1DA4"/>
    <w:rsid w:val="004F1ECF"/>
    <w:rsid w:val="004F206A"/>
    <w:rsid w:val="004F22CC"/>
    <w:rsid w:val="004F23B6"/>
    <w:rsid w:val="004F2420"/>
    <w:rsid w:val="004F276D"/>
    <w:rsid w:val="004F323C"/>
    <w:rsid w:val="004F38DD"/>
    <w:rsid w:val="004F3ABB"/>
    <w:rsid w:val="004F41A0"/>
    <w:rsid w:val="004F42A3"/>
    <w:rsid w:val="004F467F"/>
    <w:rsid w:val="004F5042"/>
    <w:rsid w:val="004F52E4"/>
    <w:rsid w:val="004F56A2"/>
    <w:rsid w:val="004F56FD"/>
    <w:rsid w:val="004F5A2B"/>
    <w:rsid w:val="004F667F"/>
    <w:rsid w:val="004F69B0"/>
    <w:rsid w:val="004F6FD1"/>
    <w:rsid w:val="004F722B"/>
    <w:rsid w:val="004F76E5"/>
    <w:rsid w:val="004F775D"/>
    <w:rsid w:val="004F77AB"/>
    <w:rsid w:val="004F7FDA"/>
    <w:rsid w:val="005000B2"/>
    <w:rsid w:val="005005CE"/>
    <w:rsid w:val="00500600"/>
    <w:rsid w:val="00500612"/>
    <w:rsid w:val="0050061D"/>
    <w:rsid w:val="00500662"/>
    <w:rsid w:val="005007AC"/>
    <w:rsid w:val="005008EA"/>
    <w:rsid w:val="00500A1D"/>
    <w:rsid w:val="00500AD7"/>
    <w:rsid w:val="00500CD2"/>
    <w:rsid w:val="00500DEE"/>
    <w:rsid w:val="005010FD"/>
    <w:rsid w:val="00501B69"/>
    <w:rsid w:val="00501C83"/>
    <w:rsid w:val="00501D63"/>
    <w:rsid w:val="0050246A"/>
    <w:rsid w:val="00502A45"/>
    <w:rsid w:val="00502B3E"/>
    <w:rsid w:val="00502C9E"/>
    <w:rsid w:val="00502F40"/>
    <w:rsid w:val="005030A0"/>
    <w:rsid w:val="0050317F"/>
    <w:rsid w:val="005034DA"/>
    <w:rsid w:val="00503996"/>
    <w:rsid w:val="00503C35"/>
    <w:rsid w:val="00504195"/>
    <w:rsid w:val="005044A4"/>
    <w:rsid w:val="005044E7"/>
    <w:rsid w:val="00504B4C"/>
    <w:rsid w:val="00504C1B"/>
    <w:rsid w:val="00505001"/>
    <w:rsid w:val="005053F6"/>
    <w:rsid w:val="00505535"/>
    <w:rsid w:val="00505804"/>
    <w:rsid w:val="005059EA"/>
    <w:rsid w:val="00505DB2"/>
    <w:rsid w:val="005062C5"/>
    <w:rsid w:val="00506CC4"/>
    <w:rsid w:val="00506F6A"/>
    <w:rsid w:val="00507530"/>
    <w:rsid w:val="00507B89"/>
    <w:rsid w:val="00510011"/>
    <w:rsid w:val="005111F9"/>
    <w:rsid w:val="00511A29"/>
    <w:rsid w:val="00511B0B"/>
    <w:rsid w:val="00511DED"/>
    <w:rsid w:val="00511EA6"/>
    <w:rsid w:val="00512354"/>
    <w:rsid w:val="0051282C"/>
    <w:rsid w:val="00512E96"/>
    <w:rsid w:val="005132B9"/>
    <w:rsid w:val="0051345C"/>
    <w:rsid w:val="00513554"/>
    <w:rsid w:val="0051397E"/>
    <w:rsid w:val="00513ECF"/>
    <w:rsid w:val="00513FE6"/>
    <w:rsid w:val="005146C1"/>
    <w:rsid w:val="00514B2C"/>
    <w:rsid w:val="00514BEB"/>
    <w:rsid w:val="00515D41"/>
    <w:rsid w:val="005165FD"/>
    <w:rsid w:val="00516673"/>
    <w:rsid w:val="0051668B"/>
    <w:rsid w:val="00516E38"/>
    <w:rsid w:val="005179D1"/>
    <w:rsid w:val="00517D82"/>
    <w:rsid w:val="005203E5"/>
    <w:rsid w:val="005209A6"/>
    <w:rsid w:val="00520B48"/>
    <w:rsid w:val="00520DE1"/>
    <w:rsid w:val="0052168A"/>
    <w:rsid w:val="00522313"/>
    <w:rsid w:val="005225C6"/>
    <w:rsid w:val="00522AB4"/>
    <w:rsid w:val="00522D48"/>
    <w:rsid w:val="00522EEA"/>
    <w:rsid w:val="0052302B"/>
    <w:rsid w:val="0052328A"/>
    <w:rsid w:val="00523A7D"/>
    <w:rsid w:val="00523F04"/>
    <w:rsid w:val="00524BE1"/>
    <w:rsid w:val="00524EE8"/>
    <w:rsid w:val="005256FA"/>
    <w:rsid w:val="00525FE6"/>
    <w:rsid w:val="00525FF4"/>
    <w:rsid w:val="005264FC"/>
    <w:rsid w:val="00526940"/>
    <w:rsid w:val="00526A00"/>
    <w:rsid w:val="00526AE7"/>
    <w:rsid w:val="00526DD4"/>
    <w:rsid w:val="0052768E"/>
    <w:rsid w:val="005277FC"/>
    <w:rsid w:val="00527E29"/>
    <w:rsid w:val="00527F2B"/>
    <w:rsid w:val="0053001B"/>
    <w:rsid w:val="0053022C"/>
    <w:rsid w:val="005307CE"/>
    <w:rsid w:val="00530E0A"/>
    <w:rsid w:val="00530E33"/>
    <w:rsid w:val="00530E7F"/>
    <w:rsid w:val="00531156"/>
    <w:rsid w:val="00531F0E"/>
    <w:rsid w:val="00532099"/>
    <w:rsid w:val="0053256C"/>
    <w:rsid w:val="005325CB"/>
    <w:rsid w:val="005326F8"/>
    <w:rsid w:val="00532C32"/>
    <w:rsid w:val="00532CDD"/>
    <w:rsid w:val="0053318A"/>
    <w:rsid w:val="00533A63"/>
    <w:rsid w:val="00533B94"/>
    <w:rsid w:val="0053503F"/>
    <w:rsid w:val="005351A8"/>
    <w:rsid w:val="00535429"/>
    <w:rsid w:val="0053542F"/>
    <w:rsid w:val="005358FA"/>
    <w:rsid w:val="00535A66"/>
    <w:rsid w:val="00535C30"/>
    <w:rsid w:val="00535DA6"/>
    <w:rsid w:val="00535DBC"/>
    <w:rsid w:val="00536046"/>
    <w:rsid w:val="005362C8"/>
    <w:rsid w:val="00536565"/>
    <w:rsid w:val="00536A36"/>
    <w:rsid w:val="00536AA1"/>
    <w:rsid w:val="00536E73"/>
    <w:rsid w:val="00536E7B"/>
    <w:rsid w:val="005370EE"/>
    <w:rsid w:val="00537402"/>
    <w:rsid w:val="00537496"/>
    <w:rsid w:val="005374C6"/>
    <w:rsid w:val="00537B12"/>
    <w:rsid w:val="00537D44"/>
    <w:rsid w:val="00537D5C"/>
    <w:rsid w:val="00537D6A"/>
    <w:rsid w:val="00540C70"/>
    <w:rsid w:val="005410F6"/>
    <w:rsid w:val="00541670"/>
    <w:rsid w:val="00541682"/>
    <w:rsid w:val="00541715"/>
    <w:rsid w:val="005417AC"/>
    <w:rsid w:val="00541B56"/>
    <w:rsid w:val="00541BC5"/>
    <w:rsid w:val="00542E70"/>
    <w:rsid w:val="0054318F"/>
    <w:rsid w:val="00543789"/>
    <w:rsid w:val="00543795"/>
    <w:rsid w:val="00543C39"/>
    <w:rsid w:val="005446D4"/>
    <w:rsid w:val="00544B76"/>
    <w:rsid w:val="00544ED3"/>
    <w:rsid w:val="0054553D"/>
    <w:rsid w:val="005457A2"/>
    <w:rsid w:val="005457D1"/>
    <w:rsid w:val="005459D5"/>
    <w:rsid w:val="00545A00"/>
    <w:rsid w:val="00545B88"/>
    <w:rsid w:val="00545C18"/>
    <w:rsid w:val="00546787"/>
    <w:rsid w:val="0054683C"/>
    <w:rsid w:val="00546C48"/>
    <w:rsid w:val="00546DD1"/>
    <w:rsid w:val="00547059"/>
    <w:rsid w:val="0054709A"/>
    <w:rsid w:val="00547766"/>
    <w:rsid w:val="0054776F"/>
    <w:rsid w:val="005477C5"/>
    <w:rsid w:val="005478E1"/>
    <w:rsid w:val="0054D9AB"/>
    <w:rsid w:val="0055054B"/>
    <w:rsid w:val="005512BF"/>
    <w:rsid w:val="005512E6"/>
    <w:rsid w:val="00551D9A"/>
    <w:rsid w:val="005522D3"/>
    <w:rsid w:val="00553026"/>
    <w:rsid w:val="0055489C"/>
    <w:rsid w:val="00554AD4"/>
    <w:rsid w:val="005555F3"/>
    <w:rsid w:val="00555834"/>
    <w:rsid w:val="005561DA"/>
    <w:rsid w:val="0055679D"/>
    <w:rsid w:val="00557058"/>
    <w:rsid w:val="0055708D"/>
    <w:rsid w:val="00557B62"/>
    <w:rsid w:val="00557C40"/>
    <w:rsid w:val="00557E30"/>
    <w:rsid w:val="00560087"/>
    <w:rsid w:val="0056063D"/>
    <w:rsid w:val="00561636"/>
    <w:rsid w:val="005618B2"/>
    <w:rsid w:val="00562765"/>
    <w:rsid w:val="00562E44"/>
    <w:rsid w:val="0056365C"/>
    <w:rsid w:val="005639FA"/>
    <w:rsid w:val="00564464"/>
    <w:rsid w:val="005647C8"/>
    <w:rsid w:val="00564B5A"/>
    <w:rsid w:val="00564D55"/>
    <w:rsid w:val="005652BF"/>
    <w:rsid w:val="0056530B"/>
    <w:rsid w:val="00565484"/>
    <w:rsid w:val="0056589B"/>
    <w:rsid w:val="00565CCD"/>
    <w:rsid w:val="00566A95"/>
    <w:rsid w:val="00566B98"/>
    <w:rsid w:val="00567258"/>
    <w:rsid w:val="005674D6"/>
    <w:rsid w:val="0056789D"/>
    <w:rsid w:val="00567B5F"/>
    <w:rsid w:val="00567BA7"/>
    <w:rsid w:val="0057054E"/>
    <w:rsid w:val="00570612"/>
    <w:rsid w:val="00571176"/>
    <w:rsid w:val="00571351"/>
    <w:rsid w:val="00571410"/>
    <w:rsid w:val="00572237"/>
    <w:rsid w:val="005724B9"/>
    <w:rsid w:val="005724CD"/>
    <w:rsid w:val="0057260A"/>
    <w:rsid w:val="00572DF2"/>
    <w:rsid w:val="005732A2"/>
    <w:rsid w:val="005735B8"/>
    <w:rsid w:val="0057362A"/>
    <w:rsid w:val="005738B4"/>
    <w:rsid w:val="00573A64"/>
    <w:rsid w:val="00573A73"/>
    <w:rsid w:val="00573CF6"/>
    <w:rsid w:val="00574422"/>
    <w:rsid w:val="0057448C"/>
    <w:rsid w:val="00574502"/>
    <w:rsid w:val="00574686"/>
    <w:rsid w:val="0057537D"/>
    <w:rsid w:val="005755CE"/>
    <w:rsid w:val="005759FC"/>
    <w:rsid w:val="00575C07"/>
    <w:rsid w:val="0057609A"/>
    <w:rsid w:val="00576965"/>
    <w:rsid w:val="00576C80"/>
    <w:rsid w:val="00577E13"/>
    <w:rsid w:val="0057BCCB"/>
    <w:rsid w:val="005809A6"/>
    <w:rsid w:val="00580F02"/>
    <w:rsid w:val="005811A2"/>
    <w:rsid w:val="005817B3"/>
    <w:rsid w:val="00581F62"/>
    <w:rsid w:val="00582DD2"/>
    <w:rsid w:val="00583029"/>
    <w:rsid w:val="005838BA"/>
    <w:rsid w:val="00583F6C"/>
    <w:rsid w:val="0058443E"/>
    <w:rsid w:val="005845DF"/>
    <w:rsid w:val="00584E9E"/>
    <w:rsid w:val="00585143"/>
    <w:rsid w:val="00585378"/>
    <w:rsid w:val="0058549B"/>
    <w:rsid w:val="005859A3"/>
    <w:rsid w:val="00585DC9"/>
    <w:rsid w:val="005861D0"/>
    <w:rsid w:val="005862B3"/>
    <w:rsid w:val="005866B8"/>
    <w:rsid w:val="00586B4E"/>
    <w:rsid w:val="00586C81"/>
    <w:rsid w:val="00586FEB"/>
    <w:rsid w:val="0058703B"/>
    <w:rsid w:val="0058787A"/>
    <w:rsid w:val="00587D63"/>
    <w:rsid w:val="00590307"/>
    <w:rsid w:val="00590496"/>
    <w:rsid w:val="005907D3"/>
    <w:rsid w:val="005908C5"/>
    <w:rsid w:val="00590F38"/>
    <w:rsid w:val="0059137D"/>
    <w:rsid w:val="00592075"/>
    <w:rsid w:val="00592275"/>
    <w:rsid w:val="005924F2"/>
    <w:rsid w:val="00592EF9"/>
    <w:rsid w:val="005932E0"/>
    <w:rsid w:val="0059349C"/>
    <w:rsid w:val="00593540"/>
    <w:rsid w:val="005935A8"/>
    <w:rsid w:val="0059388E"/>
    <w:rsid w:val="00594106"/>
    <w:rsid w:val="00594AC4"/>
    <w:rsid w:val="00594B8D"/>
    <w:rsid w:val="00594BFF"/>
    <w:rsid w:val="005951C8"/>
    <w:rsid w:val="00595D49"/>
    <w:rsid w:val="00595E7C"/>
    <w:rsid w:val="00596219"/>
    <w:rsid w:val="0059663F"/>
    <w:rsid w:val="00596E08"/>
    <w:rsid w:val="005975A7"/>
    <w:rsid w:val="00597821"/>
    <w:rsid w:val="005A027E"/>
    <w:rsid w:val="005A0A4F"/>
    <w:rsid w:val="005A0E06"/>
    <w:rsid w:val="005A0E8B"/>
    <w:rsid w:val="005A0EA0"/>
    <w:rsid w:val="005A1461"/>
    <w:rsid w:val="005A1672"/>
    <w:rsid w:val="005A1BB0"/>
    <w:rsid w:val="005A1CDE"/>
    <w:rsid w:val="005A2092"/>
    <w:rsid w:val="005A23C3"/>
    <w:rsid w:val="005A29AB"/>
    <w:rsid w:val="005A2D0F"/>
    <w:rsid w:val="005A3547"/>
    <w:rsid w:val="005A3EA9"/>
    <w:rsid w:val="005A446C"/>
    <w:rsid w:val="005A4813"/>
    <w:rsid w:val="005A4C9B"/>
    <w:rsid w:val="005A4D00"/>
    <w:rsid w:val="005A581C"/>
    <w:rsid w:val="005A5842"/>
    <w:rsid w:val="005A59F9"/>
    <w:rsid w:val="005A63F5"/>
    <w:rsid w:val="005A6583"/>
    <w:rsid w:val="005A6630"/>
    <w:rsid w:val="005A676E"/>
    <w:rsid w:val="005A761C"/>
    <w:rsid w:val="005A79BD"/>
    <w:rsid w:val="005A7DF1"/>
    <w:rsid w:val="005A7F94"/>
    <w:rsid w:val="005B0061"/>
    <w:rsid w:val="005B039B"/>
    <w:rsid w:val="005B0602"/>
    <w:rsid w:val="005B09B6"/>
    <w:rsid w:val="005B0AD7"/>
    <w:rsid w:val="005B0B70"/>
    <w:rsid w:val="005B0EB5"/>
    <w:rsid w:val="005B1050"/>
    <w:rsid w:val="005B111F"/>
    <w:rsid w:val="005B11A7"/>
    <w:rsid w:val="005B12F4"/>
    <w:rsid w:val="005B1332"/>
    <w:rsid w:val="005B2024"/>
    <w:rsid w:val="005B20D8"/>
    <w:rsid w:val="005B2418"/>
    <w:rsid w:val="005B2664"/>
    <w:rsid w:val="005B27DD"/>
    <w:rsid w:val="005B38B7"/>
    <w:rsid w:val="005B3973"/>
    <w:rsid w:val="005B3E3A"/>
    <w:rsid w:val="005B3F53"/>
    <w:rsid w:val="005B437E"/>
    <w:rsid w:val="005B4755"/>
    <w:rsid w:val="005B495D"/>
    <w:rsid w:val="005B4AD0"/>
    <w:rsid w:val="005B4BE4"/>
    <w:rsid w:val="005B4D9B"/>
    <w:rsid w:val="005B5296"/>
    <w:rsid w:val="005B535F"/>
    <w:rsid w:val="005B5516"/>
    <w:rsid w:val="005B5840"/>
    <w:rsid w:val="005B5AC2"/>
    <w:rsid w:val="005B6273"/>
    <w:rsid w:val="005B679C"/>
    <w:rsid w:val="005B6FBE"/>
    <w:rsid w:val="005B70A9"/>
    <w:rsid w:val="005B726D"/>
    <w:rsid w:val="005B73E4"/>
    <w:rsid w:val="005B73F7"/>
    <w:rsid w:val="005B746F"/>
    <w:rsid w:val="005B77A2"/>
    <w:rsid w:val="005B7A91"/>
    <w:rsid w:val="005B7BBD"/>
    <w:rsid w:val="005B7EBB"/>
    <w:rsid w:val="005C034B"/>
    <w:rsid w:val="005C06FF"/>
    <w:rsid w:val="005C073D"/>
    <w:rsid w:val="005C0FA9"/>
    <w:rsid w:val="005C246F"/>
    <w:rsid w:val="005C2592"/>
    <w:rsid w:val="005C261E"/>
    <w:rsid w:val="005C306C"/>
    <w:rsid w:val="005C3134"/>
    <w:rsid w:val="005C429B"/>
    <w:rsid w:val="005C42AF"/>
    <w:rsid w:val="005C441C"/>
    <w:rsid w:val="005C49B3"/>
    <w:rsid w:val="005C4E64"/>
    <w:rsid w:val="005C518F"/>
    <w:rsid w:val="005C537A"/>
    <w:rsid w:val="005C565B"/>
    <w:rsid w:val="005C57FA"/>
    <w:rsid w:val="005C5DEB"/>
    <w:rsid w:val="005C5F2B"/>
    <w:rsid w:val="005C5F3A"/>
    <w:rsid w:val="005C66FA"/>
    <w:rsid w:val="005C6B48"/>
    <w:rsid w:val="005C6B9A"/>
    <w:rsid w:val="005C6EAB"/>
    <w:rsid w:val="005C7026"/>
    <w:rsid w:val="005C77F7"/>
    <w:rsid w:val="005C7AD1"/>
    <w:rsid w:val="005C7EE7"/>
    <w:rsid w:val="005D03F9"/>
    <w:rsid w:val="005D043A"/>
    <w:rsid w:val="005D0490"/>
    <w:rsid w:val="005D0C37"/>
    <w:rsid w:val="005D0E2C"/>
    <w:rsid w:val="005D10AF"/>
    <w:rsid w:val="005D142B"/>
    <w:rsid w:val="005D149D"/>
    <w:rsid w:val="005D16BC"/>
    <w:rsid w:val="005D1800"/>
    <w:rsid w:val="005D1815"/>
    <w:rsid w:val="005D19B7"/>
    <w:rsid w:val="005D1DF0"/>
    <w:rsid w:val="005D1FC3"/>
    <w:rsid w:val="005D2033"/>
    <w:rsid w:val="005D23A4"/>
    <w:rsid w:val="005D25DE"/>
    <w:rsid w:val="005D2AA0"/>
    <w:rsid w:val="005D371E"/>
    <w:rsid w:val="005D3863"/>
    <w:rsid w:val="005D3C79"/>
    <w:rsid w:val="005D46FC"/>
    <w:rsid w:val="005D477B"/>
    <w:rsid w:val="005D47CE"/>
    <w:rsid w:val="005D4A16"/>
    <w:rsid w:val="005D4A55"/>
    <w:rsid w:val="005D4C17"/>
    <w:rsid w:val="005D4D4C"/>
    <w:rsid w:val="005D4FE5"/>
    <w:rsid w:val="005D53D7"/>
    <w:rsid w:val="005D5451"/>
    <w:rsid w:val="005D5DB7"/>
    <w:rsid w:val="005D5E88"/>
    <w:rsid w:val="005D61D6"/>
    <w:rsid w:val="005D6391"/>
    <w:rsid w:val="005D6649"/>
    <w:rsid w:val="005D696B"/>
    <w:rsid w:val="005D74E4"/>
    <w:rsid w:val="005D79FD"/>
    <w:rsid w:val="005E00A1"/>
    <w:rsid w:val="005E0253"/>
    <w:rsid w:val="005E0797"/>
    <w:rsid w:val="005E1127"/>
    <w:rsid w:val="005E132B"/>
    <w:rsid w:val="005E162F"/>
    <w:rsid w:val="005E1DB9"/>
    <w:rsid w:val="005E1F85"/>
    <w:rsid w:val="005E20F7"/>
    <w:rsid w:val="005E2770"/>
    <w:rsid w:val="005E28A6"/>
    <w:rsid w:val="005E3045"/>
    <w:rsid w:val="005E30B3"/>
    <w:rsid w:val="005E3755"/>
    <w:rsid w:val="005E3BA3"/>
    <w:rsid w:val="005E3C63"/>
    <w:rsid w:val="005E3F43"/>
    <w:rsid w:val="005E4F14"/>
    <w:rsid w:val="005E54F5"/>
    <w:rsid w:val="005E57F1"/>
    <w:rsid w:val="005E58B1"/>
    <w:rsid w:val="005E58DE"/>
    <w:rsid w:val="005E59CF"/>
    <w:rsid w:val="005E5A77"/>
    <w:rsid w:val="005E5D7E"/>
    <w:rsid w:val="005E610C"/>
    <w:rsid w:val="005E64CC"/>
    <w:rsid w:val="005E65A0"/>
    <w:rsid w:val="005E65AC"/>
    <w:rsid w:val="005E7E94"/>
    <w:rsid w:val="005F06C5"/>
    <w:rsid w:val="005F0846"/>
    <w:rsid w:val="005F0E48"/>
    <w:rsid w:val="005F10F5"/>
    <w:rsid w:val="005F1297"/>
    <w:rsid w:val="005F1408"/>
    <w:rsid w:val="005F1552"/>
    <w:rsid w:val="005F1748"/>
    <w:rsid w:val="005F2E55"/>
    <w:rsid w:val="005F2EAC"/>
    <w:rsid w:val="005F2F3C"/>
    <w:rsid w:val="005F314F"/>
    <w:rsid w:val="005F3787"/>
    <w:rsid w:val="005F4084"/>
    <w:rsid w:val="005F43CA"/>
    <w:rsid w:val="005F4A33"/>
    <w:rsid w:val="005F598F"/>
    <w:rsid w:val="005F59A8"/>
    <w:rsid w:val="005F6130"/>
    <w:rsid w:val="005F613E"/>
    <w:rsid w:val="005F6621"/>
    <w:rsid w:val="005F6C59"/>
    <w:rsid w:val="005F6E30"/>
    <w:rsid w:val="005F703F"/>
    <w:rsid w:val="005F741C"/>
    <w:rsid w:val="005F7F0F"/>
    <w:rsid w:val="005FC92A"/>
    <w:rsid w:val="006007D4"/>
    <w:rsid w:val="00600B24"/>
    <w:rsid w:val="00600B57"/>
    <w:rsid w:val="00600E6A"/>
    <w:rsid w:val="00600E6E"/>
    <w:rsid w:val="00601567"/>
    <w:rsid w:val="00601584"/>
    <w:rsid w:val="00601DE6"/>
    <w:rsid w:val="006020B5"/>
    <w:rsid w:val="0060260E"/>
    <w:rsid w:val="00602AAF"/>
    <w:rsid w:val="00602EC3"/>
    <w:rsid w:val="0060330D"/>
    <w:rsid w:val="00603402"/>
    <w:rsid w:val="00603485"/>
    <w:rsid w:val="00603660"/>
    <w:rsid w:val="00603F11"/>
    <w:rsid w:val="006040FE"/>
    <w:rsid w:val="00604394"/>
    <w:rsid w:val="006045CB"/>
    <w:rsid w:val="006046CB"/>
    <w:rsid w:val="0060496B"/>
    <w:rsid w:val="00604980"/>
    <w:rsid w:val="006051B7"/>
    <w:rsid w:val="00605A56"/>
    <w:rsid w:val="00605D5F"/>
    <w:rsid w:val="00606472"/>
    <w:rsid w:val="006064C7"/>
    <w:rsid w:val="00606CC8"/>
    <w:rsid w:val="00606E02"/>
    <w:rsid w:val="00606EA9"/>
    <w:rsid w:val="00607665"/>
    <w:rsid w:val="00607857"/>
    <w:rsid w:val="006079F8"/>
    <w:rsid w:val="00607FEF"/>
    <w:rsid w:val="0061052C"/>
    <w:rsid w:val="006114E4"/>
    <w:rsid w:val="00611E03"/>
    <w:rsid w:val="00611ED3"/>
    <w:rsid w:val="00611FDC"/>
    <w:rsid w:val="00612041"/>
    <w:rsid w:val="0061231D"/>
    <w:rsid w:val="0061234D"/>
    <w:rsid w:val="006124E9"/>
    <w:rsid w:val="00612AF2"/>
    <w:rsid w:val="00612E0F"/>
    <w:rsid w:val="00612F66"/>
    <w:rsid w:val="006131E7"/>
    <w:rsid w:val="00614C60"/>
    <w:rsid w:val="00614E5C"/>
    <w:rsid w:val="00614F7A"/>
    <w:rsid w:val="006153CB"/>
    <w:rsid w:val="00615A47"/>
    <w:rsid w:val="00615E0A"/>
    <w:rsid w:val="00615FC9"/>
    <w:rsid w:val="00616342"/>
    <w:rsid w:val="0061637C"/>
    <w:rsid w:val="006163B2"/>
    <w:rsid w:val="0061661D"/>
    <w:rsid w:val="00616BAF"/>
    <w:rsid w:val="00616F76"/>
    <w:rsid w:val="006171E2"/>
    <w:rsid w:val="00617378"/>
    <w:rsid w:val="00617B44"/>
    <w:rsid w:val="00619A3D"/>
    <w:rsid w:val="006205A2"/>
    <w:rsid w:val="0062085D"/>
    <w:rsid w:val="0062086D"/>
    <w:rsid w:val="0062095D"/>
    <w:rsid w:val="00620C43"/>
    <w:rsid w:val="00620C90"/>
    <w:rsid w:val="006212D5"/>
    <w:rsid w:val="00621B37"/>
    <w:rsid w:val="00621FEC"/>
    <w:rsid w:val="00622015"/>
    <w:rsid w:val="00622172"/>
    <w:rsid w:val="0062301E"/>
    <w:rsid w:val="00623378"/>
    <w:rsid w:val="00623AEE"/>
    <w:rsid w:val="00623BEA"/>
    <w:rsid w:val="00623DC8"/>
    <w:rsid w:val="00624186"/>
    <w:rsid w:val="00624432"/>
    <w:rsid w:val="00624AEE"/>
    <w:rsid w:val="00624BE5"/>
    <w:rsid w:val="00624E95"/>
    <w:rsid w:val="00625028"/>
    <w:rsid w:val="00625482"/>
    <w:rsid w:val="00626140"/>
    <w:rsid w:val="006264BB"/>
    <w:rsid w:val="00626685"/>
    <w:rsid w:val="0062681C"/>
    <w:rsid w:val="0062689F"/>
    <w:rsid w:val="00626FDC"/>
    <w:rsid w:val="0062741C"/>
    <w:rsid w:val="00627B81"/>
    <w:rsid w:val="00627DA7"/>
    <w:rsid w:val="00630321"/>
    <w:rsid w:val="0063062C"/>
    <w:rsid w:val="006306DE"/>
    <w:rsid w:val="00630B99"/>
    <w:rsid w:val="0063109A"/>
    <w:rsid w:val="0063157A"/>
    <w:rsid w:val="0063161B"/>
    <w:rsid w:val="00631CBD"/>
    <w:rsid w:val="0063222E"/>
    <w:rsid w:val="00632414"/>
    <w:rsid w:val="00632CEF"/>
    <w:rsid w:val="00632CF5"/>
    <w:rsid w:val="0063341A"/>
    <w:rsid w:val="006336F0"/>
    <w:rsid w:val="00633CD1"/>
    <w:rsid w:val="00633EA8"/>
    <w:rsid w:val="00634076"/>
    <w:rsid w:val="00634C4A"/>
    <w:rsid w:val="00634DBF"/>
    <w:rsid w:val="00634E6A"/>
    <w:rsid w:val="00634FBD"/>
    <w:rsid w:val="00635153"/>
    <w:rsid w:val="0063538D"/>
    <w:rsid w:val="00635596"/>
    <w:rsid w:val="006361A6"/>
    <w:rsid w:val="0063626F"/>
    <w:rsid w:val="006369ED"/>
    <w:rsid w:val="00636A7B"/>
    <w:rsid w:val="00636D9E"/>
    <w:rsid w:val="0063700A"/>
    <w:rsid w:val="00637128"/>
    <w:rsid w:val="0063768F"/>
    <w:rsid w:val="00637B87"/>
    <w:rsid w:val="0063D3D6"/>
    <w:rsid w:val="006403F1"/>
    <w:rsid w:val="0064057A"/>
    <w:rsid w:val="006405DE"/>
    <w:rsid w:val="00640891"/>
    <w:rsid w:val="0064155E"/>
    <w:rsid w:val="0064198A"/>
    <w:rsid w:val="00641E9D"/>
    <w:rsid w:val="00642120"/>
    <w:rsid w:val="006422D2"/>
    <w:rsid w:val="00642B40"/>
    <w:rsid w:val="00642E99"/>
    <w:rsid w:val="0064308F"/>
    <w:rsid w:val="0064370C"/>
    <w:rsid w:val="006441C2"/>
    <w:rsid w:val="00644B52"/>
    <w:rsid w:val="00644E3E"/>
    <w:rsid w:val="00644E99"/>
    <w:rsid w:val="006452B9"/>
    <w:rsid w:val="0064596F"/>
    <w:rsid w:val="00645990"/>
    <w:rsid w:val="006463A6"/>
    <w:rsid w:val="00646868"/>
    <w:rsid w:val="006468DC"/>
    <w:rsid w:val="00646A7C"/>
    <w:rsid w:val="00646F02"/>
    <w:rsid w:val="0064729B"/>
    <w:rsid w:val="00647489"/>
    <w:rsid w:val="00647C05"/>
    <w:rsid w:val="00647F7A"/>
    <w:rsid w:val="0065015E"/>
    <w:rsid w:val="00650972"/>
    <w:rsid w:val="00650B9F"/>
    <w:rsid w:val="006515CA"/>
    <w:rsid w:val="00651A75"/>
    <w:rsid w:val="00651DA5"/>
    <w:rsid w:val="00651DB3"/>
    <w:rsid w:val="00651DF0"/>
    <w:rsid w:val="006525EF"/>
    <w:rsid w:val="00652A64"/>
    <w:rsid w:val="00652C78"/>
    <w:rsid w:val="00652E0B"/>
    <w:rsid w:val="0065306E"/>
    <w:rsid w:val="00653345"/>
    <w:rsid w:val="00653A1A"/>
    <w:rsid w:val="00653BFA"/>
    <w:rsid w:val="006545BF"/>
    <w:rsid w:val="00654944"/>
    <w:rsid w:val="00655557"/>
    <w:rsid w:val="00655955"/>
    <w:rsid w:val="00655FDC"/>
    <w:rsid w:val="006560AC"/>
    <w:rsid w:val="006568FE"/>
    <w:rsid w:val="00656A67"/>
    <w:rsid w:val="00656AAE"/>
    <w:rsid w:val="00656C32"/>
    <w:rsid w:val="00656C3D"/>
    <w:rsid w:val="00656CB8"/>
    <w:rsid w:val="00656D8A"/>
    <w:rsid w:val="0065706F"/>
    <w:rsid w:val="0065723C"/>
    <w:rsid w:val="00657CB9"/>
    <w:rsid w:val="00657DF3"/>
    <w:rsid w:val="0066002A"/>
    <w:rsid w:val="00660383"/>
    <w:rsid w:val="00660603"/>
    <w:rsid w:val="00660666"/>
    <w:rsid w:val="0066115E"/>
    <w:rsid w:val="0066132D"/>
    <w:rsid w:val="0066138A"/>
    <w:rsid w:val="00661437"/>
    <w:rsid w:val="00661AE0"/>
    <w:rsid w:val="00661AEE"/>
    <w:rsid w:val="00661C8B"/>
    <w:rsid w:val="00661FA4"/>
    <w:rsid w:val="00662333"/>
    <w:rsid w:val="00662BB9"/>
    <w:rsid w:val="00662E3B"/>
    <w:rsid w:val="00662F2F"/>
    <w:rsid w:val="0066372A"/>
    <w:rsid w:val="00663C2B"/>
    <w:rsid w:val="00663C33"/>
    <w:rsid w:val="00663D7F"/>
    <w:rsid w:val="00663F4F"/>
    <w:rsid w:val="00664983"/>
    <w:rsid w:val="00664CA1"/>
    <w:rsid w:val="00665682"/>
    <w:rsid w:val="00665A02"/>
    <w:rsid w:val="00665DD8"/>
    <w:rsid w:val="00666124"/>
    <w:rsid w:val="006663A4"/>
    <w:rsid w:val="0066646B"/>
    <w:rsid w:val="00666546"/>
    <w:rsid w:val="0066660E"/>
    <w:rsid w:val="006667AA"/>
    <w:rsid w:val="006669B0"/>
    <w:rsid w:val="00666CDC"/>
    <w:rsid w:val="00666E31"/>
    <w:rsid w:val="00666EB3"/>
    <w:rsid w:val="00667020"/>
    <w:rsid w:val="00667137"/>
    <w:rsid w:val="00667587"/>
    <w:rsid w:val="00667720"/>
    <w:rsid w:val="006678D5"/>
    <w:rsid w:val="00667F7A"/>
    <w:rsid w:val="00669D15"/>
    <w:rsid w:val="006703CB"/>
    <w:rsid w:val="00670455"/>
    <w:rsid w:val="0067100F"/>
    <w:rsid w:val="00671038"/>
    <w:rsid w:val="00671466"/>
    <w:rsid w:val="00671671"/>
    <w:rsid w:val="00672D3D"/>
    <w:rsid w:val="00672ECE"/>
    <w:rsid w:val="00673682"/>
    <w:rsid w:val="00673A1A"/>
    <w:rsid w:val="00673C9C"/>
    <w:rsid w:val="00673E69"/>
    <w:rsid w:val="00674836"/>
    <w:rsid w:val="0067536A"/>
    <w:rsid w:val="0067537C"/>
    <w:rsid w:val="006759BE"/>
    <w:rsid w:val="0067607E"/>
    <w:rsid w:val="00676394"/>
    <w:rsid w:val="00676636"/>
    <w:rsid w:val="00676695"/>
    <w:rsid w:val="00676702"/>
    <w:rsid w:val="00676795"/>
    <w:rsid w:val="00677551"/>
    <w:rsid w:val="00677B4A"/>
    <w:rsid w:val="00677BB4"/>
    <w:rsid w:val="0068130D"/>
    <w:rsid w:val="006816A9"/>
    <w:rsid w:val="00681E1F"/>
    <w:rsid w:val="00682800"/>
    <w:rsid w:val="00682802"/>
    <w:rsid w:val="00682A7E"/>
    <w:rsid w:val="00682A83"/>
    <w:rsid w:val="00682FFD"/>
    <w:rsid w:val="00683051"/>
    <w:rsid w:val="006832CE"/>
    <w:rsid w:val="0068342D"/>
    <w:rsid w:val="006835F0"/>
    <w:rsid w:val="006838F9"/>
    <w:rsid w:val="00683B86"/>
    <w:rsid w:val="006846C2"/>
    <w:rsid w:val="00684B2D"/>
    <w:rsid w:val="00684DC5"/>
    <w:rsid w:val="00684EB3"/>
    <w:rsid w:val="006850BA"/>
    <w:rsid w:val="006856B5"/>
    <w:rsid w:val="00686FD5"/>
    <w:rsid w:val="00687182"/>
    <w:rsid w:val="006873E7"/>
    <w:rsid w:val="00687771"/>
    <w:rsid w:val="00687F00"/>
    <w:rsid w:val="00687F6A"/>
    <w:rsid w:val="006902F5"/>
    <w:rsid w:val="006903DD"/>
    <w:rsid w:val="00690543"/>
    <w:rsid w:val="00690677"/>
    <w:rsid w:val="006917F1"/>
    <w:rsid w:val="00691917"/>
    <w:rsid w:val="00691A82"/>
    <w:rsid w:val="00691DEC"/>
    <w:rsid w:val="00692939"/>
    <w:rsid w:val="00692FBD"/>
    <w:rsid w:val="0069310D"/>
    <w:rsid w:val="00693713"/>
    <w:rsid w:val="00694029"/>
    <w:rsid w:val="0069414D"/>
    <w:rsid w:val="006944F1"/>
    <w:rsid w:val="0069467A"/>
    <w:rsid w:val="00695023"/>
    <w:rsid w:val="00695588"/>
    <w:rsid w:val="006957A2"/>
    <w:rsid w:val="0069594B"/>
    <w:rsid w:val="0069596F"/>
    <w:rsid w:val="00695BA2"/>
    <w:rsid w:val="00695C4D"/>
    <w:rsid w:val="0069642E"/>
    <w:rsid w:val="00696624"/>
    <w:rsid w:val="006969B2"/>
    <w:rsid w:val="00696A51"/>
    <w:rsid w:val="00697A86"/>
    <w:rsid w:val="006A0552"/>
    <w:rsid w:val="006A05A0"/>
    <w:rsid w:val="006A0D27"/>
    <w:rsid w:val="006A0D39"/>
    <w:rsid w:val="006A0EC6"/>
    <w:rsid w:val="006A10F5"/>
    <w:rsid w:val="006A14A8"/>
    <w:rsid w:val="006A216C"/>
    <w:rsid w:val="006A2CC4"/>
    <w:rsid w:val="006A2EBF"/>
    <w:rsid w:val="006A31FE"/>
    <w:rsid w:val="006A4042"/>
    <w:rsid w:val="006A4074"/>
    <w:rsid w:val="006A4A9E"/>
    <w:rsid w:val="006A4E1E"/>
    <w:rsid w:val="006A4FE5"/>
    <w:rsid w:val="006A538D"/>
    <w:rsid w:val="006A558C"/>
    <w:rsid w:val="006A576A"/>
    <w:rsid w:val="006A59FF"/>
    <w:rsid w:val="006A5A2B"/>
    <w:rsid w:val="006A5D40"/>
    <w:rsid w:val="006A5F9B"/>
    <w:rsid w:val="006A60E3"/>
    <w:rsid w:val="006A644F"/>
    <w:rsid w:val="006A697D"/>
    <w:rsid w:val="006A6F22"/>
    <w:rsid w:val="006A7498"/>
    <w:rsid w:val="006A7A3A"/>
    <w:rsid w:val="006A7CB5"/>
    <w:rsid w:val="006A7F7B"/>
    <w:rsid w:val="006B0027"/>
    <w:rsid w:val="006B0277"/>
    <w:rsid w:val="006B0767"/>
    <w:rsid w:val="006B0943"/>
    <w:rsid w:val="006B0B64"/>
    <w:rsid w:val="006B0CC9"/>
    <w:rsid w:val="006B10E4"/>
    <w:rsid w:val="006B1FAB"/>
    <w:rsid w:val="006B2FAB"/>
    <w:rsid w:val="006B3385"/>
    <w:rsid w:val="006B37AA"/>
    <w:rsid w:val="006B3F7B"/>
    <w:rsid w:val="006B3F8A"/>
    <w:rsid w:val="006B43B4"/>
    <w:rsid w:val="006B470F"/>
    <w:rsid w:val="006B4740"/>
    <w:rsid w:val="006B4F9F"/>
    <w:rsid w:val="006B5511"/>
    <w:rsid w:val="006B5EB7"/>
    <w:rsid w:val="006B5FAB"/>
    <w:rsid w:val="006B6AC0"/>
    <w:rsid w:val="006B78B7"/>
    <w:rsid w:val="006B7C45"/>
    <w:rsid w:val="006B7CFC"/>
    <w:rsid w:val="006C0052"/>
    <w:rsid w:val="006C0145"/>
    <w:rsid w:val="006C0177"/>
    <w:rsid w:val="006C02F0"/>
    <w:rsid w:val="006C058C"/>
    <w:rsid w:val="006C0863"/>
    <w:rsid w:val="006C09DC"/>
    <w:rsid w:val="006C0B5F"/>
    <w:rsid w:val="006C0D46"/>
    <w:rsid w:val="006C0D8B"/>
    <w:rsid w:val="006C0FF8"/>
    <w:rsid w:val="006C13B4"/>
    <w:rsid w:val="006C1473"/>
    <w:rsid w:val="006C1474"/>
    <w:rsid w:val="006C1C62"/>
    <w:rsid w:val="006C1FDD"/>
    <w:rsid w:val="006C20A3"/>
    <w:rsid w:val="006C2101"/>
    <w:rsid w:val="006C2280"/>
    <w:rsid w:val="006C2349"/>
    <w:rsid w:val="006C2E0E"/>
    <w:rsid w:val="006C346B"/>
    <w:rsid w:val="006C34D5"/>
    <w:rsid w:val="006C3725"/>
    <w:rsid w:val="006C3945"/>
    <w:rsid w:val="006C3A8B"/>
    <w:rsid w:val="006C419A"/>
    <w:rsid w:val="006C4461"/>
    <w:rsid w:val="006C4866"/>
    <w:rsid w:val="006C49B8"/>
    <w:rsid w:val="006C4A11"/>
    <w:rsid w:val="006C4EC9"/>
    <w:rsid w:val="006C52DB"/>
    <w:rsid w:val="006C5A04"/>
    <w:rsid w:val="006C5A91"/>
    <w:rsid w:val="006C5FEE"/>
    <w:rsid w:val="006C6285"/>
    <w:rsid w:val="006C6D2A"/>
    <w:rsid w:val="006C6DBB"/>
    <w:rsid w:val="006C6E3D"/>
    <w:rsid w:val="006C6E58"/>
    <w:rsid w:val="006C70B1"/>
    <w:rsid w:val="006C7167"/>
    <w:rsid w:val="006C723A"/>
    <w:rsid w:val="006C72D0"/>
    <w:rsid w:val="006C72F3"/>
    <w:rsid w:val="006C7338"/>
    <w:rsid w:val="006C7772"/>
    <w:rsid w:val="006D0161"/>
    <w:rsid w:val="006D024C"/>
    <w:rsid w:val="006D13CE"/>
    <w:rsid w:val="006D14D8"/>
    <w:rsid w:val="006D17C6"/>
    <w:rsid w:val="006D201E"/>
    <w:rsid w:val="006D2308"/>
    <w:rsid w:val="006D2721"/>
    <w:rsid w:val="006D2832"/>
    <w:rsid w:val="006D35E9"/>
    <w:rsid w:val="006D379B"/>
    <w:rsid w:val="006D390B"/>
    <w:rsid w:val="006D3EED"/>
    <w:rsid w:val="006D4BB7"/>
    <w:rsid w:val="006D55AF"/>
    <w:rsid w:val="006D5A85"/>
    <w:rsid w:val="006D5BEE"/>
    <w:rsid w:val="006D675F"/>
    <w:rsid w:val="006D6BA8"/>
    <w:rsid w:val="006D79FE"/>
    <w:rsid w:val="006D7B37"/>
    <w:rsid w:val="006D7B50"/>
    <w:rsid w:val="006D7E8C"/>
    <w:rsid w:val="006E061B"/>
    <w:rsid w:val="006E0734"/>
    <w:rsid w:val="006E192F"/>
    <w:rsid w:val="006E1B90"/>
    <w:rsid w:val="006E1F67"/>
    <w:rsid w:val="006E23CC"/>
    <w:rsid w:val="006E2DFA"/>
    <w:rsid w:val="006E30D8"/>
    <w:rsid w:val="006E32A6"/>
    <w:rsid w:val="006E3674"/>
    <w:rsid w:val="006E397C"/>
    <w:rsid w:val="006E3B37"/>
    <w:rsid w:val="006E3FA3"/>
    <w:rsid w:val="006E4BAE"/>
    <w:rsid w:val="006E501B"/>
    <w:rsid w:val="006E50F0"/>
    <w:rsid w:val="006E5309"/>
    <w:rsid w:val="006E53B5"/>
    <w:rsid w:val="006E546C"/>
    <w:rsid w:val="006E57D7"/>
    <w:rsid w:val="006E5B98"/>
    <w:rsid w:val="006E6055"/>
    <w:rsid w:val="006E699C"/>
    <w:rsid w:val="006E69E1"/>
    <w:rsid w:val="006E6B0E"/>
    <w:rsid w:val="006E73EC"/>
    <w:rsid w:val="006E7B24"/>
    <w:rsid w:val="006E7B8F"/>
    <w:rsid w:val="006E7CB0"/>
    <w:rsid w:val="006E7CC7"/>
    <w:rsid w:val="006E7E39"/>
    <w:rsid w:val="006E7E59"/>
    <w:rsid w:val="006E8130"/>
    <w:rsid w:val="006EC522"/>
    <w:rsid w:val="006F0439"/>
    <w:rsid w:val="006F0C0C"/>
    <w:rsid w:val="006F19E2"/>
    <w:rsid w:val="006F223B"/>
    <w:rsid w:val="006F226F"/>
    <w:rsid w:val="006F231A"/>
    <w:rsid w:val="006F2735"/>
    <w:rsid w:val="006F273E"/>
    <w:rsid w:val="006F2BAE"/>
    <w:rsid w:val="006F35BD"/>
    <w:rsid w:val="006F3E79"/>
    <w:rsid w:val="006F458C"/>
    <w:rsid w:val="006F4BA3"/>
    <w:rsid w:val="006F517F"/>
    <w:rsid w:val="006F545C"/>
    <w:rsid w:val="006F55E1"/>
    <w:rsid w:val="006F582E"/>
    <w:rsid w:val="006F58F7"/>
    <w:rsid w:val="006F5D66"/>
    <w:rsid w:val="006F6176"/>
    <w:rsid w:val="006F6970"/>
    <w:rsid w:val="006F713A"/>
    <w:rsid w:val="006F730C"/>
    <w:rsid w:val="006F730E"/>
    <w:rsid w:val="006F756A"/>
    <w:rsid w:val="006F7BB1"/>
    <w:rsid w:val="006F7CC0"/>
    <w:rsid w:val="006F7EB7"/>
    <w:rsid w:val="0070009C"/>
    <w:rsid w:val="00700397"/>
    <w:rsid w:val="0070061F"/>
    <w:rsid w:val="00700974"/>
    <w:rsid w:val="00700B4D"/>
    <w:rsid w:val="00700B78"/>
    <w:rsid w:val="00700C33"/>
    <w:rsid w:val="00700CCD"/>
    <w:rsid w:val="00701408"/>
    <w:rsid w:val="007014B1"/>
    <w:rsid w:val="00701BB8"/>
    <w:rsid w:val="007021EC"/>
    <w:rsid w:val="00702BA8"/>
    <w:rsid w:val="0070346C"/>
    <w:rsid w:val="0070376C"/>
    <w:rsid w:val="00703AF4"/>
    <w:rsid w:val="00704307"/>
    <w:rsid w:val="0070448F"/>
    <w:rsid w:val="00704834"/>
    <w:rsid w:val="0070491A"/>
    <w:rsid w:val="00705216"/>
    <w:rsid w:val="007053F0"/>
    <w:rsid w:val="007057DB"/>
    <w:rsid w:val="00705F25"/>
    <w:rsid w:val="007066B9"/>
    <w:rsid w:val="00706DAA"/>
    <w:rsid w:val="00706E9A"/>
    <w:rsid w:val="00707510"/>
    <w:rsid w:val="00707C2F"/>
    <w:rsid w:val="00707E03"/>
    <w:rsid w:val="00707F02"/>
    <w:rsid w:val="00710082"/>
    <w:rsid w:val="007108BA"/>
    <w:rsid w:val="00710949"/>
    <w:rsid w:val="00710C7A"/>
    <w:rsid w:val="007111C2"/>
    <w:rsid w:val="007118A4"/>
    <w:rsid w:val="00711B6C"/>
    <w:rsid w:val="00711E98"/>
    <w:rsid w:val="007127EE"/>
    <w:rsid w:val="00713BDD"/>
    <w:rsid w:val="00713D64"/>
    <w:rsid w:val="00713E45"/>
    <w:rsid w:val="0071409B"/>
    <w:rsid w:val="0071469E"/>
    <w:rsid w:val="00714CCB"/>
    <w:rsid w:val="00714FB3"/>
    <w:rsid w:val="00715425"/>
    <w:rsid w:val="007156D0"/>
    <w:rsid w:val="00715712"/>
    <w:rsid w:val="0071596D"/>
    <w:rsid w:val="007159F0"/>
    <w:rsid w:val="00716509"/>
    <w:rsid w:val="007166C1"/>
    <w:rsid w:val="00716700"/>
    <w:rsid w:val="00716DD0"/>
    <w:rsid w:val="007170EC"/>
    <w:rsid w:val="0071749D"/>
    <w:rsid w:val="00717C29"/>
    <w:rsid w:val="0071D91F"/>
    <w:rsid w:val="00720466"/>
    <w:rsid w:val="0072064C"/>
    <w:rsid w:val="007206AF"/>
    <w:rsid w:val="007207FF"/>
    <w:rsid w:val="00720A32"/>
    <w:rsid w:val="00720C1B"/>
    <w:rsid w:val="007210D7"/>
    <w:rsid w:val="00721146"/>
    <w:rsid w:val="007212DA"/>
    <w:rsid w:val="0072158D"/>
    <w:rsid w:val="0072159A"/>
    <w:rsid w:val="00721686"/>
    <w:rsid w:val="007228D0"/>
    <w:rsid w:val="007228D9"/>
    <w:rsid w:val="00722AA5"/>
    <w:rsid w:val="00722E7F"/>
    <w:rsid w:val="00722FC2"/>
    <w:rsid w:val="0072302C"/>
    <w:rsid w:val="007231DD"/>
    <w:rsid w:val="007238B5"/>
    <w:rsid w:val="00723982"/>
    <w:rsid w:val="00724679"/>
    <w:rsid w:val="0072468D"/>
    <w:rsid w:val="00724962"/>
    <w:rsid w:val="007249DF"/>
    <w:rsid w:val="00724CBA"/>
    <w:rsid w:val="00724CEA"/>
    <w:rsid w:val="00724FCB"/>
    <w:rsid w:val="0072511F"/>
    <w:rsid w:val="007258CF"/>
    <w:rsid w:val="00725BDB"/>
    <w:rsid w:val="00725EB2"/>
    <w:rsid w:val="00726140"/>
    <w:rsid w:val="00726778"/>
    <w:rsid w:val="0072689F"/>
    <w:rsid w:val="00726AD2"/>
    <w:rsid w:val="00726AF2"/>
    <w:rsid w:val="00726DDC"/>
    <w:rsid w:val="00727363"/>
    <w:rsid w:val="00727928"/>
    <w:rsid w:val="00727FFC"/>
    <w:rsid w:val="007300B0"/>
    <w:rsid w:val="007306A7"/>
    <w:rsid w:val="007309FB"/>
    <w:rsid w:val="00730B63"/>
    <w:rsid w:val="0073165D"/>
    <w:rsid w:val="00731C7B"/>
    <w:rsid w:val="0073252F"/>
    <w:rsid w:val="007326D5"/>
    <w:rsid w:val="00732B84"/>
    <w:rsid w:val="00732CE6"/>
    <w:rsid w:val="00733236"/>
    <w:rsid w:val="0073326A"/>
    <w:rsid w:val="007334A9"/>
    <w:rsid w:val="00733514"/>
    <w:rsid w:val="0073402F"/>
    <w:rsid w:val="00734638"/>
    <w:rsid w:val="0073475A"/>
    <w:rsid w:val="00734CD6"/>
    <w:rsid w:val="007356DF"/>
    <w:rsid w:val="007359A9"/>
    <w:rsid w:val="00735CF5"/>
    <w:rsid w:val="00735D96"/>
    <w:rsid w:val="0073616A"/>
    <w:rsid w:val="007361BF"/>
    <w:rsid w:val="00736B83"/>
    <w:rsid w:val="00736DEB"/>
    <w:rsid w:val="007373E7"/>
    <w:rsid w:val="00737A09"/>
    <w:rsid w:val="00740582"/>
    <w:rsid w:val="00740C04"/>
    <w:rsid w:val="0074119A"/>
    <w:rsid w:val="00741299"/>
    <w:rsid w:val="007423DA"/>
    <w:rsid w:val="00742F9F"/>
    <w:rsid w:val="0074308B"/>
    <w:rsid w:val="00743384"/>
    <w:rsid w:val="00743743"/>
    <w:rsid w:val="00743A10"/>
    <w:rsid w:val="00743B87"/>
    <w:rsid w:val="00743DA1"/>
    <w:rsid w:val="007447CB"/>
    <w:rsid w:val="00744E4A"/>
    <w:rsid w:val="0074562D"/>
    <w:rsid w:val="007456C2"/>
    <w:rsid w:val="007461D7"/>
    <w:rsid w:val="00746921"/>
    <w:rsid w:val="0074701D"/>
    <w:rsid w:val="007471D7"/>
    <w:rsid w:val="00747CFE"/>
    <w:rsid w:val="00747D07"/>
    <w:rsid w:val="00747ED4"/>
    <w:rsid w:val="00749CAF"/>
    <w:rsid w:val="0075057B"/>
    <w:rsid w:val="007505D8"/>
    <w:rsid w:val="00750FF7"/>
    <w:rsid w:val="007514DF"/>
    <w:rsid w:val="00751AFC"/>
    <w:rsid w:val="00751C5F"/>
    <w:rsid w:val="00751CCA"/>
    <w:rsid w:val="00751F36"/>
    <w:rsid w:val="00752506"/>
    <w:rsid w:val="007525F7"/>
    <w:rsid w:val="0075276D"/>
    <w:rsid w:val="0075297E"/>
    <w:rsid w:val="00754316"/>
    <w:rsid w:val="007549D3"/>
    <w:rsid w:val="00754E3C"/>
    <w:rsid w:val="007552FD"/>
    <w:rsid w:val="0075547A"/>
    <w:rsid w:val="007554DF"/>
    <w:rsid w:val="00755794"/>
    <w:rsid w:val="00755D24"/>
    <w:rsid w:val="00755EBC"/>
    <w:rsid w:val="00756041"/>
    <w:rsid w:val="0075614E"/>
    <w:rsid w:val="007561AF"/>
    <w:rsid w:val="00756881"/>
    <w:rsid w:val="0075691D"/>
    <w:rsid w:val="007569BC"/>
    <w:rsid w:val="007573C6"/>
    <w:rsid w:val="007576BB"/>
    <w:rsid w:val="007576C7"/>
    <w:rsid w:val="00757934"/>
    <w:rsid w:val="00757EA1"/>
    <w:rsid w:val="00760006"/>
    <w:rsid w:val="0076031E"/>
    <w:rsid w:val="00760763"/>
    <w:rsid w:val="00761017"/>
    <w:rsid w:val="007613EF"/>
    <w:rsid w:val="007617F5"/>
    <w:rsid w:val="00761BDE"/>
    <w:rsid w:val="0076206C"/>
    <w:rsid w:val="00762465"/>
    <w:rsid w:val="007624F6"/>
    <w:rsid w:val="0076259C"/>
    <w:rsid w:val="0076269B"/>
    <w:rsid w:val="0076280E"/>
    <w:rsid w:val="00763134"/>
    <w:rsid w:val="00763317"/>
    <w:rsid w:val="00763733"/>
    <w:rsid w:val="00764B90"/>
    <w:rsid w:val="00765468"/>
    <w:rsid w:val="00765648"/>
    <w:rsid w:val="0076592B"/>
    <w:rsid w:val="00766F7E"/>
    <w:rsid w:val="00767060"/>
    <w:rsid w:val="00767832"/>
    <w:rsid w:val="00767A55"/>
    <w:rsid w:val="00767C5E"/>
    <w:rsid w:val="00767F80"/>
    <w:rsid w:val="00767FD2"/>
    <w:rsid w:val="00770177"/>
    <w:rsid w:val="00770C5F"/>
    <w:rsid w:val="00770C85"/>
    <w:rsid w:val="00771164"/>
    <w:rsid w:val="0077152C"/>
    <w:rsid w:val="00771BD2"/>
    <w:rsid w:val="00771F9C"/>
    <w:rsid w:val="007720A8"/>
    <w:rsid w:val="0077232B"/>
    <w:rsid w:val="00772438"/>
    <w:rsid w:val="00772460"/>
    <w:rsid w:val="00772814"/>
    <w:rsid w:val="0077295F"/>
    <w:rsid w:val="0077310F"/>
    <w:rsid w:val="007731FF"/>
    <w:rsid w:val="007736D6"/>
    <w:rsid w:val="0077389D"/>
    <w:rsid w:val="00773F20"/>
    <w:rsid w:val="007755DE"/>
    <w:rsid w:val="0077572A"/>
    <w:rsid w:val="00775BE0"/>
    <w:rsid w:val="007764E2"/>
    <w:rsid w:val="00776DE9"/>
    <w:rsid w:val="00777046"/>
    <w:rsid w:val="007770A8"/>
    <w:rsid w:val="007770B5"/>
    <w:rsid w:val="00777118"/>
    <w:rsid w:val="0077740A"/>
    <w:rsid w:val="00777465"/>
    <w:rsid w:val="007775BF"/>
    <w:rsid w:val="00777998"/>
    <w:rsid w:val="00777C9C"/>
    <w:rsid w:val="007805FF"/>
    <w:rsid w:val="00780981"/>
    <w:rsid w:val="00780A4B"/>
    <w:rsid w:val="00781577"/>
    <w:rsid w:val="0078180F"/>
    <w:rsid w:val="00781889"/>
    <w:rsid w:val="00781E80"/>
    <w:rsid w:val="007820E2"/>
    <w:rsid w:val="0078242E"/>
    <w:rsid w:val="00782AB0"/>
    <w:rsid w:val="00782C34"/>
    <w:rsid w:val="00782E7B"/>
    <w:rsid w:val="00783085"/>
    <w:rsid w:val="007836C9"/>
    <w:rsid w:val="0078384C"/>
    <w:rsid w:val="007839CF"/>
    <w:rsid w:val="00783A72"/>
    <w:rsid w:val="00783B97"/>
    <w:rsid w:val="0078480E"/>
    <w:rsid w:val="0078481E"/>
    <w:rsid w:val="007849FE"/>
    <w:rsid w:val="00784AE7"/>
    <w:rsid w:val="0078507D"/>
    <w:rsid w:val="00785117"/>
    <w:rsid w:val="0078527C"/>
    <w:rsid w:val="007853E3"/>
    <w:rsid w:val="007854DD"/>
    <w:rsid w:val="007858BF"/>
    <w:rsid w:val="00785EC5"/>
    <w:rsid w:val="00785F45"/>
    <w:rsid w:val="0078602B"/>
    <w:rsid w:val="007860EE"/>
    <w:rsid w:val="0078650B"/>
    <w:rsid w:val="007868C2"/>
    <w:rsid w:val="00786A0E"/>
    <w:rsid w:val="00786D9E"/>
    <w:rsid w:val="0078703C"/>
    <w:rsid w:val="00787B67"/>
    <w:rsid w:val="007900A9"/>
    <w:rsid w:val="007902C2"/>
    <w:rsid w:val="0079069B"/>
    <w:rsid w:val="00790A67"/>
    <w:rsid w:val="00790DF0"/>
    <w:rsid w:val="00791136"/>
    <w:rsid w:val="007912FC"/>
    <w:rsid w:val="007918EB"/>
    <w:rsid w:val="00791B9B"/>
    <w:rsid w:val="00791DBF"/>
    <w:rsid w:val="00792794"/>
    <w:rsid w:val="007927A0"/>
    <w:rsid w:val="00792F7F"/>
    <w:rsid w:val="00793233"/>
    <w:rsid w:val="0079369B"/>
    <w:rsid w:val="00793750"/>
    <w:rsid w:val="00793805"/>
    <w:rsid w:val="0079386A"/>
    <w:rsid w:val="0079395E"/>
    <w:rsid w:val="00793D05"/>
    <w:rsid w:val="0079441A"/>
    <w:rsid w:val="00794913"/>
    <w:rsid w:val="00794BCE"/>
    <w:rsid w:val="00795274"/>
    <w:rsid w:val="007958BC"/>
    <w:rsid w:val="00795B91"/>
    <w:rsid w:val="00795E22"/>
    <w:rsid w:val="007960E2"/>
    <w:rsid w:val="007962CC"/>
    <w:rsid w:val="007963FF"/>
    <w:rsid w:val="00796BD2"/>
    <w:rsid w:val="007971D1"/>
    <w:rsid w:val="00797551"/>
    <w:rsid w:val="00797604"/>
    <w:rsid w:val="007977BC"/>
    <w:rsid w:val="00797D1F"/>
    <w:rsid w:val="007A070E"/>
    <w:rsid w:val="007A0F8D"/>
    <w:rsid w:val="007A16F4"/>
    <w:rsid w:val="007A213E"/>
    <w:rsid w:val="007A2188"/>
    <w:rsid w:val="007A2B3C"/>
    <w:rsid w:val="007A2C5B"/>
    <w:rsid w:val="007A2CF7"/>
    <w:rsid w:val="007A30F8"/>
    <w:rsid w:val="007A3AA6"/>
    <w:rsid w:val="007A3B38"/>
    <w:rsid w:val="007A4585"/>
    <w:rsid w:val="007A45F8"/>
    <w:rsid w:val="007A46B0"/>
    <w:rsid w:val="007A4DCB"/>
    <w:rsid w:val="007A519F"/>
    <w:rsid w:val="007A56FE"/>
    <w:rsid w:val="007A6336"/>
    <w:rsid w:val="007A637A"/>
    <w:rsid w:val="007A6856"/>
    <w:rsid w:val="007A68B2"/>
    <w:rsid w:val="007A690A"/>
    <w:rsid w:val="007A698D"/>
    <w:rsid w:val="007A6C23"/>
    <w:rsid w:val="007A6CD0"/>
    <w:rsid w:val="007A777B"/>
    <w:rsid w:val="007A784B"/>
    <w:rsid w:val="007A7D9C"/>
    <w:rsid w:val="007A7E51"/>
    <w:rsid w:val="007B06FC"/>
    <w:rsid w:val="007B084B"/>
    <w:rsid w:val="007B1689"/>
    <w:rsid w:val="007B17EB"/>
    <w:rsid w:val="007B191A"/>
    <w:rsid w:val="007B19CD"/>
    <w:rsid w:val="007B290B"/>
    <w:rsid w:val="007B315B"/>
    <w:rsid w:val="007B32DA"/>
    <w:rsid w:val="007B3488"/>
    <w:rsid w:val="007B3D2C"/>
    <w:rsid w:val="007B3D39"/>
    <w:rsid w:val="007B4366"/>
    <w:rsid w:val="007B4740"/>
    <w:rsid w:val="007B48B2"/>
    <w:rsid w:val="007B49AB"/>
    <w:rsid w:val="007B516B"/>
    <w:rsid w:val="007B51A8"/>
    <w:rsid w:val="007B535A"/>
    <w:rsid w:val="007B5F90"/>
    <w:rsid w:val="007B5FA6"/>
    <w:rsid w:val="007B6112"/>
    <w:rsid w:val="007B67CC"/>
    <w:rsid w:val="007B6961"/>
    <w:rsid w:val="007B7A1D"/>
    <w:rsid w:val="007B7A92"/>
    <w:rsid w:val="007B7F42"/>
    <w:rsid w:val="007C03F8"/>
    <w:rsid w:val="007C043A"/>
    <w:rsid w:val="007C07CD"/>
    <w:rsid w:val="007C130E"/>
    <w:rsid w:val="007C16F0"/>
    <w:rsid w:val="007C18E9"/>
    <w:rsid w:val="007C1DC0"/>
    <w:rsid w:val="007C27B5"/>
    <w:rsid w:val="007C293A"/>
    <w:rsid w:val="007C2CBC"/>
    <w:rsid w:val="007C2FD5"/>
    <w:rsid w:val="007C31CA"/>
    <w:rsid w:val="007C38DD"/>
    <w:rsid w:val="007C3DD6"/>
    <w:rsid w:val="007C4A2A"/>
    <w:rsid w:val="007C51AD"/>
    <w:rsid w:val="007C5A85"/>
    <w:rsid w:val="007C63CD"/>
    <w:rsid w:val="007C6690"/>
    <w:rsid w:val="007C67E6"/>
    <w:rsid w:val="007C6A4A"/>
    <w:rsid w:val="007C7AAB"/>
    <w:rsid w:val="007D0288"/>
    <w:rsid w:val="007D02CB"/>
    <w:rsid w:val="007D0B96"/>
    <w:rsid w:val="007D1279"/>
    <w:rsid w:val="007D12C3"/>
    <w:rsid w:val="007D13BA"/>
    <w:rsid w:val="007D1596"/>
    <w:rsid w:val="007D175B"/>
    <w:rsid w:val="007D185B"/>
    <w:rsid w:val="007D232A"/>
    <w:rsid w:val="007D24D1"/>
    <w:rsid w:val="007D29D3"/>
    <w:rsid w:val="007D2C22"/>
    <w:rsid w:val="007D2E60"/>
    <w:rsid w:val="007D38A5"/>
    <w:rsid w:val="007D3EF8"/>
    <w:rsid w:val="007D3F49"/>
    <w:rsid w:val="007D4344"/>
    <w:rsid w:val="007D4A49"/>
    <w:rsid w:val="007D4C9D"/>
    <w:rsid w:val="007D4D7C"/>
    <w:rsid w:val="007D54DB"/>
    <w:rsid w:val="007D5587"/>
    <w:rsid w:val="007D5595"/>
    <w:rsid w:val="007D56A8"/>
    <w:rsid w:val="007D57D0"/>
    <w:rsid w:val="007D5A0A"/>
    <w:rsid w:val="007D626B"/>
    <w:rsid w:val="007D6516"/>
    <w:rsid w:val="007D65F2"/>
    <w:rsid w:val="007D6976"/>
    <w:rsid w:val="007D69ED"/>
    <w:rsid w:val="007D6B75"/>
    <w:rsid w:val="007D6C3A"/>
    <w:rsid w:val="007D6E70"/>
    <w:rsid w:val="007D70D7"/>
    <w:rsid w:val="007E035E"/>
    <w:rsid w:val="007E095A"/>
    <w:rsid w:val="007E095D"/>
    <w:rsid w:val="007E0FF3"/>
    <w:rsid w:val="007E136B"/>
    <w:rsid w:val="007E1FBD"/>
    <w:rsid w:val="007E2184"/>
    <w:rsid w:val="007E23AE"/>
    <w:rsid w:val="007E250A"/>
    <w:rsid w:val="007E2953"/>
    <w:rsid w:val="007E2B6E"/>
    <w:rsid w:val="007E2DE9"/>
    <w:rsid w:val="007E3204"/>
    <w:rsid w:val="007E32B0"/>
    <w:rsid w:val="007E342E"/>
    <w:rsid w:val="007E3615"/>
    <w:rsid w:val="007E3E6A"/>
    <w:rsid w:val="007E4356"/>
    <w:rsid w:val="007E4EF2"/>
    <w:rsid w:val="007E51D5"/>
    <w:rsid w:val="007E5527"/>
    <w:rsid w:val="007E5AFA"/>
    <w:rsid w:val="007E5F9C"/>
    <w:rsid w:val="007E68D9"/>
    <w:rsid w:val="007E6D2A"/>
    <w:rsid w:val="007E6DC5"/>
    <w:rsid w:val="007E6FF6"/>
    <w:rsid w:val="007E705A"/>
    <w:rsid w:val="007E7A7C"/>
    <w:rsid w:val="007E7BF8"/>
    <w:rsid w:val="007F0257"/>
    <w:rsid w:val="007F077D"/>
    <w:rsid w:val="007F087C"/>
    <w:rsid w:val="007F1327"/>
    <w:rsid w:val="007F146E"/>
    <w:rsid w:val="007F16B1"/>
    <w:rsid w:val="007F1D06"/>
    <w:rsid w:val="007F1D1B"/>
    <w:rsid w:val="007F2067"/>
    <w:rsid w:val="007F20F6"/>
    <w:rsid w:val="007F210B"/>
    <w:rsid w:val="007F21F6"/>
    <w:rsid w:val="007F2397"/>
    <w:rsid w:val="007F2522"/>
    <w:rsid w:val="007F2BEA"/>
    <w:rsid w:val="007F329D"/>
    <w:rsid w:val="007F3434"/>
    <w:rsid w:val="007F3A51"/>
    <w:rsid w:val="007F3A61"/>
    <w:rsid w:val="007F3FC1"/>
    <w:rsid w:val="007F4822"/>
    <w:rsid w:val="007F48A2"/>
    <w:rsid w:val="007F48D7"/>
    <w:rsid w:val="007F49F9"/>
    <w:rsid w:val="007F4AD2"/>
    <w:rsid w:val="007F4D01"/>
    <w:rsid w:val="007F4D5D"/>
    <w:rsid w:val="007F4E50"/>
    <w:rsid w:val="007F5272"/>
    <w:rsid w:val="007F56F4"/>
    <w:rsid w:val="007F5907"/>
    <w:rsid w:val="007F5F69"/>
    <w:rsid w:val="007F60CC"/>
    <w:rsid w:val="007F6525"/>
    <w:rsid w:val="007F6890"/>
    <w:rsid w:val="007F68AC"/>
    <w:rsid w:val="007F6A4B"/>
    <w:rsid w:val="007F6AAB"/>
    <w:rsid w:val="007F6AB5"/>
    <w:rsid w:val="007F6D08"/>
    <w:rsid w:val="007F7196"/>
    <w:rsid w:val="007F75D8"/>
    <w:rsid w:val="007F7C8C"/>
    <w:rsid w:val="007F7D60"/>
    <w:rsid w:val="007F7F12"/>
    <w:rsid w:val="007F7F1F"/>
    <w:rsid w:val="007F7F29"/>
    <w:rsid w:val="00800036"/>
    <w:rsid w:val="0080014F"/>
    <w:rsid w:val="008007CC"/>
    <w:rsid w:val="008009E0"/>
    <w:rsid w:val="0080153B"/>
    <w:rsid w:val="008017E2"/>
    <w:rsid w:val="008024B6"/>
    <w:rsid w:val="0080298B"/>
    <w:rsid w:val="00803075"/>
    <w:rsid w:val="0080311B"/>
    <w:rsid w:val="008031C1"/>
    <w:rsid w:val="008032E2"/>
    <w:rsid w:val="0080341B"/>
    <w:rsid w:val="00803A45"/>
    <w:rsid w:val="00803C46"/>
    <w:rsid w:val="008040C2"/>
    <w:rsid w:val="008042F2"/>
    <w:rsid w:val="008045A6"/>
    <w:rsid w:val="0080464F"/>
    <w:rsid w:val="00804C66"/>
    <w:rsid w:val="00804D43"/>
    <w:rsid w:val="00804F1C"/>
    <w:rsid w:val="00806665"/>
    <w:rsid w:val="008066B4"/>
    <w:rsid w:val="0080684A"/>
    <w:rsid w:val="00806C2B"/>
    <w:rsid w:val="00806FF2"/>
    <w:rsid w:val="0080700F"/>
    <w:rsid w:val="0080730E"/>
    <w:rsid w:val="008074AA"/>
    <w:rsid w:val="0080751E"/>
    <w:rsid w:val="0081065C"/>
    <w:rsid w:val="008108D7"/>
    <w:rsid w:val="00810D72"/>
    <w:rsid w:val="00811031"/>
    <w:rsid w:val="008111B9"/>
    <w:rsid w:val="00811302"/>
    <w:rsid w:val="0081154C"/>
    <w:rsid w:val="00811687"/>
    <w:rsid w:val="008117B4"/>
    <w:rsid w:val="00811805"/>
    <w:rsid w:val="008121AF"/>
    <w:rsid w:val="00812D62"/>
    <w:rsid w:val="00813124"/>
    <w:rsid w:val="008134A6"/>
    <w:rsid w:val="008138E5"/>
    <w:rsid w:val="00814342"/>
    <w:rsid w:val="0081486D"/>
    <w:rsid w:val="008154AC"/>
    <w:rsid w:val="00815720"/>
    <w:rsid w:val="008158E2"/>
    <w:rsid w:val="008159F8"/>
    <w:rsid w:val="00815C69"/>
    <w:rsid w:val="00815F51"/>
    <w:rsid w:val="008174F3"/>
    <w:rsid w:val="00817F3D"/>
    <w:rsid w:val="00820444"/>
    <w:rsid w:val="008204B7"/>
    <w:rsid w:val="00820782"/>
    <w:rsid w:val="00821161"/>
    <w:rsid w:val="0082123F"/>
    <w:rsid w:val="008215A4"/>
    <w:rsid w:val="00821B82"/>
    <w:rsid w:val="0082202A"/>
    <w:rsid w:val="008223F2"/>
    <w:rsid w:val="00822439"/>
    <w:rsid w:val="0082272D"/>
    <w:rsid w:val="008227D5"/>
    <w:rsid w:val="00822ADC"/>
    <w:rsid w:val="0082323E"/>
    <w:rsid w:val="00823255"/>
    <w:rsid w:val="0082326A"/>
    <w:rsid w:val="0082326F"/>
    <w:rsid w:val="008236DC"/>
    <w:rsid w:val="00823ED0"/>
    <w:rsid w:val="00823F33"/>
    <w:rsid w:val="00824EF3"/>
    <w:rsid w:val="00824F29"/>
    <w:rsid w:val="00825770"/>
    <w:rsid w:val="0082578E"/>
    <w:rsid w:val="008258CC"/>
    <w:rsid w:val="00825B32"/>
    <w:rsid w:val="00825E21"/>
    <w:rsid w:val="00826021"/>
    <w:rsid w:val="00826075"/>
    <w:rsid w:val="008263A4"/>
    <w:rsid w:val="008264A3"/>
    <w:rsid w:val="00827150"/>
    <w:rsid w:val="008272A4"/>
    <w:rsid w:val="0082766D"/>
    <w:rsid w:val="0082770B"/>
    <w:rsid w:val="00827A29"/>
    <w:rsid w:val="00827A61"/>
    <w:rsid w:val="00827BF7"/>
    <w:rsid w:val="00827C60"/>
    <w:rsid w:val="0083015F"/>
    <w:rsid w:val="008303B8"/>
    <w:rsid w:val="008304E9"/>
    <w:rsid w:val="0083079F"/>
    <w:rsid w:val="00830D36"/>
    <w:rsid w:val="00830F2F"/>
    <w:rsid w:val="0083140E"/>
    <w:rsid w:val="0083159D"/>
    <w:rsid w:val="00831BB6"/>
    <w:rsid w:val="008321BD"/>
    <w:rsid w:val="008326AC"/>
    <w:rsid w:val="00832886"/>
    <w:rsid w:val="00832F59"/>
    <w:rsid w:val="00832F85"/>
    <w:rsid w:val="00833263"/>
    <w:rsid w:val="00833B32"/>
    <w:rsid w:val="00833EB8"/>
    <w:rsid w:val="0083441E"/>
    <w:rsid w:val="00834684"/>
    <w:rsid w:val="00834755"/>
    <w:rsid w:val="008350B3"/>
    <w:rsid w:val="00835639"/>
    <w:rsid w:val="00835B34"/>
    <w:rsid w:val="00835C98"/>
    <w:rsid w:val="00835E12"/>
    <w:rsid w:val="00836717"/>
    <w:rsid w:val="00836C04"/>
    <w:rsid w:val="00836D7C"/>
    <w:rsid w:val="00837026"/>
    <w:rsid w:val="0083703A"/>
    <w:rsid w:val="00837193"/>
    <w:rsid w:val="00837520"/>
    <w:rsid w:val="00837726"/>
    <w:rsid w:val="008379A8"/>
    <w:rsid w:val="00837DAC"/>
    <w:rsid w:val="008403BE"/>
    <w:rsid w:val="00840AA1"/>
    <w:rsid w:val="00841286"/>
    <w:rsid w:val="008413CA"/>
    <w:rsid w:val="0084159F"/>
    <w:rsid w:val="0084187E"/>
    <w:rsid w:val="00841B3B"/>
    <w:rsid w:val="00842220"/>
    <w:rsid w:val="00842368"/>
    <w:rsid w:val="00842966"/>
    <w:rsid w:val="00842A01"/>
    <w:rsid w:val="00842D05"/>
    <w:rsid w:val="00842D68"/>
    <w:rsid w:val="00842EC5"/>
    <w:rsid w:val="0084393C"/>
    <w:rsid w:val="00843A08"/>
    <w:rsid w:val="00843A5B"/>
    <w:rsid w:val="00843A71"/>
    <w:rsid w:val="00843CA8"/>
    <w:rsid w:val="00843DF2"/>
    <w:rsid w:val="00844127"/>
    <w:rsid w:val="0084452F"/>
    <w:rsid w:val="00844CD1"/>
    <w:rsid w:val="00844E51"/>
    <w:rsid w:val="008450BA"/>
    <w:rsid w:val="008457B4"/>
    <w:rsid w:val="00845A1C"/>
    <w:rsid w:val="00845C02"/>
    <w:rsid w:val="00845D46"/>
    <w:rsid w:val="00846310"/>
    <w:rsid w:val="0084645F"/>
    <w:rsid w:val="00846AF0"/>
    <w:rsid w:val="00846CAE"/>
    <w:rsid w:val="00846E25"/>
    <w:rsid w:val="008470E1"/>
    <w:rsid w:val="00847170"/>
    <w:rsid w:val="0084777F"/>
    <w:rsid w:val="00847BA8"/>
    <w:rsid w:val="008505FE"/>
    <w:rsid w:val="0085061F"/>
    <w:rsid w:val="00850AE7"/>
    <w:rsid w:val="00850E26"/>
    <w:rsid w:val="0085182E"/>
    <w:rsid w:val="008519CE"/>
    <w:rsid w:val="00851E12"/>
    <w:rsid w:val="008523CE"/>
    <w:rsid w:val="00852711"/>
    <w:rsid w:val="00852908"/>
    <w:rsid w:val="00852B81"/>
    <w:rsid w:val="00852BC0"/>
    <w:rsid w:val="00852C35"/>
    <w:rsid w:val="0085309E"/>
    <w:rsid w:val="00853640"/>
    <w:rsid w:val="008536A1"/>
    <w:rsid w:val="00853E1E"/>
    <w:rsid w:val="008544C6"/>
    <w:rsid w:val="008545EE"/>
    <w:rsid w:val="0085467E"/>
    <w:rsid w:val="00854EC1"/>
    <w:rsid w:val="00854FF9"/>
    <w:rsid w:val="0085500B"/>
    <w:rsid w:val="00855FF9"/>
    <w:rsid w:val="00856298"/>
    <w:rsid w:val="0085629C"/>
    <w:rsid w:val="00856B47"/>
    <w:rsid w:val="00856F89"/>
    <w:rsid w:val="00857C7E"/>
    <w:rsid w:val="008601E1"/>
    <w:rsid w:val="0086033F"/>
    <w:rsid w:val="00860A8F"/>
    <w:rsid w:val="00860B34"/>
    <w:rsid w:val="00860CAD"/>
    <w:rsid w:val="00861047"/>
    <w:rsid w:val="0086117E"/>
    <w:rsid w:val="0086199B"/>
    <w:rsid w:val="0086278F"/>
    <w:rsid w:val="0086291F"/>
    <w:rsid w:val="008629A5"/>
    <w:rsid w:val="00862FB9"/>
    <w:rsid w:val="008633CA"/>
    <w:rsid w:val="0086342F"/>
    <w:rsid w:val="008638FF"/>
    <w:rsid w:val="00863DFF"/>
    <w:rsid w:val="00863FDB"/>
    <w:rsid w:val="0086407D"/>
    <w:rsid w:val="008649AB"/>
    <w:rsid w:val="00864DC3"/>
    <w:rsid w:val="00864DD4"/>
    <w:rsid w:val="008653C9"/>
    <w:rsid w:val="00865457"/>
    <w:rsid w:val="008655C0"/>
    <w:rsid w:val="00866132"/>
    <w:rsid w:val="00866349"/>
    <w:rsid w:val="008665D0"/>
    <w:rsid w:val="008668F0"/>
    <w:rsid w:val="00866D12"/>
    <w:rsid w:val="00866F49"/>
    <w:rsid w:val="00866FC7"/>
    <w:rsid w:val="00867103"/>
    <w:rsid w:val="00867213"/>
    <w:rsid w:val="0086741D"/>
    <w:rsid w:val="00867677"/>
    <w:rsid w:val="0086770F"/>
    <w:rsid w:val="0086783E"/>
    <w:rsid w:val="00867A89"/>
    <w:rsid w:val="00867D3C"/>
    <w:rsid w:val="00867F70"/>
    <w:rsid w:val="00870942"/>
    <w:rsid w:val="0087100B"/>
    <w:rsid w:val="00871314"/>
    <w:rsid w:val="00871352"/>
    <w:rsid w:val="008715D7"/>
    <w:rsid w:val="008716E4"/>
    <w:rsid w:val="00871964"/>
    <w:rsid w:val="008719E2"/>
    <w:rsid w:val="00871AC4"/>
    <w:rsid w:val="00871EF1"/>
    <w:rsid w:val="00871F96"/>
    <w:rsid w:val="00871FBE"/>
    <w:rsid w:val="00872050"/>
    <w:rsid w:val="0087247F"/>
    <w:rsid w:val="00872F1A"/>
    <w:rsid w:val="0087321E"/>
    <w:rsid w:val="00873973"/>
    <w:rsid w:val="00873A30"/>
    <w:rsid w:val="00873D48"/>
    <w:rsid w:val="00874535"/>
    <w:rsid w:val="00874660"/>
    <w:rsid w:val="0087468B"/>
    <w:rsid w:val="008746CA"/>
    <w:rsid w:val="00874A80"/>
    <w:rsid w:val="00874E78"/>
    <w:rsid w:val="00874F7F"/>
    <w:rsid w:val="00874FF3"/>
    <w:rsid w:val="008751C0"/>
    <w:rsid w:val="00875A4C"/>
    <w:rsid w:val="00875F17"/>
    <w:rsid w:val="00875FC1"/>
    <w:rsid w:val="0087652A"/>
    <w:rsid w:val="00876698"/>
    <w:rsid w:val="008766D7"/>
    <w:rsid w:val="00876CEA"/>
    <w:rsid w:val="00877208"/>
    <w:rsid w:val="008775AC"/>
    <w:rsid w:val="00877AAC"/>
    <w:rsid w:val="00877D3C"/>
    <w:rsid w:val="00877DDC"/>
    <w:rsid w:val="00877E9E"/>
    <w:rsid w:val="0088003B"/>
    <w:rsid w:val="00880336"/>
    <w:rsid w:val="008803B3"/>
    <w:rsid w:val="0088059C"/>
    <w:rsid w:val="0088087C"/>
    <w:rsid w:val="00880F94"/>
    <w:rsid w:val="0088187C"/>
    <w:rsid w:val="00882776"/>
    <w:rsid w:val="00882956"/>
    <w:rsid w:val="00882991"/>
    <w:rsid w:val="00882E58"/>
    <w:rsid w:val="00883331"/>
    <w:rsid w:val="008835AE"/>
    <w:rsid w:val="00883733"/>
    <w:rsid w:val="00883AC0"/>
    <w:rsid w:val="00883C3C"/>
    <w:rsid w:val="00883D34"/>
    <w:rsid w:val="008843DE"/>
    <w:rsid w:val="00884676"/>
    <w:rsid w:val="008849EC"/>
    <w:rsid w:val="00884F26"/>
    <w:rsid w:val="008852BC"/>
    <w:rsid w:val="0088572C"/>
    <w:rsid w:val="00885CDA"/>
    <w:rsid w:val="00885CFE"/>
    <w:rsid w:val="008864F7"/>
    <w:rsid w:val="0088658E"/>
    <w:rsid w:val="008865CB"/>
    <w:rsid w:val="00886692"/>
    <w:rsid w:val="00886E35"/>
    <w:rsid w:val="008875C2"/>
    <w:rsid w:val="00887685"/>
    <w:rsid w:val="00887A1F"/>
    <w:rsid w:val="00890456"/>
    <w:rsid w:val="0089077E"/>
    <w:rsid w:val="00890B9C"/>
    <w:rsid w:val="00890BBF"/>
    <w:rsid w:val="008910FF"/>
    <w:rsid w:val="008919E5"/>
    <w:rsid w:val="008919F5"/>
    <w:rsid w:val="00891A4F"/>
    <w:rsid w:val="008920BF"/>
    <w:rsid w:val="008924A7"/>
    <w:rsid w:val="00892508"/>
    <w:rsid w:val="00892B94"/>
    <w:rsid w:val="00892C45"/>
    <w:rsid w:val="0089316F"/>
    <w:rsid w:val="008934C1"/>
    <w:rsid w:val="00893759"/>
    <w:rsid w:val="00893A57"/>
    <w:rsid w:val="00893AF3"/>
    <w:rsid w:val="00893B86"/>
    <w:rsid w:val="00894498"/>
    <w:rsid w:val="008946FE"/>
    <w:rsid w:val="00894D0B"/>
    <w:rsid w:val="008951C7"/>
    <w:rsid w:val="008957F3"/>
    <w:rsid w:val="0089644A"/>
    <w:rsid w:val="008965EC"/>
    <w:rsid w:val="00896E55"/>
    <w:rsid w:val="008978EF"/>
    <w:rsid w:val="00897A37"/>
    <w:rsid w:val="00897DA1"/>
    <w:rsid w:val="00897F6C"/>
    <w:rsid w:val="008A0021"/>
    <w:rsid w:val="008A08C9"/>
    <w:rsid w:val="008A0C95"/>
    <w:rsid w:val="008A1015"/>
    <w:rsid w:val="008A1312"/>
    <w:rsid w:val="008A1A3D"/>
    <w:rsid w:val="008A1F02"/>
    <w:rsid w:val="008A20A2"/>
    <w:rsid w:val="008A21A5"/>
    <w:rsid w:val="008A21F7"/>
    <w:rsid w:val="008A2309"/>
    <w:rsid w:val="008A24DE"/>
    <w:rsid w:val="008A253A"/>
    <w:rsid w:val="008A2981"/>
    <w:rsid w:val="008A3494"/>
    <w:rsid w:val="008A36D8"/>
    <w:rsid w:val="008A36F0"/>
    <w:rsid w:val="008A3D99"/>
    <w:rsid w:val="008A40CC"/>
    <w:rsid w:val="008A42C5"/>
    <w:rsid w:val="008A43E1"/>
    <w:rsid w:val="008A4C23"/>
    <w:rsid w:val="008A507F"/>
    <w:rsid w:val="008A5510"/>
    <w:rsid w:val="008A564F"/>
    <w:rsid w:val="008A5C27"/>
    <w:rsid w:val="008A61F9"/>
    <w:rsid w:val="008A622B"/>
    <w:rsid w:val="008A66E7"/>
    <w:rsid w:val="008A6738"/>
    <w:rsid w:val="008A7535"/>
    <w:rsid w:val="008A7744"/>
    <w:rsid w:val="008B013B"/>
    <w:rsid w:val="008B045E"/>
    <w:rsid w:val="008B048F"/>
    <w:rsid w:val="008B04E2"/>
    <w:rsid w:val="008B0B0C"/>
    <w:rsid w:val="008B0B22"/>
    <w:rsid w:val="008B0B90"/>
    <w:rsid w:val="008B0C57"/>
    <w:rsid w:val="008B1112"/>
    <w:rsid w:val="008B1675"/>
    <w:rsid w:val="008B19AE"/>
    <w:rsid w:val="008B1D86"/>
    <w:rsid w:val="008B1FF7"/>
    <w:rsid w:val="008B220D"/>
    <w:rsid w:val="008B237D"/>
    <w:rsid w:val="008B295C"/>
    <w:rsid w:val="008B2A75"/>
    <w:rsid w:val="008B2BAF"/>
    <w:rsid w:val="008B2C69"/>
    <w:rsid w:val="008B303F"/>
    <w:rsid w:val="008B4362"/>
    <w:rsid w:val="008B4511"/>
    <w:rsid w:val="008B4884"/>
    <w:rsid w:val="008B4A11"/>
    <w:rsid w:val="008B528A"/>
    <w:rsid w:val="008B5D0A"/>
    <w:rsid w:val="008B6167"/>
    <w:rsid w:val="008B61BA"/>
    <w:rsid w:val="008B61F6"/>
    <w:rsid w:val="008B6B58"/>
    <w:rsid w:val="008B739D"/>
    <w:rsid w:val="008B7B4F"/>
    <w:rsid w:val="008C0238"/>
    <w:rsid w:val="008C03D0"/>
    <w:rsid w:val="008C068E"/>
    <w:rsid w:val="008C1199"/>
    <w:rsid w:val="008C122D"/>
    <w:rsid w:val="008C165F"/>
    <w:rsid w:val="008C1734"/>
    <w:rsid w:val="008C177C"/>
    <w:rsid w:val="008C1C60"/>
    <w:rsid w:val="008C1E34"/>
    <w:rsid w:val="008C25FA"/>
    <w:rsid w:val="008C290F"/>
    <w:rsid w:val="008C2BA2"/>
    <w:rsid w:val="008C30C7"/>
    <w:rsid w:val="008C3950"/>
    <w:rsid w:val="008C3B9C"/>
    <w:rsid w:val="008C3CCA"/>
    <w:rsid w:val="008C4480"/>
    <w:rsid w:val="008C44D9"/>
    <w:rsid w:val="008C4973"/>
    <w:rsid w:val="008C4F78"/>
    <w:rsid w:val="008C5307"/>
    <w:rsid w:val="008C544B"/>
    <w:rsid w:val="008C58F3"/>
    <w:rsid w:val="008C5944"/>
    <w:rsid w:val="008C5D19"/>
    <w:rsid w:val="008C604B"/>
    <w:rsid w:val="008C618E"/>
    <w:rsid w:val="008C62E7"/>
    <w:rsid w:val="008C640E"/>
    <w:rsid w:val="008C674F"/>
    <w:rsid w:val="008C7174"/>
    <w:rsid w:val="008C7969"/>
    <w:rsid w:val="008C7A88"/>
    <w:rsid w:val="008C7C74"/>
    <w:rsid w:val="008C7D7B"/>
    <w:rsid w:val="008C7FD5"/>
    <w:rsid w:val="008D042E"/>
    <w:rsid w:val="008D05AA"/>
    <w:rsid w:val="008D0C02"/>
    <w:rsid w:val="008D0DA5"/>
    <w:rsid w:val="008D157B"/>
    <w:rsid w:val="008D1972"/>
    <w:rsid w:val="008D1CBB"/>
    <w:rsid w:val="008D1FB6"/>
    <w:rsid w:val="008D2C85"/>
    <w:rsid w:val="008D2CB6"/>
    <w:rsid w:val="008D308B"/>
    <w:rsid w:val="008D30C9"/>
    <w:rsid w:val="008D34B0"/>
    <w:rsid w:val="008D34B9"/>
    <w:rsid w:val="008D3AEC"/>
    <w:rsid w:val="008D3F6E"/>
    <w:rsid w:val="008D51FA"/>
    <w:rsid w:val="008D5C12"/>
    <w:rsid w:val="008D5C36"/>
    <w:rsid w:val="008D5C80"/>
    <w:rsid w:val="008D5F24"/>
    <w:rsid w:val="008D60C4"/>
    <w:rsid w:val="008D6100"/>
    <w:rsid w:val="008D6265"/>
    <w:rsid w:val="008D714B"/>
    <w:rsid w:val="008D7A1D"/>
    <w:rsid w:val="008D7F27"/>
    <w:rsid w:val="008D8244"/>
    <w:rsid w:val="008DBDCF"/>
    <w:rsid w:val="008DF01F"/>
    <w:rsid w:val="008E0AB4"/>
    <w:rsid w:val="008E0F35"/>
    <w:rsid w:val="008E0FAB"/>
    <w:rsid w:val="008E10CD"/>
    <w:rsid w:val="008E1D9C"/>
    <w:rsid w:val="008E1DE3"/>
    <w:rsid w:val="008E2160"/>
    <w:rsid w:val="008E251A"/>
    <w:rsid w:val="008E2536"/>
    <w:rsid w:val="008E371E"/>
    <w:rsid w:val="008E3A4B"/>
    <w:rsid w:val="008E4091"/>
    <w:rsid w:val="008E4404"/>
    <w:rsid w:val="008E49FC"/>
    <w:rsid w:val="008E52A0"/>
    <w:rsid w:val="008E53C4"/>
    <w:rsid w:val="008E5530"/>
    <w:rsid w:val="008E5551"/>
    <w:rsid w:val="008E5747"/>
    <w:rsid w:val="008E5EAC"/>
    <w:rsid w:val="008E60E0"/>
    <w:rsid w:val="008E6256"/>
    <w:rsid w:val="008E70A3"/>
    <w:rsid w:val="008E7271"/>
    <w:rsid w:val="008E754B"/>
    <w:rsid w:val="008E7EA2"/>
    <w:rsid w:val="008F00B6"/>
    <w:rsid w:val="008F06EB"/>
    <w:rsid w:val="008F0706"/>
    <w:rsid w:val="008F076E"/>
    <w:rsid w:val="008F0C16"/>
    <w:rsid w:val="008F0DF4"/>
    <w:rsid w:val="008F0E4F"/>
    <w:rsid w:val="008F0FCF"/>
    <w:rsid w:val="008F19CC"/>
    <w:rsid w:val="008F1B0E"/>
    <w:rsid w:val="008F2050"/>
    <w:rsid w:val="008F2633"/>
    <w:rsid w:val="008F27FA"/>
    <w:rsid w:val="008F2A18"/>
    <w:rsid w:val="008F2C36"/>
    <w:rsid w:val="008F2C82"/>
    <w:rsid w:val="008F35CC"/>
    <w:rsid w:val="008F370A"/>
    <w:rsid w:val="008F377B"/>
    <w:rsid w:val="008F37DE"/>
    <w:rsid w:val="008F3AD5"/>
    <w:rsid w:val="008F3D63"/>
    <w:rsid w:val="008F3ED5"/>
    <w:rsid w:val="008F3EDE"/>
    <w:rsid w:val="008F4653"/>
    <w:rsid w:val="008F5163"/>
    <w:rsid w:val="008F5F0F"/>
    <w:rsid w:val="008F6112"/>
    <w:rsid w:val="008F615E"/>
    <w:rsid w:val="008F69C7"/>
    <w:rsid w:val="008F6D9E"/>
    <w:rsid w:val="008F70A9"/>
    <w:rsid w:val="008F72F4"/>
    <w:rsid w:val="008F7412"/>
    <w:rsid w:val="008F7819"/>
    <w:rsid w:val="008F7884"/>
    <w:rsid w:val="008F78A8"/>
    <w:rsid w:val="008F7BE8"/>
    <w:rsid w:val="009008DD"/>
    <w:rsid w:val="00900A24"/>
    <w:rsid w:val="00900AEB"/>
    <w:rsid w:val="00900D8D"/>
    <w:rsid w:val="00900FBF"/>
    <w:rsid w:val="00901198"/>
    <w:rsid w:val="00901241"/>
    <w:rsid w:val="0090182B"/>
    <w:rsid w:val="00901B4F"/>
    <w:rsid w:val="00901C2A"/>
    <w:rsid w:val="00901DA6"/>
    <w:rsid w:val="00901FD4"/>
    <w:rsid w:val="009020A1"/>
    <w:rsid w:val="009027DE"/>
    <w:rsid w:val="00902DF1"/>
    <w:rsid w:val="00902F35"/>
    <w:rsid w:val="00903148"/>
    <w:rsid w:val="00903477"/>
    <w:rsid w:val="00903859"/>
    <w:rsid w:val="00904083"/>
    <w:rsid w:val="00904314"/>
    <w:rsid w:val="009043CD"/>
    <w:rsid w:val="0090473F"/>
    <w:rsid w:val="00904793"/>
    <w:rsid w:val="00904BF8"/>
    <w:rsid w:val="00905341"/>
    <w:rsid w:val="00905776"/>
    <w:rsid w:val="0090584A"/>
    <w:rsid w:val="00905A5F"/>
    <w:rsid w:val="00905ADA"/>
    <w:rsid w:val="00905AEF"/>
    <w:rsid w:val="00905BF6"/>
    <w:rsid w:val="00906291"/>
    <w:rsid w:val="00906470"/>
    <w:rsid w:val="0090669F"/>
    <w:rsid w:val="00907645"/>
    <w:rsid w:val="00907855"/>
    <w:rsid w:val="00907912"/>
    <w:rsid w:val="00907D56"/>
    <w:rsid w:val="0090F87A"/>
    <w:rsid w:val="0091000D"/>
    <w:rsid w:val="009100D4"/>
    <w:rsid w:val="00910275"/>
    <w:rsid w:val="009104FE"/>
    <w:rsid w:val="00910598"/>
    <w:rsid w:val="009112BF"/>
    <w:rsid w:val="00911312"/>
    <w:rsid w:val="009114D6"/>
    <w:rsid w:val="00911624"/>
    <w:rsid w:val="00911C07"/>
    <w:rsid w:val="00911E0C"/>
    <w:rsid w:val="00912277"/>
    <w:rsid w:val="00912782"/>
    <w:rsid w:val="00913026"/>
    <w:rsid w:val="0091318B"/>
    <w:rsid w:val="00913682"/>
    <w:rsid w:val="00913808"/>
    <w:rsid w:val="00913964"/>
    <w:rsid w:val="00913FC6"/>
    <w:rsid w:val="009140F7"/>
    <w:rsid w:val="009142BA"/>
    <w:rsid w:val="00914768"/>
    <w:rsid w:val="009149BA"/>
    <w:rsid w:val="00914DE0"/>
    <w:rsid w:val="00915773"/>
    <w:rsid w:val="009158C0"/>
    <w:rsid w:val="00915B4E"/>
    <w:rsid w:val="00916A0B"/>
    <w:rsid w:val="00917304"/>
    <w:rsid w:val="009177A2"/>
    <w:rsid w:val="009202EB"/>
    <w:rsid w:val="0092035D"/>
    <w:rsid w:val="00920366"/>
    <w:rsid w:val="009203F8"/>
    <w:rsid w:val="0092050B"/>
    <w:rsid w:val="0092074C"/>
    <w:rsid w:val="00920A53"/>
    <w:rsid w:val="00921606"/>
    <w:rsid w:val="009216DC"/>
    <w:rsid w:val="00921B71"/>
    <w:rsid w:val="00921BA9"/>
    <w:rsid w:val="00921BB1"/>
    <w:rsid w:val="00921C44"/>
    <w:rsid w:val="00921DAC"/>
    <w:rsid w:val="00921F88"/>
    <w:rsid w:val="00922448"/>
    <w:rsid w:val="009227E4"/>
    <w:rsid w:val="00922A6B"/>
    <w:rsid w:val="00922F99"/>
    <w:rsid w:val="009236A0"/>
    <w:rsid w:val="00923839"/>
    <w:rsid w:val="009238B9"/>
    <w:rsid w:val="00923BBD"/>
    <w:rsid w:val="00923E6E"/>
    <w:rsid w:val="00923F14"/>
    <w:rsid w:val="00923FAF"/>
    <w:rsid w:val="009241F8"/>
    <w:rsid w:val="00924251"/>
    <w:rsid w:val="00924DF4"/>
    <w:rsid w:val="00924EF9"/>
    <w:rsid w:val="00924F81"/>
    <w:rsid w:val="009259D5"/>
    <w:rsid w:val="00925DBF"/>
    <w:rsid w:val="00925DE1"/>
    <w:rsid w:val="00925ED3"/>
    <w:rsid w:val="009261E3"/>
    <w:rsid w:val="009262C0"/>
    <w:rsid w:val="00926465"/>
    <w:rsid w:val="00926B51"/>
    <w:rsid w:val="0092753E"/>
    <w:rsid w:val="0092794F"/>
    <w:rsid w:val="0093004F"/>
    <w:rsid w:val="00930136"/>
    <w:rsid w:val="00930368"/>
    <w:rsid w:val="00930E93"/>
    <w:rsid w:val="00930F27"/>
    <w:rsid w:val="00930F96"/>
    <w:rsid w:val="00931038"/>
    <w:rsid w:val="0093138D"/>
    <w:rsid w:val="009319DC"/>
    <w:rsid w:val="00931B8E"/>
    <w:rsid w:val="00931D3C"/>
    <w:rsid w:val="00931E14"/>
    <w:rsid w:val="00931EAB"/>
    <w:rsid w:val="009320ED"/>
    <w:rsid w:val="00932305"/>
    <w:rsid w:val="009323E9"/>
    <w:rsid w:val="00932821"/>
    <w:rsid w:val="00932D41"/>
    <w:rsid w:val="00933C25"/>
    <w:rsid w:val="0093447D"/>
    <w:rsid w:val="009346B0"/>
    <w:rsid w:val="0093481B"/>
    <w:rsid w:val="00935309"/>
    <w:rsid w:val="0093551B"/>
    <w:rsid w:val="00935A77"/>
    <w:rsid w:val="00935C2E"/>
    <w:rsid w:val="00935EDC"/>
    <w:rsid w:val="00935FF3"/>
    <w:rsid w:val="00936021"/>
    <w:rsid w:val="009362A3"/>
    <w:rsid w:val="009364C4"/>
    <w:rsid w:val="0093658C"/>
    <w:rsid w:val="00936625"/>
    <w:rsid w:val="00936E10"/>
    <w:rsid w:val="00938F3D"/>
    <w:rsid w:val="009404E6"/>
    <w:rsid w:val="00940716"/>
    <w:rsid w:val="00940739"/>
    <w:rsid w:val="0094082C"/>
    <w:rsid w:val="009408BA"/>
    <w:rsid w:val="00940C13"/>
    <w:rsid w:val="00940CC6"/>
    <w:rsid w:val="009410E1"/>
    <w:rsid w:val="00941378"/>
    <w:rsid w:val="009416EE"/>
    <w:rsid w:val="00941A5B"/>
    <w:rsid w:val="00941BE9"/>
    <w:rsid w:val="00942AFB"/>
    <w:rsid w:val="00942B38"/>
    <w:rsid w:val="009437AC"/>
    <w:rsid w:val="00943839"/>
    <w:rsid w:val="009439F4"/>
    <w:rsid w:val="00943E30"/>
    <w:rsid w:val="00944623"/>
    <w:rsid w:val="0094483D"/>
    <w:rsid w:val="00945067"/>
    <w:rsid w:val="009450D0"/>
    <w:rsid w:val="00945A22"/>
    <w:rsid w:val="00945C8E"/>
    <w:rsid w:val="00945FC0"/>
    <w:rsid w:val="009461F5"/>
    <w:rsid w:val="009463FF"/>
    <w:rsid w:val="00947D2E"/>
    <w:rsid w:val="00950358"/>
    <w:rsid w:val="00950AD6"/>
    <w:rsid w:val="00950AEA"/>
    <w:rsid w:val="00950BFC"/>
    <w:rsid w:val="00950E00"/>
    <w:rsid w:val="009515B4"/>
    <w:rsid w:val="0095209B"/>
    <w:rsid w:val="009522D7"/>
    <w:rsid w:val="0095262B"/>
    <w:rsid w:val="009527A9"/>
    <w:rsid w:val="00952F44"/>
    <w:rsid w:val="00952F71"/>
    <w:rsid w:val="009530BD"/>
    <w:rsid w:val="00953168"/>
    <w:rsid w:val="00953504"/>
    <w:rsid w:val="00954060"/>
    <w:rsid w:val="009549B6"/>
    <w:rsid w:val="00954A78"/>
    <w:rsid w:val="00954BF2"/>
    <w:rsid w:val="00955543"/>
    <w:rsid w:val="00955E2D"/>
    <w:rsid w:val="009561AD"/>
    <w:rsid w:val="00956AC9"/>
    <w:rsid w:val="00956F6F"/>
    <w:rsid w:val="00957537"/>
    <w:rsid w:val="009579F4"/>
    <w:rsid w:val="00957AEE"/>
    <w:rsid w:val="00957BFB"/>
    <w:rsid w:val="00957F1D"/>
    <w:rsid w:val="00960FC0"/>
    <w:rsid w:val="00961591"/>
    <w:rsid w:val="00961BF3"/>
    <w:rsid w:val="009624CA"/>
    <w:rsid w:val="00963236"/>
    <w:rsid w:val="009632E6"/>
    <w:rsid w:val="0096346E"/>
    <w:rsid w:val="00963646"/>
    <w:rsid w:val="009636AE"/>
    <w:rsid w:val="00963BA1"/>
    <w:rsid w:val="00963C76"/>
    <w:rsid w:val="0096449C"/>
    <w:rsid w:val="009647ED"/>
    <w:rsid w:val="009649CB"/>
    <w:rsid w:val="00964AC0"/>
    <w:rsid w:val="00964D63"/>
    <w:rsid w:val="00965A10"/>
    <w:rsid w:val="00965BE8"/>
    <w:rsid w:val="009666F8"/>
    <w:rsid w:val="009669B5"/>
    <w:rsid w:val="00966A62"/>
    <w:rsid w:val="00966C98"/>
    <w:rsid w:val="00966F9C"/>
    <w:rsid w:val="00966FD4"/>
    <w:rsid w:val="00967172"/>
    <w:rsid w:val="0096780A"/>
    <w:rsid w:val="00967AEE"/>
    <w:rsid w:val="00967DFE"/>
    <w:rsid w:val="00970089"/>
    <w:rsid w:val="0097042F"/>
    <w:rsid w:val="0097044D"/>
    <w:rsid w:val="00970BF9"/>
    <w:rsid w:val="00970D71"/>
    <w:rsid w:val="00971066"/>
    <w:rsid w:val="00971667"/>
    <w:rsid w:val="0097178B"/>
    <w:rsid w:val="0097190F"/>
    <w:rsid w:val="00971937"/>
    <w:rsid w:val="0097243A"/>
    <w:rsid w:val="00973525"/>
    <w:rsid w:val="00973597"/>
    <w:rsid w:val="00973608"/>
    <w:rsid w:val="009737D1"/>
    <w:rsid w:val="009738E3"/>
    <w:rsid w:val="009739A8"/>
    <w:rsid w:val="00973A33"/>
    <w:rsid w:val="00973BDD"/>
    <w:rsid w:val="00973FDB"/>
    <w:rsid w:val="00973FEA"/>
    <w:rsid w:val="009741B2"/>
    <w:rsid w:val="009745B7"/>
    <w:rsid w:val="009746B8"/>
    <w:rsid w:val="00974D23"/>
    <w:rsid w:val="00974E07"/>
    <w:rsid w:val="00974F35"/>
    <w:rsid w:val="00974F41"/>
    <w:rsid w:val="00975006"/>
    <w:rsid w:val="0097516D"/>
    <w:rsid w:val="00975D25"/>
    <w:rsid w:val="00976F13"/>
    <w:rsid w:val="00976FD7"/>
    <w:rsid w:val="009779BC"/>
    <w:rsid w:val="00980114"/>
    <w:rsid w:val="009803C6"/>
    <w:rsid w:val="009809A5"/>
    <w:rsid w:val="00980BDA"/>
    <w:rsid w:val="009810ED"/>
    <w:rsid w:val="009812FB"/>
    <w:rsid w:val="00981599"/>
    <w:rsid w:val="009827BC"/>
    <w:rsid w:val="00982839"/>
    <w:rsid w:val="00982BDD"/>
    <w:rsid w:val="00982C06"/>
    <w:rsid w:val="00982CA3"/>
    <w:rsid w:val="00983139"/>
    <w:rsid w:val="00983486"/>
    <w:rsid w:val="0098381A"/>
    <w:rsid w:val="0098382B"/>
    <w:rsid w:val="00983AFA"/>
    <w:rsid w:val="00983C7D"/>
    <w:rsid w:val="00983F25"/>
    <w:rsid w:val="00983FC6"/>
    <w:rsid w:val="00984039"/>
    <w:rsid w:val="00985350"/>
    <w:rsid w:val="009856C0"/>
    <w:rsid w:val="00985780"/>
    <w:rsid w:val="00985E32"/>
    <w:rsid w:val="0098604A"/>
    <w:rsid w:val="00986A80"/>
    <w:rsid w:val="00986C48"/>
    <w:rsid w:val="00987AA2"/>
    <w:rsid w:val="009903D1"/>
    <w:rsid w:val="0099064F"/>
    <w:rsid w:val="00992231"/>
    <w:rsid w:val="009925DC"/>
    <w:rsid w:val="0099263D"/>
    <w:rsid w:val="00992A33"/>
    <w:rsid w:val="00992B38"/>
    <w:rsid w:val="00993026"/>
    <w:rsid w:val="00993C63"/>
    <w:rsid w:val="00993D31"/>
    <w:rsid w:val="00993DA0"/>
    <w:rsid w:val="00993DF1"/>
    <w:rsid w:val="00994402"/>
    <w:rsid w:val="00994805"/>
    <w:rsid w:val="00994C56"/>
    <w:rsid w:val="00994DBE"/>
    <w:rsid w:val="009958CE"/>
    <w:rsid w:val="00996667"/>
    <w:rsid w:val="009969C1"/>
    <w:rsid w:val="00997034"/>
    <w:rsid w:val="009971CB"/>
    <w:rsid w:val="00997386"/>
    <w:rsid w:val="00997D7F"/>
    <w:rsid w:val="009A0009"/>
    <w:rsid w:val="009A012D"/>
    <w:rsid w:val="009A0CF2"/>
    <w:rsid w:val="009A10C6"/>
    <w:rsid w:val="009A1536"/>
    <w:rsid w:val="009A1756"/>
    <w:rsid w:val="009A1D82"/>
    <w:rsid w:val="009A1E0C"/>
    <w:rsid w:val="009A2150"/>
    <w:rsid w:val="009A2400"/>
    <w:rsid w:val="009A27C5"/>
    <w:rsid w:val="009A31CE"/>
    <w:rsid w:val="009A33AE"/>
    <w:rsid w:val="009A3F05"/>
    <w:rsid w:val="009A3F5A"/>
    <w:rsid w:val="009A43A3"/>
    <w:rsid w:val="009A447B"/>
    <w:rsid w:val="009A4962"/>
    <w:rsid w:val="009A4EAC"/>
    <w:rsid w:val="009A56FD"/>
    <w:rsid w:val="009A5C8B"/>
    <w:rsid w:val="009A5DFA"/>
    <w:rsid w:val="009A60B3"/>
    <w:rsid w:val="009A64C6"/>
    <w:rsid w:val="009A6B2E"/>
    <w:rsid w:val="009A6C12"/>
    <w:rsid w:val="009A6C6F"/>
    <w:rsid w:val="009A6CE6"/>
    <w:rsid w:val="009A6D2A"/>
    <w:rsid w:val="009A6FCA"/>
    <w:rsid w:val="009A7513"/>
    <w:rsid w:val="009A7649"/>
    <w:rsid w:val="009A7C02"/>
    <w:rsid w:val="009A7C1B"/>
    <w:rsid w:val="009B1367"/>
    <w:rsid w:val="009B1794"/>
    <w:rsid w:val="009B2142"/>
    <w:rsid w:val="009B246F"/>
    <w:rsid w:val="009B2D80"/>
    <w:rsid w:val="009B3297"/>
    <w:rsid w:val="009B3B71"/>
    <w:rsid w:val="009B3D73"/>
    <w:rsid w:val="009B4229"/>
    <w:rsid w:val="009B457B"/>
    <w:rsid w:val="009B4708"/>
    <w:rsid w:val="009B4749"/>
    <w:rsid w:val="009B4B8A"/>
    <w:rsid w:val="009B4DC0"/>
    <w:rsid w:val="009B4FEC"/>
    <w:rsid w:val="009B5164"/>
    <w:rsid w:val="009B523C"/>
    <w:rsid w:val="009B562D"/>
    <w:rsid w:val="009B61E2"/>
    <w:rsid w:val="009B66F2"/>
    <w:rsid w:val="009B6CD9"/>
    <w:rsid w:val="009B6F6D"/>
    <w:rsid w:val="009B796E"/>
    <w:rsid w:val="009B7C12"/>
    <w:rsid w:val="009B7CB9"/>
    <w:rsid w:val="009C02CE"/>
    <w:rsid w:val="009C0615"/>
    <w:rsid w:val="009C08B5"/>
    <w:rsid w:val="009C0BA3"/>
    <w:rsid w:val="009C151D"/>
    <w:rsid w:val="009C15F2"/>
    <w:rsid w:val="009C19B6"/>
    <w:rsid w:val="009C1C37"/>
    <w:rsid w:val="009C1D0B"/>
    <w:rsid w:val="009C225C"/>
    <w:rsid w:val="009C2607"/>
    <w:rsid w:val="009C2CF8"/>
    <w:rsid w:val="009C30A7"/>
    <w:rsid w:val="009C31A6"/>
    <w:rsid w:val="009C3302"/>
    <w:rsid w:val="009C343B"/>
    <w:rsid w:val="009C3688"/>
    <w:rsid w:val="009C3988"/>
    <w:rsid w:val="009C3E4F"/>
    <w:rsid w:val="009C418E"/>
    <w:rsid w:val="009C4364"/>
    <w:rsid w:val="009C440C"/>
    <w:rsid w:val="009C4589"/>
    <w:rsid w:val="009C4830"/>
    <w:rsid w:val="009C485B"/>
    <w:rsid w:val="009C4932"/>
    <w:rsid w:val="009C498A"/>
    <w:rsid w:val="009C4A37"/>
    <w:rsid w:val="009C5214"/>
    <w:rsid w:val="009C52FA"/>
    <w:rsid w:val="009C53DA"/>
    <w:rsid w:val="009C59C4"/>
    <w:rsid w:val="009C5BFF"/>
    <w:rsid w:val="009C5DB1"/>
    <w:rsid w:val="009C64B7"/>
    <w:rsid w:val="009C6845"/>
    <w:rsid w:val="009C6F6E"/>
    <w:rsid w:val="009C7133"/>
    <w:rsid w:val="009C7AB0"/>
    <w:rsid w:val="009C7D21"/>
    <w:rsid w:val="009C7DBC"/>
    <w:rsid w:val="009D0712"/>
    <w:rsid w:val="009D078E"/>
    <w:rsid w:val="009D0914"/>
    <w:rsid w:val="009D0987"/>
    <w:rsid w:val="009D0ADB"/>
    <w:rsid w:val="009D0BED"/>
    <w:rsid w:val="009D0ED2"/>
    <w:rsid w:val="009D1172"/>
    <w:rsid w:val="009D1232"/>
    <w:rsid w:val="009D1484"/>
    <w:rsid w:val="009D14D2"/>
    <w:rsid w:val="009D19E4"/>
    <w:rsid w:val="009D1B33"/>
    <w:rsid w:val="009D2282"/>
    <w:rsid w:val="009D22E7"/>
    <w:rsid w:val="009D2589"/>
    <w:rsid w:val="009D26CB"/>
    <w:rsid w:val="009D28C4"/>
    <w:rsid w:val="009D2937"/>
    <w:rsid w:val="009D325D"/>
    <w:rsid w:val="009D3427"/>
    <w:rsid w:val="009D42C0"/>
    <w:rsid w:val="009D443D"/>
    <w:rsid w:val="009D44E0"/>
    <w:rsid w:val="009D4692"/>
    <w:rsid w:val="009D4CF4"/>
    <w:rsid w:val="009D4D5F"/>
    <w:rsid w:val="009D4FC6"/>
    <w:rsid w:val="009D5027"/>
    <w:rsid w:val="009D5816"/>
    <w:rsid w:val="009D5E26"/>
    <w:rsid w:val="009D5FFF"/>
    <w:rsid w:val="009D60B9"/>
    <w:rsid w:val="009D6425"/>
    <w:rsid w:val="009D6756"/>
    <w:rsid w:val="009D678A"/>
    <w:rsid w:val="009D679C"/>
    <w:rsid w:val="009D740C"/>
    <w:rsid w:val="009D78DE"/>
    <w:rsid w:val="009D7AD5"/>
    <w:rsid w:val="009E0415"/>
    <w:rsid w:val="009E04E2"/>
    <w:rsid w:val="009E05E8"/>
    <w:rsid w:val="009E07EE"/>
    <w:rsid w:val="009E0A92"/>
    <w:rsid w:val="009E0FF0"/>
    <w:rsid w:val="009E1454"/>
    <w:rsid w:val="009E1B57"/>
    <w:rsid w:val="009E1BC2"/>
    <w:rsid w:val="009E1CE7"/>
    <w:rsid w:val="009E1DCE"/>
    <w:rsid w:val="009E2761"/>
    <w:rsid w:val="009E27BB"/>
    <w:rsid w:val="009E2F2A"/>
    <w:rsid w:val="009E2FA0"/>
    <w:rsid w:val="009E3044"/>
    <w:rsid w:val="009E3544"/>
    <w:rsid w:val="009E35AF"/>
    <w:rsid w:val="009E37C8"/>
    <w:rsid w:val="009E3991"/>
    <w:rsid w:val="009E3A5E"/>
    <w:rsid w:val="009E3B25"/>
    <w:rsid w:val="009E3E13"/>
    <w:rsid w:val="009E3FDF"/>
    <w:rsid w:val="009E40B0"/>
    <w:rsid w:val="009E43AA"/>
    <w:rsid w:val="009E49C4"/>
    <w:rsid w:val="009E4ACE"/>
    <w:rsid w:val="009E4DA7"/>
    <w:rsid w:val="009E4E2A"/>
    <w:rsid w:val="009E5584"/>
    <w:rsid w:val="009E561E"/>
    <w:rsid w:val="009E587D"/>
    <w:rsid w:val="009E59A3"/>
    <w:rsid w:val="009E5A28"/>
    <w:rsid w:val="009E5C32"/>
    <w:rsid w:val="009E5F0A"/>
    <w:rsid w:val="009E6265"/>
    <w:rsid w:val="009E63D7"/>
    <w:rsid w:val="009E677A"/>
    <w:rsid w:val="009E68A0"/>
    <w:rsid w:val="009E69AE"/>
    <w:rsid w:val="009E6ABF"/>
    <w:rsid w:val="009E6E5B"/>
    <w:rsid w:val="009E6F9E"/>
    <w:rsid w:val="009E6FA1"/>
    <w:rsid w:val="009E7105"/>
    <w:rsid w:val="009E7EF1"/>
    <w:rsid w:val="009F033B"/>
    <w:rsid w:val="009F0410"/>
    <w:rsid w:val="009F04B4"/>
    <w:rsid w:val="009F0570"/>
    <w:rsid w:val="009F05CD"/>
    <w:rsid w:val="009F0632"/>
    <w:rsid w:val="009F090C"/>
    <w:rsid w:val="009F0E44"/>
    <w:rsid w:val="009F1E71"/>
    <w:rsid w:val="009F1F1B"/>
    <w:rsid w:val="009F2085"/>
    <w:rsid w:val="009F22E6"/>
    <w:rsid w:val="009F242D"/>
    <w:rsid w:val="009F2759"/>
    <w:rsid w:val="009F2F72"/>
    <w:rsid w:val="009F34A0"/>
    <w:rsid w:val="009F351C"/>
    <w:rsid w:val="009F3AC7"/>
    <w:rsid w:val="009F47AA"/>
    <w:rsid w:val="009F4AA8"/>
    <w:rsid w:val="009F4B4E"/>
    <w:rsid w:val="009F56C5"/>
    <w:rsid w:val="009F5A32"/>
    <w:rsid w:val="009F5ABB"/>
    <w:rsid w:val="009F5EF8"/>
    <w:rsid w:val="009F679E"/>
    <w:rsid w:val="009F67D4"/>
    <w:rsid w:val="009F6FE8"/>
    <w:rsid w:val="009F6FE9"/>
    <w:rsid w:val="009F710A"/>
    <w:rsid w:val="009F72FC"/>
    <w:rsid w:val="009F7BCB"/>
    <w:rsid w:val="009F7FDF"/>
    <w:rsid w:val="00A0068C"/>
    <w:rsid w:val="00A006C7"/>
    <w:rsid w:val="00A009B4"/>
    <w:rsid w:val="00A01020"/>
    <w:rsid w:val="00A014ED"/>
    <w:rsid w:val="00A02890"/>
    <w:rsid w:val="00A02B8C"/>
    <w:rsid w:val="00A02F6A"/>
    <w:rsid w:val="00A0313F"/>
    <w:rsid w:val="00A03690"/>
    <w:rsid w:val="00A036FE"/>
    <w:rsid w:val="00A03AB3"/>
    <w:rsid w:val="00A03CC7"/>
    <w:rsid w:val="00A03F91"/>
    <w:rsid w:val="00A04CC5"/>
    <w:rsid w:val="00A05BED"/>
    <w:rsid w:val="00A05F6D"/>
    <w:rsid w:val="00A063C5"/>
    <w:rsid w:val="00A064CA"/>
    <w:rsid w:val="00A068FC"/>
    <w:rsid w:val="00A06FD9"/>
    <w:rsid w:val="00A070F6"/>
    <w:rsid w:val="00A07529"/>
    <w:rsid w:val="00A08701"/>
    <w:rsid w:val="00A0D3A3"/>
    <w:rsid w:val="00A1018E"/>
    <w:rsid w:val="00A1049E"/>
    <w:rsid w:val="00A107B2"/>
    <w:rsid w:val="00A10B54"/>
    <w:rsid w:val="00A10C67"/>
    <w:rsid w:val="00A10DA8"/>
    <w:rsid w:val="00A112A5"/>
    <w:rsid w:val="00A113B3"/>
    <w:rsid w:val="00A11850"/>
    <w:rsid w:val="00A11D6F"/>
    <w:rsid w:val="00A11E48"/>
    <w:rsid w:val="00A1282B"/>
    <w:rsid w:val="00A130A4"/>
    <w:rsid w:val="00A13453"/>
    <w:rsid w:val="00A135A2"/>
    <w:rsid w:val="00A145C1"/>
    <w:rsid w:val="00A14756"/>
    <w:rsid w:val="00A14A23"/>
    <w:rsid w:val="00A14C63"/>
    <w:rsid w:val="00A14DAE"/>
    <w:rsid w:val="00A14DC0"/>
    <w:rsid w:val="00A15266"/>
    <w:rsid w:val="00A1533B"/>
    <w:rsid w:val="00A153EB"/>
    <w:rsid w:val="00A15555"/>
    <w:rsid w:val="00A15602"/>
    <w:rsid w:val="00A15942"/>
    <w:rsid w:val="00A15B00"/>
    <w:rsid w:val="00A15D83"/>
    <w:rsid w:val="00A16EBA"/>
    <w:rsid w:val="00A171D3"/>
    <w:rsid w:val="00A17733"/>
    <w:rsid w:val="00A179B1"/>
    <w:rsid w:val="00A17ABD"/>
    <w:rsid w:val="00A17B63"/>
    <w:rsid w:val="00A2000F"/>
    <w:rsid w:val="00A206ED"/>
    <w:rsid w:val="00A208CB"/>
    <w:rsid w:val="00A209A7"/>
    <w:rsid w:val="00A209F2"/>
    <w:rsid w:val="00A20A8C"/>
    <w:rsid w:val="00A20D50"/>
    <w:rsid w:val="00A21348"/>
    <w:rsid w:val="00A216D2"/>
    <w:rsid w:val="00A219B3"/>
    <w:rsid w:val="00A21B2E"/>
    <w:rsid w:val="00A21BF9"/>
    <w:rsid w:val="00A22295"/>
    <w:rsid w:val="00A22296"/>
    <w:rsid w:val="00A22302"/>
    <w:rsid w:val="00A22666"/>
    <w:rsid w:val="00A22BA5"/>
    <w:rsid w:val="00A23132"/>
    <w:rsid w:val="00A23345"/>
    <w:rsid w:val="00A234C2"/>
    <w:rsid w:val="00A23621"/>
    <w:rsid w:val="00A23CB1"/>
    <w:rsid w:val="00A24567"/>
    <w:rsid w:val="00A247B5"/>
    <w:rsid w:val="00A24A75"/>
    <w:rsid w:val="00A24B79"/>
    <w:rsid w:val="00A2500A"/>
    <w:rsid w:val="00A251B9"/>
    <w:rsid w:val="00A25297"/>
    <w:rsid w:val="00A25391"/>
    <w:rsid w:val="00A254FC"/>
    <w:rsid w:val="00A25A21"/>
    <w:rsid w:val="00A25ADF"/>
    <w:rsid w:val="00A25EDF"/>
    <w:rsid w:val="00A264F4"/>
    <w:rsid w:val="00A26BDF"/>
    <w:rsid w:val="00A27A07"/>
    <w:rsid w:val="00A27AE8"/>
    <w:rsid w:val="00A27BC0"/>
    <w:rsid w:val="00A2D252"/>
    <w:rsid w:val="00A2DEEF"/>
    <w:rsid w:val="00A308B1"/>
    <w:rsid w:val="00A30F27"/>
    <w:rsid w:val="00A31069"/>
    <w:rsid w:val="00A312DE"/>
    <w:rsid w:val="00A31314"/>
    <w:rsid w:val="00A31546"/>
    <w:rsid w:val="00A31993"/>
    <w:rsid w:val="00A31C72"/>
    <w:rsid w:val="00A31D36"/>
    <w:rsid w:val="00A31D7B"/>
    <w:rsid w:val="00A32049"/>
    <w:rsid w:val="00A328BD"/>
    <w:rsid w:val="00A33083"/>
    <w:rsid w:val="00A33978"/>
    <w:rsid w:val="00A33CA6"/>
    <w:rsid w:val="00A343BD"/>
    <w:rsid w:val="00A344EC"/>
    <w:rsid w:val="00A3452B"/>
    <w:rsid w:val="00A34D79"/>
    <w:rsid w:val="00A3519B"/>
    <w:rsid w:val="00A3549F"/>
    <w:rsid w:val="00A36320"/>
    <w:rsid w:val="00A371AD"/>
    <w:rsid w:val="00A37855"/>
    <w:rsid w:val="00A37DD0"/>
    <w:rsid w:val="00A405F1"/>
    <w:rsid w:val="00A411AF"/>
    <w:rsid w:val="00A41350"/>
    <w:rsid w:val="00A4150D"/>
    <w:rsid w:val="00A4191C"/>
    <w:rsid w:val="00A42B78"/>
    <w:rsid w:val="00A4333E"/>
    <w:rsid w:val="00A43347"/>
    <w:rsid w:val="00A4351D"/>
    <w:rsid w:val="00A43D35"/>
    <w:rsid w:val="00A43E5F"/>
    <w:rsid w:val="00A43F0B"/>
    <w:rsid w:val="00A44754"/>
    <w:rsid w:val="00A4485D"/>
    <w:rsid w:val="00A44B55"/>
    <w:rsid w:val="00A44C63"/>
    <w:rsid w:val="00A44E01"/>
    <w:rsid w:val="00A44EA0"/>
    <w:rsid w:val="00A458E7"/>
    <w:rsid w:val="00A45D6C"/>
    <w:rsid w:val="00A464E4"/>
    <w:rsid w:val="00A465E1"/>
    <w:rsid w:val="00A46782"/>
    <w:rsid w:val="00A46A40"/>
    <w:rsid w:val="00A46AA0"/>
    <w:rsid w:val="00A46E94"/>
    <w:rsid w:val="00A470A9"/>
    <w:rsid w:val="00A47CAD"/>
    <w:rsid w:val="00A47DF2"/>
    <w:rsid w:val="00A47E65"/>
    <w:rsid w:val="00A47EBE"/>
    <w:rsid w:val="00A50132"/>
    <w:rsid w:val="00A50262"/>
    <w:rsid w:val="00A50C55"/>
    <w:rsid w:val="00A50E89"/>
    <w:rsid w:val="00A51104"/>
    <w:rsid w:val="00A511C7"/>
    <w:rsid w:val="00A515BE"/>
    <w:rsid w:val="00A51AFD"/>
    <w:rsid w:val="00A51D78"/>
    <w:rsid w:val="00A51E48"/>
    <w:rsid w:val="00A52163"/>
    <w:rsid w:val="00A52557"/>
    <w:rsid w:val="00A526C1"/>
    <w:rsid w:val="00A528DB"/>
    <w:rsid w:val="00A528E8"/>
    <w:rsid w:val="00A52E3A"/>
    <w:rsid w:val="00A52FBB"/>
    <w:rsid w:val="00A530B5"/>
    <w:rsid w:val="00A537E7"/>
    <w:rsid w:val="00A540C6"/>
    <w:rsid w:val="00A54366"/>
    <w:rsid w:val="00A54E20"/>
    <w:rsid w:val="00A54FC1"/>
    <w:rsid w:val="00A568BC"/>
    <w:rsid w:val="00A569A6"/>
    <w:rsid w:val="00A569EA"/>
    <w:rsid w:val="00A56DF5"/>
    <w:rsid w:val="00A5740E"/>
    <w:rsid w:val="00A57713"/>
    <w:rsid w:val="00A57AFF"/>
    <w:rsid w:val="00A60325"/>
    <w:rsid w:val="00A6037D"/>
    <w:rsid w:val="00A60EED"/>
    <w:rsid w:val="00A610BF"/>
    <w:rsid w:val="00A61103"/>
    <w:rsid w:val="00A613E9"/>
    <w:rsid w:val="00A615BA"/>
    <w:rsid w:val="00A6174C"/>
    <w:rsid w:val="00A61BC3"/>
    <w:rsid w:val="00A61FB5"/>
    <w:rsid w:val="00A62374"/>
    <w:rsid w:val="00A623D9"/>
    <w:rsid w:val="00A62437"/>
    <w:rsid w:val="00A62712"/>
    <w:rsid w:val="00A62DA7"/>
    <w:rsid w:val="00A6318A"/>
    <w:rsid w:val="00A632D0"/>
    <w:rsid w:val="00A634FB"/>
    <w:rsid w:val="00A63DF6"/>
    <w:rsid w:val="00A6458B"/>
    <w:rsid w:val="00A646D4"/>
    <w:rsid w:val="00A6472C"/>
    <w:rsid w:val="00A650B3"/>
    <w:rsid w:val="00A651FA"/>
    <w:rsid w:val="00A65357"/>
    <w:rsid w:val="00A65362"/>
    <w:rsid w:val="00A65553"/>
    <w:rsid w:val="00A65D78"/>
    <w:rsid w:val="00A663EB"/>
    <w:rsid w:val="00A66A8F"/>
    <w:rsid w:val="00A66B3C"/>
    <w:rsid w:val="00A66B98"/>
    <w:rsid w:val="00A66BB5"/>
    <w:rsid w:val="00A66DE1"/>
    <w:rsid w:val="00A67605"/>
    <w:rsid w:val="00A6782A"/>
    <w:rsid w:val="00A6787F"/>
    <w:rsid w:val="00A67C5A"/>
    <w:rsid w:val="00A700FA"/>
    <w:rsid w:val="00A70100"/>
    <w:rsid w:val="00A70C21"/>
    <w:rsid w:val="00A7183A"/>
    <w:rsid w:val="00A7190F"/>
    <w:rsid w:val="00A71BF6"/>
    <w:rsid w:val="00A71D6F"/>
    <w:rsid w:val="00A71E6C"/>
    <w:rsid w:val="00A72333"/>
    <w:rsid w:val="00A723E7"/>
    <w:rsid w:val="00A72724"/>
    <w:rsid w:val="00A72D7B"/>
    <w:rsid w:val="00A73953"/>
    <w:rsid w:val="00A73AC2"/>
    <w:rsid w:val="00A7424E"/>
    <w:rsid w:val="00A74411"/>
    <w:rsid w:val="00A7460E"/>
    <w:rsid w:val="00A748EF"/>
    <w:rsid w:val="00A74C00"/>
    <w:rsid w:val="00A74CF8"/>
    <w:rsid w:val="00A74D80"/>
    <w:rsid w:val="00A750EA"/>
    <w:rsid w:val="00A75D67"/>
    <w:rsid w:val="00A761A6"/>
    <w:rsid w:val="00A762EB"/>
    <w:rsid w:val="00A763D3"/>
    <w:rsid w:val="00A767F9"/>
    <w:rsid w:val="00A76AC8"/>
    <w:rsid w:val="00A76D61"/>
    <w:rsid w:val="00A76E9F"/>
    <w:rsid w:val="00A77706"/>
    <w:rsid w:val="00A77B54"/>
    <w:rsid w:val="00A77CBF"/>
    <w:rsid w:val="00A77FC6"/>
    <w:rsid w:val="00A80608"/>
    <w:rsid w:val="00A807AE"/>
    <w:rsid w:val="00A81416"/>
    <w:rsid w:val="00A81510"/>
    <w:rsid w:val="00A81523"/>
    <w:rsid w:val="00A8155D"/>
    <w:rsid w:val="00A81AD3"/>
    <w:rsid w:val="00A81C17"/>
    <w:rsid w:val="00A81C2C"/>
    <w:rsid w:val="00A82529"/>
    <w:rsid w:val="00A82AE7"/>
    <w:rsid w:val="00A82E70"/>
    <w:rsid w:val="00A82FDE"/>
    <w:rsid w:val="00A8337B"/>
    <w:rsid w:val="00A835B0"/>
    <w:rsid w:val="00A8380C"/>
    <w:rsid w:val="00A83A81"/>
    <w:rsid w:val="00A83AAB"/>
    <w:rsid w:val="00A83E75"/>
    <w:rsid w:val="00A844BC"/>
    <w:rsid w:val="00A8451B"/>
    <w:rsid w:val="00A84548"/>
    <w:rsid w:val="00A84A4A"/>
    <w:rsid w:val="00A84E93"/>
    <w:rsid w:val="00A850BE"/>
    <w:rsid w:val="00A850E8"/>
    <w:rsid w:val="00A8521C"/>
    <w:rsid w:val="00A86618"/>
    <w:rsid w:val="00A866AC"/>
    <w:rsid w:val="00A868D0"/>
    <w:rsid w:val="00A86B17"/>
    <w:rsid w:val="00A86FEC"/>
    <w:rsid w:val="00A87051"/>
    <w:rsid w:val="00A87E38"/>
    <w:rsid w:val="00A90199"/>
    <w:rsid w:val="00A901E1"/>
    <w:rsid w:val="00A90A5C"/>
    <w:rsid w:val="00A9123D"/>
    <w:rsid w:val="00A9145F"/>
    <w:rsid w:val="00A91723"/>
    <w:rsid w:val="00A92704"/>
    <w:rsid w:val="00A92AAD"/>
    <w:rsid w:val="00A930A8"/>
    <w:rsid w:val="00A9327E"/>
    <w:rsid w:val="00A9331E"/>
    <w:rsid w:val="00A93386"/>
    <w:rsid w:val="00A935D6"/>
    <w:rsid w:val="00A93640"/>
    <w:rsid w:val="00A936AB"/>
    <w:rsid w:val="00A93C05"/>
    <w:rsid w:val="00A93DF1"/>
    <w:rsid w:val="00A93F18"/>
    <w:rsid w:val="00A94309"/>
    <w:rsid w:val="00A943FE"/>
    <w:rsid w:val="00A945E3"/>
    <w:rsid w:val="00A948F2"/>
    <w:rsid w:val="00A94A79"/>
    <w:rsid w:val="00A94CD7"/>
    <w:rsid w:val="00A9500A"/>
    <w:rsid w:val="00A951ED"/>
    <w:rsid w:val="00A95A5A"/>
    <w:rsid w:val="00A964D8"/>
    <w:rsid w:val="00A9698C"/>
    <w:rsid w:val="00A974BD"/>
    <w:rsid w:val="00A97705"/>
    <w:rsid w:val="00AA00F6"/>
    <w:rsid w:val="00AA0235"/>
    <w:rsid w:val="00AA0435"/>
    <w:rsid w:val="00AA0A17"/>
    <w:rsid w:val="00AA0ABE"/>
    <w:rsid w:val="00AA137C"/>
    <w:rsid w:val="00AA15C6"/>
    <w:rsid w:val="00AA1737"/>
    <w:rsid w:val="00AA2009"/>
    <w:rsid w:val="00AA2FC2"/>
    <w:rsid w:val="00AA37F1"/>
    <w:rsid w:val="00AA3CF7"/>
    <w:rsid w:val="00AA446D"/>
    <w:rsid w:val="00AA47BA"/>
    <w:rsid w:val="00AA4FBC"/>
    <w:rsid w:val="00AA562B"/>
    <w:rsid w:val="00AA566E"/>
    <w:rsid w:val="00AA5A73"/>
    <w:rsid w:val="00AA5EBD"/>
    <w:rsid w:val="00AA62B2"/>
    <w:rsid w:val="00AA6479"/>
    <w:rsid w:val="00AA68DF"/>
    <w:rsid w:val="00AA76CD"/>
    <w:rsid w:val="00AA7951"/>
    <w:rsid w:val="00AA7A73"/>
    <w:rsid w:val="00AA7CDE"/>
    <w:rsid w:val="00AA7DBF"/>
    <w:rsid w:val="00AB00B3"/>
    <w:rsid w:val="00AB062E"/>
    <w:rsid w:val="00AB0D74"/>
    <w:rsid w:val="00AB0F1F"/>
    <w:rsid w:val="00AB13F8"/>
    <w:rsid w:val="00AB15A8"/>
    <w:rsid w:val="00AB15BC"/>
    <w:rsid w:val="00AB1D87"/>
    <w:rsid w:val="00AB1F72"/>
    <w:rsid w:val="00AB2A96"/>
    <w:rsid w:val="00AB2B9C"/>
    <w:rsid w:val="00AB2C3C"/>
    <w:rsid w:val="00AB2C42"/>
    <w:rsid w:val="00AB2C98"/>
    <w:rsid w:val="00AB3091"/>
    <w:rsid w:val="00AB341B"/>
    <w:rsid w:val="00AB3AF2"/>
    <w:rsid w:val="00AB3B7C"/>
    <w:rsid w:val="00AB3E12"/>
    <w:rsid w:val="00AB40D7"/>
    <w:rsid w:val="00AB4212"/>
    <w:rsid w:val="00AB42B4"/>
    <w:rsid w:val="00AB45DB"/>
    <w:rsid w:val="00AB4867"/>
    <w:rsid w:val="00AB4E32"/>
    <w:rsid w:val="00AB4FEE"/>
    <w:rsid w:val="00AB505F"/>
    <w:rsid w:val="00AB57CB"/>
    <w:rsid w:val="00AB59DA"/>
    <w:rsid w:val="00AB5B11"/>
    <w:rsid w:val="00AB5C46"/>
    <w:rsid w:val="00AB62F5"/>
    <w:rsid w:val="00AB6425"/>
    <w:rsid w:val="00AB66DF"/>
    <w:rsid w:val="00AB66E0"/>
    <w:rsid w:val="00AB69BD"/>
    <w:rsid w:val="00AB6AAA"/>
    <w:rsid w:val="00AB7642"/>
    <w:rsid w:val="00AB780A"/>
    <w:rsid w:val="00AB78D6"/>
    <w:rsid w:val="00AB9F39"/>
    <w:rsid w:val="00AC02A4"/>
    <w:rsid w:val="00AC038A"/>
    <w:rsid w:val="00AC06B9"/>
    <w:rsid w:val="00AC0819"/>
    <w:rsid w:val="00AC12B9"/>
    <w:rsid w:val="00AC14AF"/>
    <w:rsid w:val="00AC1622"/>
    <w:rsid w:val="00AC17B9"/>
    <w:rsid w:val="00AC19E4"/>
    <w:rsid w:val="00AC1A12"/>
    <w:rsid w:val="00AC2008"/>
    <w:rsid w:val="00AC20CC"/>
    <w:rsid w:val="00AC271F"/>
    <w:rsid w:val="00AC3E86"/>
    <w:rsid w:val="00AC466E"/>
    <w:rsid w:val="00AC4856"/>
    <w:rsid w:val="00AC5BD5"/>
    <w:rsid w:val="00AC6100"/>
    <w:rsid w:val="00AC64BB"/>
    <w:rsid w:val="00AC66B0"/>
    <w:rsid w:val="00AC6720"/>
    <w:rsid w:val="00AC696D"/>
    <w:rsid w:val="00AC69A3"/>
    <w:rsid w:val="00AC6CEF"/>
    <w:rsid w:val="00AC79EA"/>
    <w:rsid w:val="00AC7DBE"/>
    <w:rsid w:val="00AC7E5E"/>
    <w:rsid w:val="00AC7FD1"/>
    <w:rsid w:val="00AD01B6"/>
    <w:rsid w:val="00AD083E"/>
    <w:rsid w:val="00AD10F0"/>
    <w:rsid w:val="00AD1131"/>
    <w:rsid w:val="00AD115E"/>
    <w:rsid w:val="00AD15DB"/>
    <w:rsid w:val="00AD16F0"/>
    <w:rsid w:val="00AD18B6"/>
    <w:rsid w:val="00AD1A78"/>
    <w:rsid w:val="00AD1F42"/>
    <w:rsid w:val="00AD20BB"/>
    <w:rsid w:val="00AD25CC"/>
    <w:rsid w:val="00AD268A"/>
    <w:rsid w:val="00AD2B6E"/>
    <w:rsid w:val="00AD33F2"/>
    <w:rsid w:val="00AD3C13"/>
    <w:rsid w:val="00AD4368"/>
    <w:rsid w:val="00AD4914"/>
    <w:rsid w:val="00AD495C"/>
    <w:rsid w:val="00AD503D"/>
    <w:rsid w:val="00AD50AC"/>
    <w:rsid w:val="00AD53FA"/>
    <w:rsid w:val="00AD5C4C"/>
    <w:rsid w:val="00AD61CC"/>
    <w:rsid w:val="00AD63D1"/>
    <w:rsid w:val="00AD6523"/>
    <w:rsid w:val="00AD657F"/>
    <w:rsid w:val="00AD6CC7"/>
    <w:rsid w:val="00AD6D33"/>
    <w:rsid w:val="00AD6DA1"/>
    <w:rsid w:val="00AD7284"/>
    <w:rsid w:val="00AD7546"/>
    <w:rsid w:val="00AE03C2"/>
    <w:rsid w:val="00AE04DB"/>
    <w:rsid w:val="00AE0E5F"/>
    <w:rsid w:val="00AE0EE7"/>
    <w:rsid w:val="00AE0F52"/>
    <w:rsid w:val="00AE1431"/>
    <w:rsid w:val="00AE15C8"/>
    <w:rsid w:val="00AE1782"/>
    <w:rsid w:val="00AE2009"/>
    <w:rsid w:val="00AE2BC6"/>
    <w:rsid w:val="00AE2DD1"/>
    <w:rsid w:val="00AE2FD6"/>
    <w:rsid w:val="00AE306D"/>
    <w:rsid w:val="00AE4017"/>
    <w:rsid w:val="00AE47D9"/>
    <w:rsid w:val="00AE4B01"/>
    <w:rsid w:val="00AE4D5A"/>
    <w:rsid w:val="00AE5687"/>
    <w:rsid w:val="00AE5D08"/>
    <w:rsid w:val="00AE5D85"/>
    <w:rsid w:val="00AE5F33"/>
    <w:rsid w:val="00AE660E"/>
    <w:rsid w:val="00AE6754"/>
    <w:rsid w:val="00AE7742"/>
    <w:rsid w:val="00AE7ACD"/>
    <w:rsid w:val="00AE7BB4"/>
    <w:rsid w:val="00AE7D87"/>
    <w:rsid w:val="00AF01B1"/>
    <w:rsid w:val="00AF0843"/>
    <w:rsid w:val="00AF0A76"/>
    <w:rsid w:val="00AF0E8E"/>
    <w:rsid w:val="00AF11BB"/>
    <w:rsid w:val="00AF1277"/>
    <w:rsid w:val="00AF1B58"/>
    <w:rsid w:val="00AF1EB3"/>
    <w:rsid w:val="00AF22A2"/>
    <w:rsid w:val="00AF2491"/>
    <w:rsid w:val="00AF2574"/>
    <w:rsid w:val="00AF2801"/>
    <w:rsid w:val="00AF284F"/>
    <w:rsid w:val="00AF2A7C"/>
    <w:rsid w:val="00AF2ED7"/>
    <w:rsid w:val="00AF34AC"/>
    <w:rsid w:val="00AF38DE"/>
    <w:rsid w:val="00AF3A93"/>
    <w:rsid w:val="00AF43B6"/>
    <w:rsid w:val="00AF4942"/>
    <w:rsid w:val="00AF4A03"/>
    <w:rsid w:val="00AF4C82"/>
    <w:rsid w:val="00AF5068"/>
    <w:rsid w:val="00AF5A5A"/>
    <w:rsid w:val="00AF6380"/>
    <w:rsid w:val="00AF651A"/>
    <w:rsid w:val="00AF671B"/>
    <w:rsid w:val="00AF6772"/>
    <w:rsid w:val="00AF6970"/>
    <w:rsid w:val="00AF7725"/>
    <w:rsid w:val="00AF7FCC"/>
    <w:rsid w:val="00B005AA"/>
    <w:rsid w:val="00B00D9F"/>
    <w:rsid w:val="00B0176B"/>
    <w:rsid w:val="00B01820"/>
    <w:rsid w:val="00B01855"/>
    <w:rsid w:val="00B01A2B"/>
    <w:rsid w:val="00B0201F"/>
    <w:rsid w:val="00B0208C"/>
    <w:rsid w:val="00B02096"/>
    <w:rsid w:val="00B02567"/>
    <w:rsid w:val="00B02864"/>
    <w:rsid w:val="00B02B60"/>
    <w:rsid w:val="00B030B0"/>
    <w:rsid w:val="00B03DF1"/>
    <w:rsid w:val="00B03F1B"/>
    <w:rsid w:val="00B040D7"/>
    <w:rsid w:val="00B04109"/>
    <w:rsid w:val="00B04610"/>
    <w:rsid w:val="00B0490A"/>
    <w:rsid w:val="00B04B56"/>
    <w:rsid w:val="00B04D18"/>
    <w:rsid w:val="00B0517D"/>
    <w:rsid w:val="00B059C8"/>
    <w:rsid w:val="00B05B6C"/>
    <w:rsid w:val="00B05E7D"/>
    <w:rsid w:val="00B06100"/>
    <w:rsid w:val="00B061E1"/>
    <w:rsid w:val="00B06216"/>
    <w:rsid w:val="00B0629A"/>
    <w:rsid w:val="00B06476"/>
    <w:rsid w:val="00B0696C"/>
    <w:rsid w:val="00B06EB3"/>
    <w:rsid w:val="00B06FCC"/>
    <w:rsid w:val="00B070AF"/>
    <w:rsid w:val="00B070EF"/>
    <w:rsid w:val="00B07443"/>
    <w:rsid w:val="00B07695"/>
    <w:rsid w:val="00B07CF8"/>
    <w:rsid w:val="00B07F7B"/>
    <w:rsid w:val="00B10144"/>
    <w:rsid w:val="00B1019C"/>
    <w:rsid w:val="00B106B0"/>
    <w:rsid w:val="00B108EB"/>
    <w:rsid w:val="00B10AFC"/>
    <w:rsid w:val="00B10EF8"/>
    <w:rsid w:val="00B111A6"/>
    <w:rsid w:val="00B116C0"/>
    <w:rsid w:val="00B117F3"/>
    <w:rsid w:val="00B128A2"/>
    <w:rsid w:val="00B12A4A"/>
    <w:rsid w:val="00B12AD2"/>
    <w:rsid w:val="00B12B68"/>
    <w:rsid w:val="00B12E42"/>
    <w:rsid w:val="00B12F8F"/>
    <w:rsid w:val="00B132B3"/>
    <w:rsid w:val="00B13328"/>
    <w:rsid w:val="00B133F6"/>
    <w:rsid w:val="00B13524"/>
    <w:rsid w:val="00B136B7"/>
    <w:rsid w:val="00B137B7"/>
    <w:rsid w:val="00B13DCE"/>
    <w:rsid w:val="00B13F79"/>
    <w:rsid w:val="00B140E6"/>
    <w:rsid w:val="00B14348"/>
    <w:rsid w:val="00B14374"/>
    <w:rsid w:val="00B14626"/>
    <w:rsid w:val="00B14702"/>
    <w:rsid w:val="00B14B08"/>
    <w:rsid w:val="00B1620E"/>
    <w:rsid w:val="00B16A3B"/>
    <w:rsid w:val="00B17305"/>
    <w:rsid w:val="00B173E6"/>
    <w:rsid w:val="00B17A3B"/>
    <w:rsid w:val="00B17F66"/>
    <w:rsid w:val="00B17FD1"/>
    <w:rsid w:val="00B2024F"/>
    <w:rsid w:val="00B20599"/>
    <w:rsid w:val="00B20C2E"/>
    <w:rsid w:val="00B212DA"/>
    <w:rsid w:val="00B21BBD"/>
    <w:rsid w:val="00B225EA"/>
    <w:rsid w:val="00B2264C"/>
    <w:rsid w:val="00B22795"/>
    <w:rsid w:val="00B22840"/>
    <w:rsid w:val="00B22BB5"/>
    <w:rsid w:val="00B22BDB"/>
    <w:rsid w:val="00B22E35"/>
    <w:rsid w:val="00B2310A"/>
    <w:rsid w:val="00B2310E"/>
    <w:rsid w:val="00B235F8"/>
    <w:rsid w:val="00B23653"/>
    <w:rsid w:val="00B23840"/>
    <w:rsid w:val="00B23A96"/>
    <w:rsid w:val="00B24842"/>
    <w:rsid w:val="00B24AC2"/>
    <w:rsid w:val="00B259F1"/>
    <w:rsid w:val="00B25EAD"/>
    <w:rsid w:val="00B261D4"/>
    <w:rsid w:val="00B27190"/>
    <w:rsid w:val="00B271D2"/>
    <w:rsid w:val="00B273AF"/>
    <w:rsid w:val="00B2757D"/>
    <w:rsid w:val="00B2795D"/>
    <w:rsid w:val="00B27F09"/>
    <w:rsid w:val="00B3002B"/>
    <w:rsid w:val="00B304D7"/>
    <w:rsid w:val="00B30BEC"/>
    <w:rsid w:val="00B30C09"/>
    <w:rsid w:val="00B30CCF"/>
    <w:rsid w:val="00B30F7B"/>
    <w:rsid w:val="00B3147D"/>
    <w:rsid w:val="00B314D8"/>
    <w:rsid w:val="00B32239"/>
    <w:rsid w:val="00B324BF"/>
    <w:rsid w:val="00B32ABA"/>
    <w:rsid w:val="00B32BE3"/>
    <w:rsid w:val="00B33310"/>
    <w:rsid w:val="00B336B4"/>
    <w:rsid w:val="00B338E5"/>
    <w:rsid w:val="00B33C1C"/>
    <w:rsid w:val="00B33E89"/>
    <w:rsid w:val="00B345C2"/>
    <w:rsid w:val="00B3472E"/>
    <w:rsid w:val="00B34F01"/>
    <w:rsid w:val="00B3509E"/>
    <w:rsid w:val="00B351EE"/>
    <w:rsid w:val="00B35423"/>
    <w:rsid w:val="00B35586"/>
    <w:rsid w:val="00B35682"/>
    <w:rsid w:val="00B35943"/>
    <w:rsid w:val="00B363EA"/>
    <w:rsid w:val="00B36507"/>
    <w:rsid w:val="00B36746"/>
    <w:rsid w:val="00B373A7"/>
    <w:rsid w:val="00B3740F"/>
    <w:rsid w:val="00B37882"/>
    <w:rsid w:val="00B3791C"/>
    <w:rsid w:val="00B379BA"/>
    <w:rsid w:val="00B3A338"/>
    <w:rsid w:val="00B3A38A"/>
    <w:rsid w:val="00B40047"/>
    <w:rsid w:val="00B4017F"/>
    <w:rsid w:val="00B4019E"/>
    <w:rsid w:val="00B40B10"/>
    <w:rsid w:val="00B40CB4"/>
    <w:rsid w:val="00B40EB7"/>
    <w:rsid w:val="00B40FE7"/>
    <w:rsid w:val="00B4139F"/>
    <w:rsid w:val="00B4171A"/>
    <w:rsid w:val="00B4175C"/>
    <w:rsid w:val="00B41A25"/>
    <w:rsid w:val="00B41CC8"/>
    <w:rsid w:val="00B42677"/>
    <w:rsid w:val="00B42710"/>
    <w:rsid w:val="00B429B4"/>
    <w:rsid w:val="00B42A9E"/>
    <w:rsid w:val="00B42EA9"/>
    <w:rsid w:val="00B433DA"/>
    <w:rsid w:val="00B43C4D"/>
    <w:rsid w:val="00B43C57"/>
    <w:rsid w:val="00B443DF"/>
    <w:rsid w:val="00B4462E"/>
    <w:rsid w:val="00B44746"/>
    <w:rsid w:val="00B44873"/>
    <w:rsid w:val="00B449C0"/>
    <w:rsid w:val="00B44FCF"/>
    <w:rsid w:val="00B451A5"/>
    <w:rsid w:val="00B451F1"/>
    <w:rsid w:val="00B4521A"/>
    <w:rsid w:val="00B45302"/>
    <w:rsid w:val="00B454BB"/>
    <w:rsid w:val="00B45785"/>
    <w:rsid w:val="00B46136"/>
    <w:rsid w:val="00B46601"/>
    <w:rsid w:val="00B466FF"/>
    <w:rsid w:val="00B4713D"/>
    <w:rsid w:val="00B4725C"/>
    <w:rsid w:val="00B47371"/>
    <w:rsid w:val="00B508E2"/>
    <w:rsid w:val="00B50D18"/>
    <w:rsid w:val="00B50D81"/>
    <w:rsid w:val="00B50E6E"/>
    <w:rsid w:val="00B511D1"/>
    <w:rsid w:val="00B5134E"/>
    <w:rsid w:val="00B51456"/>
    <w:rsid w:val="00B51934"/>
    <w:rsid w:val="00B51B59"/>
    <w:rsid w:val="00B51E85"/>
    <w:rsid w:val="00B51F2A"/>
    <w:rsid w:val="00B5220C"/>
    <w:rsid w:val="00B522A8"/>
    <w:rsid w:val="00B52491"/>
    <w:rsid w:val="00B52EA8"/>
    <w:rsid w:val="00B5307B"/>
    <w:rsid w:val="00B5367D"/>
    <w:rsid w:val="00B53777"/>
    <w:rsid w:val="00B540C8"/>
    <w:rsid w:val="00B5486F"/>
    <w:rsid w:val="00B54B53"/>
    <w:rsid w:val="00B550B4"/>
    <w:rsid w:val="00B5542A"/>
    <w:rsid w:val="00B5575A"/>
    <w:rsid w:val="00B55A35"/>
    <w:rsid w:val="00B55C28"/>
    <w:rsid w:val="00B55D44"/>
    <w:rsid w:val="00B56416"/>
    <w:rsid w:val="00B56613"/>
    <w:rsid w:val="00B5696F"/>
    <w:rsid w:val="00B56A01"/>
    <w:rsid w:val="00B56E32"/>
    <w:rsid w:val="00B571FE"/>
    <w:rsid w:val="00B5738A"/>
    <w:rsid w:val="00B57C55"/>
    <w:rsid w:val="00B57E4D"/>
    <w:rsid w:val="00B6021B"/>
    <w:rsid w:val="00B60CAB"/>
    <w:rsid w:val="00B610F1"/>
    <w:rsid w:val="00B61901"/>
    <w:rsid w:val="00B61D3E"/>
    <w:rsid w:val="00B61EFD"/>
    <w:rsid w:val="00B61FC3"/>
    <w:rsid w:val="00B625E6"/>
    <w:rsid w:val="00B6282C"/>
    <w:rsid w:val="00B62B2B"/>
    <w:rsid w:val="00B633EA"/>
    <w:rsid w:val="00B63BD8"/>
    <w:rsid w:val="00B64020"/>
    <w:rsid w:val="00B64086"/>
    <w:rsid w:val="00B6419E"/>
    <w:rsid w:val="00B64572"/>
    <w:rsid w:val="00B649A3"/>
    <w:rsid w:val="00B64DC5"/>
    <w:rsid w:val="00B652BC"/>
    <w:rsid w:val="00B65A02"/>
    <w:rsid w:val="00B660EC"/>
    <w:rsid w:val="00B6678B"/>
    <w:rsid w:val="00B669F4"/>
    <w:rsid w:val="00B66AE5"/>
    <w:rsid w:val="00B66F86"/>
    <w:rsid w:val="00B67072"/>
    <w:rsid w:val="00B675AB"/>
    <w:rsid w:val="00B675DE"/>
    <w:rsid w:val="00B67741"/>
    <w:rsid w:val="00B69127"/>
    <w:rsid w:val="00B704D6"/>
    <w:rsid w:val="00B70E64"/>
    <w:rsid w:val="00B71372"/>
    <w:rsid w:val="00B71B7E"/>
    <w:rsid w:val="00B724A0"/>
    <w:rsid w:val="00B72918"/>
    <w:rsid w:val="00B729FC"/>
    <w:rsid w:val="00B72A9A"/>
    <w:rsid w:val="00B72BCC"/>
    <w:rsid w:val="00B72C83"/>
    <w:rsid w:val="00B72FAE"/>
    <w:rsid w:val="00B737D1"/>
    <w:rsid w:val="00B73C13"/>
    <w:rsid w:val="00B7449C"/>
    <w:rsid w:val="00B7453E"/>
    <w:rsid w:val="00B74F98"/>
    <w:rsid w:val="00B750F9"/>
    <w:rsid w:val="00B754B1"/>
    <w:rsid w:val="00B75670"/>
    <w:rsid w:val="00B76158"/>
    <w:rsid w:val="00B7681C"/>
    <w:rsid w:val="00B77204"/>
    <w:rsid w:val="00B8073C"/>
    <w:rsid w:val="00B808BC"/>
    <w:rsid w:val="00B809A7"/>
    <w:rsid w:val="00B8115C"/>
    <w:rsid w:val="00B8158C"/>
    <w:rsid w:val="00B8169F"/>
    <w:rsid w:val="00B816AC"/>
    <w:rsid w:val="00B816AE"/>
    <w:rsid w:val="00B81B03"/>
    <w:rsid w:val="00B81B9A"/>
    <w:rsid w:val="00B820EE"/>
    <w:rsid w:val="00B826F3"/>
    <w:rsid w:val="00B828DF"/>
    <w:rsid w:val="00B8295F"/>
    <w:rsid w:val="00B82C63"/>
    <w:rsid w:val="00B82EF6"/>
    <w:rsid w:val="00B832B3"/>
    <w:rsid w:val="00B83FD9"/>
    <w:rsid w:val="00B84A8E"/>
    <w:rsid w:val="00B854CD"/>
    <w:rsid w:val="00B855D1"/>
    <w:rsid w:val="00B85647"/>
    <w:rsid w:val="00B856A7"/>
    <w:rsid w:val="00B85C22"/>
    <w:rsid w:val="00B85C8B"/>
    <w:rsid w:val="00B86258"/>
    <w:rsid w:val="00B86375"/>
    <w:rsid w:val="00B86C06"/>
    <w:rsid w:val="00B86E69"/>
    <w:rsid w:val="00B86FA2"/>
    <w:rsid w:val="00B8747A"/>
    <w:rsid w:val="00B87547"/>
    <w:rsid w:val="00B87E85"/>
    <w:rsid w:val="00B90147"/>
    <w:rsid w:val="00B902B8"/>
    <w:rsid w:val="00B90923"/>
    <w:rsid w:val="00B90CEB"/>
    <w:rsid w:val="00B90DCD"/>
    <w:rsid w:val="00B91467"/>
    <w:rsid w:val="00B9187B"/>
    <w:rsid w:val="00B91A17"/>
    <w:rsid w:val="00B91EA1"/>
    <w:rsid w:val="00B92865"/>
    <w:rsid w:val="00B92AEB"/>
    <w:rsid w:val="00B92C05"/>
    <w:rsid w:val="00B92C8E"/>
    <w:rsid w:val="00B935FA"/>
    <w:rsid w:val="00B942C9"/>
    <w:rsid w:val="00B94456"/>
    <w:rsid w:val="00B94A8A"/>
    <w:rsid w:val="00B9522F"/>
    <w:rsid w:val="00B9571F"/>
    <w:rsid w:val="00B95D83"/>
    <w:rsid w:val="00B963F9"/>
    <w:rsid w:val="00B964D9"/>
    <w:rsid w:val="00B9744B"/>
    <w:rsid w:val="00B97C97"/>
    <w:rsid w:val="00B97D45"/>
    <w:rsid w:val="00BA014B"/>
    <w:rsid w:val="00BA01E9"/>
    <w:rsid w:val="00BA0473"/>
    <w:rsid w:val="00BA0691"/>
    <w:rsid w:val="00BA0EC0"/>
    <w:rsid w:val="00BA1203"/>
    <w:rsid w:val="00BA1629"/>
    <w:rsid w:val="00BA1BD2"/>
    <w:rsid w:val="00BA1CF7"/>
    <w:rsid w:val="00BA2349"/>
    <w:rsid w:val="00BA23CB"/>
    <w:rsid w:val="00BA2604"/>
    <w:rsid w:val="00BA274F"/>
    <w:rsid w:val="00BA2B5B"/>
    <w:rsid w:val="00BA2C77"/>
    <w:rsid w:val="00BA2CA3"/>
    <w:rsid w:val="00BA351F"/>
    <w:rsid w:val="00BA36EB"/>
    <w:rsid w:val="00BA3899"/>
    <w:rsid w:val="00BA3A3F"/>
    <w:rsid w:val="00BA3AA4"/>
    <w:rsid w:val="00BA3B2F"/>
    <w:rsid w:val="00BA42C2"/>
    <w:rsid w:val="00BA4561"/>
    <w:rsid w:val="00BA4702"/>
    <w:rsid w:val="00BA4915"/>
    <w:rsid w:val="00BA4FD7"/>
    <w:rsid w:val="00BA529F"/>
    <w:rsid w:val="00BA5883"/>
    <w:rsid w:val="00BA5E33"/>
    <w:rsid w:val="00BA6312"/>
    <w:rsid w:val="00BA66BC"/>
    <w:rsid w:val="00BA7022"/>
    <w:rsid w:val="00BA714B"/>
    <w:rsid w:val="00BA7304"/>
    <w:rsid w:val="00BA755C"/>
    <w:rsid w:val="00BA7BC3"/>
    <w:rsid w:val="00BA7DDA"/>
    <w:rsid w:val="00BAE11D"/>
    <w:rsid w:val="00BB029E"/>
    <w:rsid w:val="00BB06E2"/>
    <w:rsid w:val="00BB1917"/>
    <w:rsid w:val="00BB1936"/>
    <w:rsid w:val="00BB1A30"/>
    <w:rsid w:val="00BB1BB3"/>
    <w:rsid w:val="00BB1E47"/>
    <w:rsid w:val="00BB2508"/>
    <w:rsid w:val="00BB260F"/>
    <w:rsid w:val="00BB266B"/>
    <w:rsid w:val="00BB26C3"/>
    <w:rsid w:val="00BB2B43"/>
    <w:rsid w:val="00BB33D7"/>
    <w:rsid w:val="00BB3BBF"/>
    <w:rsid w:val="00BB3E84"/>
    <w:rsid w:val="00BB4103"/>
    <w:rsid w:val="00BB426D"/>
    <w:rsid w:val="00BB4794"/>
    <w:rsid w:val="00BB47ED"/>
    <w:rsid w:val="00BB492A"/>
    <w:rsid w:val="00BB4950"/>
    <w:rsid w:val="00BB53A0"/>
    <w:rsid w:val="00BB5794"/>
    <w:rsid w:val="00BB5C96"/>
    <w:rsid w:val="00BB5D49"/>
    <w:rsid w:val="00BB6EBC"/>
    <w:rsid w:val="00BB70C2"/>
    <w:rsid w:val="00BB72F6"/>
    <w:rsid w:val="00BB767B"/>
    <w:rsid w:val="00BB76F5"/>
    <w:rsid w:val="00BB781F"/>
    <w:rsid w:val="00BC0432"/>
    <w:rsid w:val="00BC045E"/>
    <w:rsid w:val="00BC0BAD"/>
    <w:rsid w:val="00BC1449"/>
    <w:rsid w:val="00BC1D21"/>
    <w:rsid w:val="00BC1D6A"/>
    <w:rsid w:val="00BC257E"/>
    <w:rsid w:val="00BC31E1"/>
    <w:rsid w:val="00BC3595"/>
    <w:rsid w:val="00BC3A45"/>
    <w:rsid w:val="00BC3B64"/>
    <w:rsid w:val="00BC3B89"/>
    <w:rsid w:val="00BC3C32"/>
    <w:rsid w:val="00BC3C6F"/>
    <w:rsid w:val="00BC40EC"/>
    <w:rsid w:val="00BC41CB"/>
    <w:rsid w:val="00BC4496"/>
    <w:rsid w:val="00BC44B8"/>
    <w:rsid w:val="00BC463A"/>
    <w:rsid w:val="00BC4739"/>
    <w:rsid w:val="00BC4752"/>
    <w:rsid w:val="00BC5024"/>
    <w:rsid w:val="00BC562C"/>
    <w:rsid w:val="00BC5C09"/>
    <w:rsid w:val="00BC5DBE"/>
    <w:rsid w:val="00BC6489"/>
    <w:rsid w:val="00BC6AD6"/>
    <w:rsid w:val="00BC6DCD"/>
    <w:rsid w:val="00BC7269"/>
    <w:rsid w:val="00BC7556"/>
    <w:rsid w:val="00BC7572"/>
    <w:rsid w:val="00BC7A9F"/>
    <w:rsid w:val="00BD0328"/>
    <w:rsid w:val="00BD041A"/>
    <w:rsid w:val="00BD086F"/>
    <w:rsid w:val="00BD0896"/>
    <w:rsid w:val="00BD1052"/>
    <w:rsid w:val="00BD142D"/>
    <w:rsid w:val="00BD1617"/>
    <w:rsid w:val="00BD1CCE"/>
    <w:rsid w:val="00BD1DC3"/>
    <w:rsid w:val="00BD214C"/>
    <w:rsid w:val="00BD21EA"/>
    <w:rsid w:val="00BD2338"/>
    <w:rsid w:val="00BD27CD"/>
    <w:rsid w:val="00BD28EF"/>
    <w:rsid w:val="00BD2B81"/>
    <w:rsid w:val="00BD335A"/>
    <w:rsid w:val="00BD33FF"/>
    <w:rsid w:val="00BD3634"/>
    <w:rsid w:val="00BD3AC6"/>
    <w:rsid w:val="00BD3C36"/>
    <w:rsid w:val="00BD3EF0"/>
    <w:rsid w:val="00BD3FDA"/>
    <w:rsid w:val="00BD40B8"/>
    <w:rsid w:val="00BD4314"/>
    <w:rsid w:val="00BD47F1"/>
    <w:rsid w:val="00BD48E3"/>
    <w:rsid w:val="00BD5C45"/>
    <w:rsid w:val="00BD5E8D"/>
    <w:rsid w:val="00BD606C"/>
    <w:rsid w:val="00BD627F"/>
    <w:rsid w:val="00BD66D2"/>
    <w:rsid w:val="00BD66DA"/>
    <w:rsid w:val="00BD69B5"/>
    <w:rsid w:val="00BD6A8F"/>
    <w:rsid w:val="00BD6AC1"/>
    <w:rsid w:val="00BD7057"/>
    <w:rsid w:val="00BD7201"/>
    <w:rsid w:val="00BD7533"/>
    <w:rsid w:val="00BD7762"/>
    <w:rsid w:val="00BD7878"/>
    <w:rsid w:val="00BD7992"/>
    <w:rsid w:val="00BD7E07"/>
    <w:rsid w:val="00BD7FA9"/>
    <w:rsid w:val="00BE065C"/>
    <w:rsid w:val="00BE0793"/>
    <w:rsid w:val="00BE0C00"/>
    <w:rsid w:val="00BE0D31"/>
    <w:rsid w:val="00BE0D5A"/>
    <w:rsid w:val="00BE0EC9"/>
    <w:rsid w:val="00BE0F8A"/>
    <w:rsid w:val="00BE137B"/>
    <w:rsid w:val="00BE2329"/>
    <w:rsid w:val="00BE364A"/>
    <w:rsid w:val="00BE3AC6"/>
    <w:rsid w:val="00BE3CA8"/>
    <w:rsid w:val="00BE4D4D"/>
    <w:rsid w:val="00BE4E80"/>
    <w:rsid w:val="00BE5178"/>
    <w:rsid w:val="00BE59E5"/>
    <w:rsid w:val="00BE6084"/>
    <w:rsid w:val="00BE61B5"/>
    <w:rsid w:val="00BE67ED"/>
    <w:rsid w:val="00BE6C97"/>
    <w:rsid w:val="00BE6F80"/>
    <w:rsid w:val="00BE74C1"/>
    <w:rsid w:val="00BE7871"/>
    <w:rsid w:val="00BE7D73"/>
    <w:rsid w:val="00BECA73"/>
    <w:rsid w:val="00BF05B9"/>
    <w:rsid w:val="00BF0636"/>
    <w:rsid w:val="00BF0958"/>
    <w:rsid w:val="00BF0F8E"/>
    <w:rsid w:val="00BF1060"/>
    <w:rsid w:val="00BF1CF9"/>
    <w:rsid w:val="00BF21A5"/>
    <w:rsid w:val="00BF239C"/>
    <w:rsid w:val="00BF23F3"/>
    <w:rsid w:val="00BF2A33"/>
    <w:rsid w:val="00BF2A39"/>
    <w:rsid w:val="00BF2F8C"/>
    <w:rsid w:val="00BF336B"/>
    <w:rsid w:val="00BF339E"/>
    <w:rsid w:val="00BF35A4"/>
    <w:rsid w:val="00BF35AE"/>
    <w:rsid w:val="00BF371E"/>
    <w:rsid w:val="00BF3BAF"/>
    <w:rsid w:val="00BF438E"/>
    <w:rsid w:val="00BF4617"/>
    <w:rsid w:val="00BF4D01"/>
    <w:rsid w:val="00BF50DA"/>
    <w:rsid w:val="00BF5703"/>
    <w:rsid w:val="00BF596A"/>
    <w:rsid w:val="00BF5A99"/>
    <w:rsid w:val="00BF5BBC"/>
    <w:rsid w:val="00BF5E70"/>
    <w:rsid w:val="00BF62CD"/>
    <w:rsid w:val="00BF688F"/>
    <w:rsid w:val="00BF6CA6"/>
    <w:rsid w:val="00BF6F83"/>
    <w:rsid w:val="00BF70E8"/>
    <w:rsid w:val="00BF73FA"/>
    <w:rsid w:val="00C003C0"/>
    <w:rsid w:val="00C0058B"/>
    <w:rsid w:val="00C007EF"/>
    <w:rsid w:val="00C00878"/>
    <w:rsid w:val="00C01468"/>
    <w:rsid w:val="00C016E8"/>
    <w:rsid w:val="00C01F25"/>
    <w:rsid w:val="00C0280A"/>
    <w:rsid w:val="00C02A31"/>
    <w:rsid w:val="00C02A60"/>
    <w:rsid w:val="00C02DCD"/>
    <w:rsid w:val="00C02E11"/>
    <w:rsid w:val="00C02E8D"/>
    <w:rsid w:val="00C03359"/>
    <w:rsid w:val="00C033E0"/>
    <w:rsid w:val="00C03418"/>
    <w:rsid w:val="00C0395E"/>
    <w:rsid w:val="00C039F4"/>
    <w:rsid w:val="00C03B03"/>
    <w:rsid w:val="00C04858"/>
    <w:rsid w:val="00C0489E"/>
    <w:rsid w:val="00C04A91"/>
    <w:rsid w:val="00C04C59"/>
    <w:rsid w:val="00C04C8B"/>
    <w:rsid w:val="00C050A4"/>
    <w:rsid w:val="00C0518C"/>
    <w:rsid w:val="00C0552B"/>
    <w:rsid w:val="00C059CA"/>
    <w:rsid w:val="00C06372"/>
    <w:rsid w:val="00C06898"/>
    <w:rsid w:val="00C0690A"/>
    <w:rsid w:val="00C06A4D"/>
    <w:rsid w:val="00C06ACD"/>
    <w:rsid w:val="00C06BFD"/>
    <w:rsid w:val="00C06C85"/>
    <w:rsid w:val="00C06D7F"/>
    <w:rsid w:val="00C073EA"/>
    <w:rsid w:val="00C079FE"/>
    <w:rsid w:val="00C07A3F"/>
    <w:rsid w:val="00C10E3C"/>
    <w:rsid w:val="00C10EC1"/>
    <w:rsid w:val="00C10F4F"/>
    <w:rsid w:val="00C11644"/>
    <w:rsid w:val="00C11ACA"/>
    <w:rsid w:val="00C12035"/>
    <w:rsid w:val="00C1227B"/>
    <w:rsid w:val="00C12868"/>
    <w:rsid w:val="00C12F60"/>
    <w:rsid w:val="00C1318F"/>
    <w:rsid w:val="00C1368F"/>
    <w:rsid w:val="00C13C5C"/>
    <w:rsid w:val="00C13CF2"/>
    <w:rsid w:val="00C13F03"/>
    <w:rsid w:val="00C1481C"/>
    <w:rsid w:val="00C14F94"/>
    <w:rsid w:val="00C14FD5"/>
    <w:rsid w:val="00C1519E"/>
    <w:rsid w:val="00C1522B"/>
    <w:rsid w:val="00C15588"/>
    <w:rsid w:val="00C15623"/>
    <w:rsid w:val="00C15E4B"/>
    <w:rsid w:val="00C160F9"/>
    <w:rsid w:val="00C166C6"/>
    <w:rsid w:val="00C16EC7"/>
    <w:rsid w:val="00C1729A"/>
    <w:rsid w:val="00C1780B"/>
    <w:rsid w:val="00C17892"/>
    <w:rsid w:val="00C17B0A"/>
    <w:rsid w:val="00C17EFD"/>
    <w:rsid w:val="00C2025C"/>
    <w:rsid w:val="00C20312"/>
    <w:rsid w:val="00C204E1"/>
    <w:rsid w:val="00C20A7B"/>
    <w:rsid w:val="00C2104E"/>
    <w:rsid w:val="00C211D2"/>
    <w:rsid w:val="00C21964"/>
    <w:rsid w:val="00C21E37"/>
    <w:rsid w:val="00C220CC"/>
    <w:rsid w:val="00C223B5"/>
    <w:rsid w:val="00C2261B"/>
    <w:rsid w:val="00C22704"/>
    <w:rsid w:val="00C22BFB"/>
    <w:rsid w:val="00C23313"/>
    <w:rsid w:val="00C234FE"/>
    <w:rsid w:val="00C2485C"/>
    <w:rsid w:val="00C24F62"/>
    <w:rsid w:val="00C2529C"/>
    <w:rsid w:val="00C2556B"/>
    <w:rsid w:val="00C2599C"/>
    <w:rsid w:val="00C25F0C"/>
    <w:rsid w:val="00C26467"/>
    <w:rsid w:val="00C26562"/>
    <w:rsid w:val="00C26684"/>
    <w:rsid w:val="00C268C2"/>
    <w:rsid w:val="00C26978"/>
    <w:rsid w:val="00C26B8F"/>
    <w:rsid w:val="00C27132"/>
    <w:rsid w:val="00C27250"/>
    <w:rsid w:val="00C273C4"/>
    <w:rsid w:val="00C2770A"/>
    <w:rsid w:val="00C27B6E"/>
    <w:rsid w:val="00C27BA4"/>
    <w:rsid w:val="00C27F31"/>
    <w:rsid w:val="00C30044"/>
    <w:rsid w:val="00C30137"/>
    <w:rsid w:val="00C301EE"/>
    <w:rsid w:val="00C30674"/>
    <w:rsid w:val="00C30B1C"/>
    <w:rsid w:val="00C30BD5"/>
    <w:rsid w:val="00C31071"/>
    <w:rsid w:val="00C31322"/>
    <w:rsid w:val="00C319D3"/>
    <w:rsid w:val="00C31BFF"/>
    <w:rsid w:val="00C31E7A"/>
    <w:rsid w:val="00C31FF4"/>
    <w:rsid w:val="00C3261E"/>
    <w:rsid w:val="00C32987"/>
    <w:rsid w:val="00C32E2D"/>
    <w:rsid w:val="00C331F6"/>
    <w:rsid w:val="00C335B9"/>
    <w:rsid w:val="00C339EE"/>
    <w:rsid w:val="00C34234"/>
    <w:rsid w:val="00C344C9"/>
    <w:rsid w:val="00C3469C"/>
    <w:rsid w:val="00C34D3B"/>
    <w:rsid w:val="00C34D75"/>
    <w:rsid w:val="00C35877"/>
    <w:rsid w:val="00C35FC1"/>
    <w:rsid w:val="00C36098"/>
    <w:rsid w:val="00C36EB7"/>
    <w:rsid w:val="00C37212"/>
    <w:rsid w:val="00C376E2"/>
    <w:rsid w:val="00C37D1F"/>
    <w:rsid w:val="00C404AF"/>
    <w:rsid w:val="00C40599"/>
    <w:rsid w:val="00C40D17"/>
    <w:rsid w:val="00C40DE3"/>
    <w:rsid w:val="00C40F3B"/>
    <w:rsid w:val="00C40FB3"/>
    <w:rsid w:val="00C40FE9"/>
    <w:rsid w:val="00C414B2"/>
    <w:rsid w:val="00C41AA2"/>
    <w:rsid w:val="00C41ECD"/>
    <w:rsid w:val="00C4220E"/>
    <w:rsid w:val="00C422F7"/>
    <w:rsid w:val="00C42678"/>
    <w:rsid w:val="00C426F7"/>
    <w:rsid w:val="00C42B43"/>
    <w:rsid w:val="00C42C1B"/>
    <w:rsid w:val="00C42E3D"/>
    <w:rsid w:val="00C43014"/>
    <w:rsid w:val="00C4430F"/>
    <w:rsid w:val="00C4452A"/>
    <w:rsid w:val="00C44E6C"/>
    <w:rsid w:val="00C45079"/>
    <w:rsid w:val="00C45598"/>
    <w:rsid w:val="00C458E5"/>
    <w:rsid w:val="00C45A6B"/>
    <w:rsid w:val="00C45F36"/>
    <w:rsid w:val="00C46275"/>
    <w:rsid w:val="00C463E5"/>
    <w:rsid w:val="00C46AA6"/>
    <w:rsid w:val="00C46D01"/>
    <w:rsid w:val="00C471B8"/>
    <w:rsid w:val="00C47263"/>
    <w:rsid w:val="00C47519"/>
    <w:rsid w:val="00C4770B"/>
    <w:rsid w:val="00C47B7A"/>
    <w:rsid w:val="00C47D1C"/>
    <w:rsid w:val="00C50A92"/>
    <w:rsid w:val="00C50C18"/>
    <w:rsid w:val="00C50DE4"/>
    <w:rsid w:val="00C50E3C"/>
    <w:rsid w:val="00C50F56"/>
    <w:rsid w:val="00C51187"/>
    <w:rsid w:val="00C51281"/>
    <w:rsid w:val="00C51284"/>
    <w:rsid w:val="00C51759"/>
    <w:rsid w:val="00C5179A"/>
    <w:rsid w:val="00C517A3"/>
    <w:rsid w:val="00C51C4F"/>
    <w:rsid w:val="00C5201D"/>
    <w:rsid w:val="00C52441"/>
    <w:rsid w:val="00C525D5"/>
    <w:rsid w:val="00C5262C"/>
    <w:rsid w:val="00C52988"/>
    <w:rsid w:val="00C52B66"/>
    <w:rsid w:val="00C52ECC"/>
    <w:rsid w:val="00C53022"/>
    <w:rsid w:val="00C536AD"/>
    <w:rsid w:val="00C53774"/>
    <w:rsid w:val="00C537CE"/>
    <w:rsid w:val="00C538E3"/>
    <w:rsid w:val="00C539EA"/>
    <w:rsid w:val="00C53F85"/>
    <w:rsid w:val="00C54281"/>
    <w:rsid w:val="00C545DD"/>
    <w:rsid w:val="00C546A7"/>
    <w:rsid w:val="00C5472B"/>
    <w:rsid w:val="00C54800"/>
    <w:rsid w:val="00C54CC7"/>
    <w:rsid w:val="00C54E02"/>
    <w:rsid w:val="00C55057"/>
    <w:rsid w:val="00C553D4"/>
    <w:rsid w:val="00C55454"/>
    <w:rsid w:val="00C55D3F"/>
    <w:rsid w:val="00C55E38"/>
    <w:rsid w:val="00C55E96"/>
    <w:rsid w:val="00C56035"/>
    <w:rsid w:val="00C56072"/>
    <w:rsid w:val="00C56166"/>
    <w:rsid w:val="00C561C8"/>
    <w:rsid w:val="00C56216"/>
    <w:rsid w:val="00C56359"/>
    <w:rsid w:val="00C56839"/>
    <w:rsid w:val="00C569BE"/>
    <w:rsid w:val="00C5760B"/>
    <w:rsid w:val="00C576AB"/>
    <w:rsid w:val="00C576DF"/>
    <w:rsid w:val="00C57860"/>
    <w:rsid w:val="00C57E5E"/>
    <w:rsid w:val="00C60B5B"/>
    <w:rsid w:val="00C6124A"/>
    <w:rsid w:val="00C6252C"/>
    <w:rsid w:val="00C627A2"/>
    <w:rsid w:val="00C628DA"/>
    <w:rsid w:val="00C62F0D"/>
    <w:rsid w:val="00C635A7"/>
    <w:rsid w:val="00C637B3"/>
    <w:rsid w:val="00C64107"/>
    <w:rsid w:val="00C6416C"/>
    <w:rsid w:val="00C642D3"/>
    <w:rsid w:val="00C64382"/>
    <w:rsid w:val="00C6522E"/>
    <w:rsid w:val="00C65319"/>
    <w:rsid w:val="00C65767"/>
    <w:rsid w:val="00C6670E"/>
    <w:rsid w:val="00C668F1"/>
    <w:rsid w:val="00C6695D"/>
    <w:rsid w:val="00C66EA8"/>
    <w:rsid w:val="00C675FE"/>
    <w:rsid w:val="00C678C9"/>
    <w:rsid w:val="00C67A8A"/>
    <w:rsid w:val="00C67EAC"/>
    <w:rsid w:val="00C67FB1"/>
    <w:rsid w:val="00C700CA"/>
    <w:rsid w:val="00C7012B"/>
    <w:rsid w:val="00C701DF"/>
    <w:rsid w:val="00C703DB"/>
    <w:rsid w:val="00C704CE"/>
    <w:rsid w:val="00C7055D"/>
    <w:rsid w:val="00C710B9"/>
    <w:rsid w:val="00C7123F"/>
    <w:rsid w:val="00C713B4"/>
    <w:rsid w:val="00C71572"/>
    <w:rsid w:val="00C71877"/>
    <w:rsid w:val="00C718BA"/>
    <w:rsid w:val="00C71DA3"/>
    <w:rsid w:val="00C71EFA"/>
    <w:rsid w:val="00C71F29"/>
    <w:rsid w:val="00C721FD"/>
    <w:rsid w:val="00C726CA"/>
    <w:rsid w:val="00C72733"/>
    <w:rsid w:val="00C72931"/>
    <w:rsid w:val="00C729CE"/>
    <w:rsid w:val="00C7329B"/>
    <w:rsid w:val="00C735FA"/>
    <w:rsid w:val="00C73CBB"/>
    <w:rsid w:val="00C73D7D"/>
    <w:rsid w:val="00C74194"/>
    <w:rsid w:val="00C7532E"/>
    <w:rsid w:val="00C756BC"/>
    <w:rsid w:val="00C758E2"/>
    <w:rsid w:val="00C75C5C"/>
    <w:rsid w:val="00C75D96"/>
    <w:rsid w:val="00C75DA4"/>
    <w:rsid w:val="00C75E60"/>
    <w:rsid w:val="00C7605F"/>
    <w:rsid w:val="00C76AFF"/>
    <w:rsid w:val="00C77B68"/>
    <w:rsid w:val="00C77C6C"/>
    <w:rsid w:val="00C77EB5"/>
    <w:rsid w:val="00C7CC89"/>
    <w:rsid w:val="00C80608"/>
    <w:rsid w:val="00C80758"/>
    <w:rsid w:val="00C80A57"/>
    <w:rsid w:val="00C80CFF"/>
    <w:rsid w:val="00C81416"/>
    <w:rsid w:val="00C81448"/>
    <w:rsid w:val="00C817E3"/>
    <w:rsid w:val="00C8201C"/>
    <w:rsid w:val="00C82595"/>
    <w:rsid w:val="00C8285D"/>
    <w:rsid w:val="00C8288F"/>
    <w:rsid w:val="00C82AF6"/>
    <w:rsid w:val="00C82CFB"/>
    <w:rsid w:val="00C832F5"/>
    <w:rsid w:val="00C8334F"/>
    <w:rsid w:val="00C83CAB"/>
    <w:rsid w:val="00C84110"/>
    <w:rsid w:val="00C842F0"/>
    <w:rsid w:val="00C84312"/>
    <w:rsid w:val="00C844C6"/>
    <w:rsid w:val="00C84E17"/>
    <w:rsid w:val="00C85276"/>
    <w:rsid w:val="00C85606"/>
    <w:rsid w:val="00C85CF0"/>
    <w:rsid w:val="00C85F6B"/>
    <w:rsid w:val="00C860CD"/>
    <w:rsid w:val="00C86246"/>
    <w:rsid w:val="00C86283"/>
    <w:rsid w:val="00C86872"/>
    <w:rsid w:val="00C8687C"/>
    <w:rsid w:val="00C87A35"/>
    <w:rsid w:val="00C87FBC"/>
    <w:rsid w:val="00C904D7"/>
    <w:rsid w:val="00C90773"/>
    <w:rsid w:val="00C90D04"/>
    <w:rsid w:val="00C90FB7"/>
    <w:rsid w:val="00C9101E"/>
    <w:rsid w:val="00C91245"/>
    <w:rsid w:val="00C91315"/>
    <w:rsid w:val="00C91330"/>
    <w:rsid w:val="00C91343"/>
    <w:rsid w:val="00C92256"/>
    <w:rsid w:val="00C929E4"/>
    <w:rsid w:val="00C92AAB"/>
    <w:rsid w:val="00C92FB2"/>
    <w:rsid w:val="00C9307A"/>
    <w:rsid w:val="00C942BD"/>
    <w:rsid w:val="00C94566"/>
    <w:rsid w:val="00C946FB"/>
    <w:rsid w:val="00C94F38"/>
    <w:rsid w:val="00C9501B"/>
    <w:rsid w:val="00C95808"/>
    <w:rsid w:val="00C95B3D"/>
    <w:rsid w:val="00C9603F"/>
    <w:rsid w:val="00C961FF"/>
    <w:rsid w:val="00C96267"/>
    <w:rsid w:val="00C968D5"/>
    <w:rsid w:val="00C970C8"/>
    <w:rsid w:val="00C97346"/>
    <w:rsid w:val="00CA17DE"/>
    <w:rsid w:val="00CA1D9A"/>
    <w:rsid w:val="00CA2C23"/>
    <w:rsid w:val="00CA2CD9"/>
    <w:rsid w:val="00CA2E50"/>
    <w:rsid w:val="00CA3005"/>
    <w:rsid w:val="00CA326B"/>
    <w:rsid w:val="00CA35DE"/>
    <w:rsid w:val="00CA3B5E"/>
    <w:rsid w:val="00CA3C7E"/>
    <w:rsid w:val="00CA4007"/>
    <w:rsid w:val="00CA43AD"/>
    <w:rsid w:val="00CA48B8"/>
    <w:rsid w:val="00CA4C41"/>
    <w:rsid w:val="00CA4E36"/>
    <w:rsid w:val="00CA4FBE"/>
    <w:rsid w:val="00CA4FFD"/>
    <w:rsid w:val="00CA53B7"/>
    <w:rsid w:val="00CA5851"/>
    <w:rsid w:val="00CA5C93"/>
    <w:rsid w:val="00CA5F7F"/>
    <w:rsid w:val="00CA608E"/>
    <w:rsid w:val="00CA6AEB"/>
    <w:rsid w:val="00CA6FF3"/>
    <w:rsid w:val="00CA7241"/>
    <w:rsid w:val="00CA7B86"/>
    <w:rsid w:val="00CA7CF1"/>
    <w:rsid w:val="00CA7DF7"/>
    <w:rsid w:val="00CA7EC4"/>
    <w:rsid w:val="00CA7FA0"/>
    <w:rsid w:val="00CA9768"/>
    <w:rsid w:val="00CAE00B"/>
    <w:rsid w:val="00CB00C7"/>
    <w:rsid w:val="00CB03E1"/>
    <w:rsid w:val="00CB0B1E"/>
    <w:rsid w:val="00CB0D89"/>
    <w:rsid w:val="00CB118B"/>
    <w:rsid w:val="00CB1742"/>
    <w:rsid w:val="00CB1B41"/>
    <w:rsid w:val="00CB1C66"/>
    <w:rsid w:val="00CB2179"/>
    <w:rsid w:val="00CB274A"/>
    <w:rsid w:val="00CB2CEC"/>
    <w:rsid w:val="00CB3CE1"/>
    <w:rsid w:val="00CB42A0"/>
    <w:rsid w:val="00CB4349"/>
    <w:rsid w:val="00CB43DD"/>
    <w:rsid w:val="00CB4B7D"/>
    <w:rsid w:val="00CB4DAC"/>
    <w:rsid w:val="00CB5280"/>
    <w:rsid w:val="00CB5ABC"/>
    <w:rsid w:val="00CB5FC9"/>
    <w:rsid w:val="00CB627E"/>
    <w:rsid w:val="00CB63AA"/>
    <w:rsid w:val="00CB63C3"/>
    <w:rsid w:val="00CB63CD"/>
    <w:rsid w:val="00CB6547"/>
    <w:rsid w:val="00CB6917"/>
    <w:rsid w:val="00CB6C41"/>
    <w:rsid w:val="00CB6D47"/>
    <w:rsid w:val="00CB705A"/>
    <w:rsid w:val="00CB732A"/>
    <w:rsid w:val="00CB7372"/>
    <w:rsid w:val="00CB7937"/>
    <w:rsid w:val="00CB7E45"/>
    <w:rsid w:val="00CB7EE1"/>
    <w:rsid w:val="00CBBE63"/>
    <w:rsid w:val="00CC035B"/>
    <w:rsid w:val="00CC0676"/>
    <w:rsid w:val="00CC0B7A"/>
    <w:rsid w:val="00CC0C5C"/>
    <w:rsid w:val="00CC10C3"/>
    <w:rsid w:val="00CC134B"/>
    <w:rsid w:val="00CC149C"/>
    <w:rsid w:val="00CC1B81"/>
    <w:rsid w:val="00CC20B1"/>
    <w:rsid w:val="00CC24CF"/>
    <w:rsid w:val="00CC2604"/>
    <w:rsid w:val="00CC26F2"/>
    <w:rsid w:val="00CC2DC9"/>
    <w:rsid w:val="00CC2E6C"/>
    <w:rsid w:val="00CC2F08"/>
    <w:rsid w:val="00CC2F78"/>
    <w:rsid w:val="00CC34C8"/>
    <w:rsid w:val="00CC3653"/>
    <w:rsid w:val="00CC381A"/>
    <w:rsid w:val="00CC3BBC"/>
    <w:rsid w:val="00CC447F"/>
    <w:rsid w:val="00CC4579"/>
    <w:rsid w:val="00CC47B8"/>
    <w:rsid w:val="00CC4900"/>
    <w:rsid w:val="00CC49C4"/>
    <w:rsid w:val="00CC4C36"/>
    <w:rsid w:val="00CC5A5D"/>
    <w:rsid w:val="00CC5AF3"/>
    <w:rsid w:val="00CC6017"/>
    <w:rsid w:val="00CC6363"/>
    <w:rsid w:val="00CC678D"/>
    <w:rsid w:val="00CC699F"/>
    <w:rsid w:val="00CC6AA1"/>
    <w:rsid w:val="00CC6EA7"/>
    <w:rsid w:val="00CC739A"/>
    <w:rsid w:val="00CC73EA"/>
    <w:rsid w:val="00CC773F"/>
    <w:rsid w:val="00CC7A7D"/>
    <w:rsid w:val="00CD009F"/>
    <w:rsid w:val="00CD0226"/>
    <w:rsid w:val="00CD022A"/>
    <w:rsid w:val="00CD0255"/>
    <w:rsid w:val="00CD03D0"/>
    <w:rsid w:val="00CD088F"/>
    <w:rsid w:val="00CD0B9E"/>
    <w:rsid w:val="00CD0C8C"/>
    <w:rsid w:val="00CD0D6C"/>
    <w:rsid w:val="00CD1290"/>
    <w:rsid w:val="00CD13EC"/>
    <w:rsid w:val="00CD1415"/>
    <w:rsid w:val="00CD1431"/>
    <w:rsid w:val="00CD175D"/>
    <w:rsid w:val="00CD1A5B"/>
    <w:rsid w:val="00CD1E4B"/>
    <w:rsid w:val="00CD1EF6"/>
    <w:rsid w:val="00CD3227"/>
    <w:rsid w:val="00CD3845"/>
    <w:rsid w:val="00CD398C"/>
    <w:rsid w:val="00CD3EF6"/>
    <w:rsid w:val="00CD423B"/>
    <w:rsid w:val="00CD4ED7"/>
    <w:rsid w:val="00CD520C"/>
    <w:rsid w:val="00CD538F"/>
    <w:rsid w:val="00CD5466"/>
    <w:rsid w:val="00CD55E0"/>
    <w:rsid w:val="00CD586E"/>
    <w:rsid w:val="00CD5990"/>
    <w:rsid w:val="00CD5D6A"/>
    <w:rsid w:val="00CD5DC4"/>
    <w:rsid w:val="00CD6A8E"/>
    <w:rsid w:val="00CD6B29"/>
    <w:rsid w:val="00CD7267"/>
    <w:rsid w:val="00CD7A9D"/>
    <w:rsid w:val="00CD7B75"/>
    <w:rsid w:val="00CD7D7D"/>
    <w:rsid w:val="00CD7E10"/>
    <w:rsid w:val="00CD7F36"/>
    <w:rsid w:val="00CD7F67"/>
    <w:rsid w:val="00CE00F5"/>
    <w:rsid w:val="00CE03D2"/>
    <w:rsid w:val="00CE072E"/>
    <w:rsid w:val="00CE0765"/>
    <w:rsid w:val="00CE0A18"/>
    <w:rsid w:val="00CE0DAB"/>
    <w:rsid w:val="00CE1166"/>
    <w:rsid w:val="00CE1177"/>
    <w:rsid w:val="00CE1302"/>
    <w:rsid w:val="00CE1333"/>
    <w:rsid w:val="00CE160F"/>
    <w:rsid w:val="00CE16D5"/>
    <w:rsid w:val="00CE1870"/>
    <w:rsid w:val="00CE1C98"/>
    <w:rsid w:val="00CE1F65"/>
    <w:rsid w:val="00CE216B"/>
    <w:rsid w:val="00CE240C"/>
    <w:rsid w:val="00CE24E2"/>
    <w:rsid w:val="00CE2A15"/>
    <w:rsid w:val="00CE303F"/>
    <w:rsid w:val="00CE3598"/>
    <w:rsid w:val="00CE398F"/>
    <w:rsid w:val="00CE3AB3"/>
    <w:rsid w:val="00CE3C07"/>
    <w:rsid w:val="00CE3CA2"/>
    <w:rsid w:val="00CE3F36"/>
    <w:rsid w:val="00CE482D"/>
    <w:rsid w:val="00CE488F"/>
    <w:rsid w:val="00CE4B32"/>
    <w:rsid w:val="00CE4DBD"/>
    <w:rsid w:val="00CE558A"/>
    <w:rsid w:val="00CE56C2"/>
    <w:rsid w:val="00CE5A4C"/>
    <w:rsid w:val="00CE5F88"/>
    <w:rsid w:val="00CE6EF7"/>
    <w:rsid w:val="00CE73F0"/>
    <w:rsid w:val="00CE75BB"/>
    <w:rsid w:val="00CE78FD"/>
    <w:rsid w:val="00CE792C"/>
    <w:rsid w:val="00CE7CF0"/>
    <w:rsid w:val="00CF05BC"/>
    <w:rsid w:val="00CF15C6"/>
    <w:rsid w:val="00CF1B02"/>
    <w:rsid w:val="00CF1E03"/>
    <w:rsid w:val="00CF2434"/>
    <w:rsid w:val="00CF24FC"/>
    <w:rsid w:val="00CF274E"/>
    <w:rsid w:val="00CF2C7A"/>
    <w:rsid w:val="00CF3357"/>
    <w:rsid w:val="00CF3A40"/>
    <w:rsid w:val="00CF3B64"/>
    <w:rsid w:val="00CF419F"/>
    <w:rsid w:val="00CF4713"/>
    <w:rsid w:val="00CF4A76"/>
    <w:rsid w:val="00CF4B94"/>
    <w:rsid w:val="00CF5023"/>
    <w:rsid w:val="00CF5182"/>
    <w:rsid w:val="00CF5405"/>
    <w:rsid w:val="00CF6226"/>
    <w:rsid w:val="00CF6436"/>
    <w:rsid w:val="00CF6FA6"/>
    <w:rsid w:val="00CF7068"/>
    <w:rsid w:val="00CF7601"/>
    <w:rsid w:val="00CF7852"/>
    <w:rsid w:val="00CF7A2B"/>
    <w:rsid w:val="00CF7B8D"/>
    <w:rsid w:val="00CF7C7E"/>
    <w:rsid w:val="00CF7F6F"/>
    <w:rsid w:val="00D0004E"/>
    <w:rsid w:val="00D0008C"/>
    <w:rsid w:val="00D00199"/>
    <w:rsid w:val="00D00236"/>
    <w:rsid w:val="00D0023C"/>
    <w:rsid w:val="00D002B2"/>
    <w:rsid w:val="00D00461"/>
    <w:rsid w:val="00D00B1F"/>
    <w:rsid w:val="00D00B87"/>
    <w:rsid w:val="00D00EEF"/>
    <w:rsid w:val="00D00F11"/>
    <w:rsid w:val="00D00FE6"/>
    <w:rsid w:val="00D01251"/>
    <w:rsid w:val="00D01E61"/>
    <w:rsid w:val="00D020A6"/>
    <w:rsid w:val="00D021F3"/>
    <w:rsid w:val="00D02B11"/>
    <w:rsid w:val="00D0330D"/>
    <w:rsid w:val="00D03521"/>
    <w:rsid w:val="00D03A1F"/>
    <w:rsid w:val="00D040F0"/>
    <w:rsid w:val="00D044F8"/>
    <w:rsid w:val="00D04749"/>
    <w:rsid w:val="00D04CC6"/>
    <w:rsid w:val="00D052AA"/>
    <w:rsid w:val="00D052B0"/>
    <w:rsid w:val="00D05370"/>
    <w:rsid w:val="00D05F33"/>
    <w:rsid w:val="00D06B83"/>
    <w:rsid w:val="00D06EBD"/>
    <w:rsid w:val="00D0714D"/>
    <w:rsid w:val="00D077A2"/>
    <w:rsid w:val="00D07983"/>
    <w:rsid w:val="00D07C4B"/>
    <w:rsid w:val="00D10703"/>
    <w:rsid w:val="00D109CB"/>
    <w:rsid w:val="00D10E8C"/>
    <w:rsid w:val="00D11569"/>
    <w:rsid w:val="00D119A6"/>
    <w:rsid w:val="00D11A5D"/>
    <w:rsid w:val="00D11A70"/>
    <w:rsid w:val="00D11CCE"/>
    <w:rsid w:val="00D11DB6"/>
    <w:rsid w:val="00D11E24"/>
    <w:rsid w:val="00D11E79"/>
    <w:rsid w:val="00D1255D"/>
    <w:rsid w:val="00D12871"/>
    <w:rsid w:val="00D12C29"/>
    <w:rsid w:val="00D130F4"/>
    <w:rsid w:val="00D1323F"/>
    <w:rsid w:val="00D133EA"/>
    <w:rsid w:val="00D13607"/>
    <w:rsid w:val="00D13F00"/>
    <w:rsid w:val="00D13F9F"/>
    <w:rsid w:val="00D1423F"/>
    <w:rsid w:val="00D145A6"/>
    <w:rsid w:val="00D15184"/>
    <w:rsid w:val="00D1532D"/>
    <w:rsid w:val="00D156BD"/>
    <w:rsid w:val="00D15750"/>
    <w:rsid w:val="00D15787"/>
    <w:rsid w:val="00D157D4"/>
    <w:rsid w:val="00D15D50"/>
    <w:rsid w:val="00D163AD"/>
    <w:rsid w:val="00D16B8D"/>
    <w:rsid w:val="00D16CF5"/>
    <w:rsid w:val="00D16D5A"/>
    <w:rsid w:val="00D16D98"/>
    <w:rsid w:val="00D17236"/>
    <w:rsid w:val="00D174E2"/>
    <w:rsid w:val="00D1759C"/>
    <w:rsid w:val="00D17613"/>
    <w:rsid w:val="00D177D6"/>
    <w:rsid w:val="00D17D3F"/>
    <w:rsid w:val="00D17E04"/>
    <w:rsid w:val="00D17E78"/>
    <w:rsid w:val="00D20217"/>
    <w:rsid w:val="00D2054D"/>
    <w:rsid w:val="00D2091B"/>
    <w:rsid w:val="00D209C3"/>
    <w:rsid w:val="00D20F5A"/>
    <w:rsid w:val="00D214C1"/>
    <w:rsid w:val="00D21621"/>
    <w:rsid w:val="00D22160"/>
    <w:rsid w:val="00D224C1"/>
    <w:rsid w:val="00D22A4F"/>
    <w:rsid w:val="00D22CC0"/>
    <w:rsid w:val="00D22F5A"/>
    <w:rsid w:val="00D241E2"/>
    <w:rsid w:val="00D24363"/>
    <w:rsid w:val="00D24749"/>
    <w:rsid w:val="00D249A0"/>
    <w:rsid w:val="00D24B6B"/>
    <w:rsid w:val="00D24C12"/>
    <w:rsid w:val="00D24C78"/>
    <w:rsid w:val="00D24D71"/>
    <w:rsid w:val="00D24D9A"/>
    <w:rsid w:val="00D25D7E"/>
    <w:rsid w:val="00D2600F"/>
    <w:rsid w:val="00D26B30"/>
    <w:rsid w:val="00D271AE"/>
    <w:rsid w:val="00D272DE"/>
    <w:rsid w:val="00D27B18"/>
    <w:rsid w:val="00D27D21"/>
    <w:rsid w:val="00D304AB"/>
    <w:rsid w:val="00D30A54"/>
    <w:rsid w:val="00D30B33"/>
    <w:rsid w:val="00D30E8E"/>
    <w:rsid w:val="00D30FF4"/>
    <w:rsid w:val="00D310AD"/>
    <w:rsid w:val="00D3133E"/>
    <w:rsid w:val="00D314FD"/>
    <w:rsid w:val="00D31B65"/>
    <w:rsid w:val="00D31DB6"/>
    <w:rsid w:val="00D329A8"/>
    <w:rsid w:val="00D32BC9"/>
    <w:rsid w:val="00D32BFF"/>
    <w:rsid w:val="00D3330E"/>
    <w:rsid w:val="00D3349D"/>
    <w:rsid w:val="00D337A8"/>
    <w:rsid w:val="00D338C6"/>
    <w:rsid w:val="00D3396C"/>
    <w:rsid w:val="00D33B32"/>
    <w:rsid w:val="00D346C2"/>
    <w:rsid w:val="00D352DE"/>
    <w:rsid w:val="00D352ED"/>
    <w:rsid w:val="00D3554E"/>
    <w:rsid w:val="00D35773"/>
    <w:rsid w:val="00D358AE"/>
    <w:rsid w:val="00D3602D"/>
    <w:rsid w:val="00D36085"/>
    <w:rsid w:val="00D3669E"/>
    <w:rsid w:val="00D36A6A"/>
    <w:rsid w:val="00D37175"/>
    <w:rsid w:val="00D377D0"/>
    <w:rsid w:val="00D378DA"/>
    <w:rsid w:val="00D37932"/>
    <w:rsid w:val="00D37DD5"/>
    <w:rsid w:val="00D37EAF"/>
    <w:rsid w:val="00D40187"/>
    <w:rsid w:val="00D4069A"/>
    <w:rsid w:val="00D407D8"/>
    <w:rsid w:val="00D4095A"/>
    <w:rsid w:val="00D40F67"/>
    <w:rsid w:val="00D411A8"/>
    <w:rsid w:val="00D41614"/>
    <w:rsid w:val="00D41ACF"/>
    <w:rsid w:val="00D41E48"/>
    <w:rsid w:val="00D41F70"/>
    <w:rsid w:val="00D41F9F"/>
    <w:rsid w:val="00D42095"/>
    <w:rsid w:val="00D424D7"/>
    <w:rsid w:val="00D42F0E"/>
    <w:rsid w:val="00D4322B"/>
    <w:rsid w:val="00D43627"/>
    <w:rsid w:val="00D4362D"/>
    <w:rsid w:val="00D43A9B"/>
    <w:rsid w:val="00D43F47"/>
    <w:rsid w:val="00D4405F"/>
    <w:rsid w:val="00D446BB"/>
    <w:rsid w:val="00D446D5"/>
    <w:rsid w:val="00D4487F"/>
    <w:rsid w:val="00D44B82"/>
    <w:rsid w:val="00D458E6"/>
    <w:rsid w:val="00D45BE0"/>
    <w:rsid w:val="00D46845"/>
    <w:rsid w:val="00D46E66"/>
    <w:rsid w:val="00D46E9B"/>
    <w:rsid w:val="00D471C4"/>
    <w:rsid w:val="00D471C5"/>
    <w:rsid w:val="00D479F6"/>
    <w:rsid w:val="00D47BDF"/>
    <w:rsid w:val="00D47E04"/>
    <w:rsid w:val="00D47ECB"/>
    <w:rsid w:val="00D5031D"/>
    <w:rsid w:val="00D5098C"/>
    <w:rsid w:val="00D509D5"/>
    <w:rsid w:val="00D50B6B"/>
    <w:rsid w:val="00D50DDA"/>
    <w:rsid w:val="00D5101E"/>
    <w:rsid w:val="00D5122C"/>
    <w:rsid w:val="00D51632"/>
    <w:rsid w:val="00D516D0"/>
    <w:rsid w:val="00D5184A"/>
    <w:rsid w:val="00D519F0"/>
    <w:rsid w:val="00D51A53"/>
    <w:rsid w:val="00D51C62"/>
    <w:rsid w:val="00D51F88"/>
    <w:rsid w:val="00D526B5"/>
    <w:rsid w:val="00D528D9"/>
    <w:rsid w:val="00D52925"/>
    <w:rsid w:val="00D52BD6"/>
    <w:rsid w:val="00D52E07"/>
    <w:rsid w:val="00D52EA7"/>
    <w:rsid w:val="00D52F14"/>
    <w:rsid w:val="00D530FF"/>
    <w:rsid w:val="00D53533"/>
    <w:rsid w:val="00D53ABC"/>
    <w:rsid w:val="00D549A9"/>
    <w:rsid w:val="00D54E01"/>
    <w:rsid w:val="00D55326"/>
    <w:rsid w:val="00D556AE"/>
    <w:rsid w:val="00D559C3"/>
    <w:rsid w:val="00D55CB0"/>
    <w:rsid w:val="00D562C5"/>
    <w:rsid w:val="00D563B2"/>
    <w:rsid w:val="00D566F8"/>
    <w:rsid w:val="00D56958"/>
    <w:rsid w:val="00D56C0D"/>
    <w:rsid w:val="00D5713E"/>
    <w:rsid w:val="00D573AF"/>
    <w:rsid w:val="00D57449"/>
    <w:rsid w:val="00D576D2"/>
    <w:rsid w:val="00D57D35"/>
    <w:rsid w:val="00D60010"/>
    <w:rsid w:val="00D601B5"/>
    <w:rsid w:val="00D60260"/>
    <w:rsid w:val="00D602EA"/>
    <w:rsid w:val="00D604A7"/>
    <w:rsid w:val="00D6050C"/>
    <w:rsid w:val="00D60614"/>
    <w:rsid w:val="00D60751"/>
    <w:rsid w:val="00D61696"/>
    <w:rsid w:val="00D616F4"/>
    <w:rsid w:val="00D618D0"/>
    <w:rsid w:val="00D61E1A"/>
    <w:rsid w:val="00D62793"/>
    <w:rsid w:val="00D62B0C"/>
    <w:rsid w:val="00D62E79"/>
    <w:rsid w:val="00D62E86"/>
    <w:rsid w:val="00D63239"/>
    <w:rsid w:val="00D637FF"/>
    <w:rsid w:val="00D642DF"/>
    <w:rsid w:val="00D644E0"/>
    <w:rsid w:val="00D6455F"/>
    <w:rsid w:val="00D64621"/>
    <w:rsid w:val="00D647FF"/>
    <w:rsid w:val="00D648B7"/>
    <w:rsid w:val="00D6495E"/>
    <w:rsid w:val="00D64A5E"/>
    <w:rsid w:val="00D64CF9"/>
    <w:rsid w:val="00D64F51"/>
    <w:rsid w:val="00D64FA3"/>
    <w:rsid w:val="00D64FAB"/>
    <w:rsid w:val="00D65CCB"/>
    <w:rsid w:val="00D661BF"/>
    <w:rsid w:val="00D6699D"/>
    <w:rsid w:val="00D66D7E"/>
    <w:rsid w:val="00D66E6D"/>
    <w:rsid w:val="00D67467"/>
    <w:rsid w:val="00D679D4"/>
    <w:rsid w:val="00D67B23"/>
    <w:rsid w:val="00D67CAF"/>
    <w:rsid w:val="00D67FF0"/>
    <w:rsid w:val="00D7015B"/>
    <w:rsid w:val="00D7075C"/>
    <w:rsid w:val="00D70876"/>
    <w:rsid w:val="00D70AC3"/>
    <w:rsid w:val="00D70FBC"/>
    <w:rsid w:val="00D71D00"/>
    <w:rsid w:val="00D71E9B"/>
    <w:rsid w:val="00D7267C"/>
    <w:rsid w:val="00D72AE6"/>
    <w:rsid w:val="00D730B9"/>
    <w:rsid w:val="00D734AD"/>
    <w:rsid w:val="00D73783"/>
    <w:rsid w:val="00D73FAB"/>
    <w:rsid w:val="00D740D9"/>
    <w:rsid w:val="00D74325"/>
    <w:rsid w:val="00D74BB3"/>
    <w:rsid w:val="00D74E45"/>
    <w:rsid w:val="00D74F06"/>
    <w:rsid w:val="00D75152"/>
    <w:rsid w:val="00D751C4"/>
    <w:rsid w:val="00D755EF"/>
    <w:rsid w:val="00D75B6F"/>
    <w:rsid w:val="00D75F7F"/>
    <w:rsid w:val="00D76226"/>
    <w:rsid w:val="00D76579"/>
    <w:rsid w:val="00D76868"/>
    <w:rsid w:val="00D769B7"/>
    <w:rsid w:val="00D76E02"/>
    <w:rsid w:val="00D76EF1"/>
    <w:rsid w:val="00D770D0"/>
    <w:rsid w:val="00D773A7"/>
    <w:rsid w:val="00D7744C"/>
    <w:rsid w:val="00D77CF6"/>
    <w:rsid w:val="00D77E05"/>
    <w:rsid w:val="00D77EFD"/>
    <w:rsid w:val="00D77FD5"/>
    <w:rsid w:val="00D79115"/>
    <w:rsid w:val="00D80416"/>
    <w:rsid w:val="00D808C5"/>
    <w:rsid w:val="00D8096B"/>
    <w:rsid w:val="00D81211"/>
    <w:rsid w:val="00D81756"/>
    <w:rsid w:val="00D81852"/>
    <w:rsid w:val="00D81947"/>
    <w:rsid w:val="00D81B72"/>
    <w:rsid w:val="00D82482"/>
    <w:rsid w:val="00D82BDE"/>
    <w:rsid w:val="00D82D74"/>
    <w:rsid w:val="00D83556"/>
    <w:rsid w:val="00D83C38"/>
    <w:rsid w:val="00D83FCA"/>
    <w:rsid w:val="00D8415F"/>
    <w:rsid w:val="00D84173"/>
    <w:rsid w:val="00D84189"/>
    <w:rsid w:val="00D84758"/>
    <w:rsid w:val="00D84801"/>
    <w:rsid w:val="00D84913"/>
    <w:rsid w:val="00D852E8"/>
    <w:rsid w:val="00D855C9"/>
    <w:rsid w:val="00D85C5C"/>
    <w:rsid w:val="00D85C5F"/>
    <w:rsid w:val="00D85C6A"/>
    <w:rsid w:val="00D85F38"/>
    <w:rsid w:val="00D86130"/>
    <w:rsid w:val="00D865FC"/>
    <w:rsid w:val="00D86822"/>
    <w:rsid w:val="00D86FC8"/>
    <w:rsid w:val="00D87847"/>
    <w:rsid w:val="00D87D35"/>
    <w:rsid w:val="00D87FCF"/>
    <w:rsid w:val="00D90600"/>
    <w:rsid w:val="00D90A1D"/>
    <w:rsid w:val="00D90D5C"/>
    <w:rsid w:val="00D91397"/>
    <w:rsid w:val="00D914CB"/>
    <w:rsid w:val="00D91771"/>
    <w:rsid w:val="00D91DBF"/>
    <w:rsid w:val="00D91ECB"/>
    <w:rsid w:val="00D921C1"/>
    <w:rsid w:val="00D9235F"/>
    <w:rsid w:val="00D92A9A"/>
    <w:rsid w:val="00D92CBB"/>
    <w:rsid w:val="00D9318F"/>
    <w:rsid w:val="00D93272"/>
    <w:rsid w:val="00D932F6"/>
    <w:rsid w:val="00D9376F"/>
    <w:rsid w:val="00D93E44"/>
    <w:rsid w:val="00D947CA"/>
    <w:rsid w:val="00D94E22"/>
    <w:rsid w:val="00D94E2D"/>
    <w:rsid w:val="00D951A0"/>
    <w:rsid w:val="00D95373"/>
    <w:rsid w:val="00D954CD"/>
    <w:rsid w:val="00D95691"/>
    <w:rsid w:val="00D95926"/>
    <w:rsid w:val="00D95AB6"/>
    <w:rsid w:val="00D95F45"/>
    <w:rsid w:val="00D968E1"/>
    <w:rsid w:val="00D96AED"/>
    <w:rsid w:val="00D96B54"/>
    <w:rsid w:val="00D96D9A"/>
    <w:rsid w:val="00D96DD3"/>
    <w:rsid w:val="00D96ED2"/>
    <w:rsid w:val="00D97207"/>
    <w:rsid w:val="00D97222"/>
    <w:rsid w:val="00D97489"/>
    <w:rsid w:val="00D97A41"/>
    <w:rsid w:val="00D97CAF"/>
    <w:rsid w:val="00DA014B"/>
    <w:rsid w:val="00DA033D"/>
    <w:rsid w:val="00DA06C7"/>
    <w:rsid w:val="00DA0AA9"/>
    <w:rsid w:val="00DA32C6"/>
    <w:rsid w:val="00DA355B"/>
    <w:rsid w:val="00DA4278"/>
    <w:rsid w:val="00DA482C"/>
    <w:rsid w:val="00DA488C"/>
    <w:rsid w:val="00DA5015"/>
    <w:rsid w:val="00DA5AF2"/>
    <w:rsid w:val="00DA6018"/>
    <w:rsid w:val="00DA648B"/>
    <w:rsid w:val="00DA6601"/>
    <w:rsid w:val="00DA6990"/>
    <w:rsid w:val="00DA6AFA"/>
    <w:rsid w:val="00DA6EA5"/>
    <w:rsid w:val="00DA6FF9"/>
    <w:rsid w:val="00DA7055"/>
    <w:rsid w:val="00DA7264"/>
    <w:rsid w:val="00DA77C0"/>
    <w:rsid w:val="00DA7945"/>
    <w:rsid w:val="00DAF1DA"/>
    <w:rsid w:val="00DB0182"/>
    <w:rsid w:val="00DB0563"/>
    <w:rsid w:val="00DB091C"/>
    <w:rsid w:val="00DB113F"/>
    <w:rsid w:val="00DB1241"/>
    <w:rsid w:val="00DB199F"/>
    <w:rsid w:val="00DB254D"/>
    <w:rsid w:val="00DB25BE"/>
    <w:rsid w:val="00DB25FD"/>
    <w:rsid w:val="00DB292E"/>
    <w:rsid w:val="00DB3D41"/>
    <w:rsid w:val="00DB3D77"/>
    <w:rsid w:val="00DB3E00"/>
    <w:rsid w:val="00DB3EA2"/>
    <w:rsid w:val="00DB418F"/>
    <w:rsid w:val="00DB47BF"/>
    <w:rsid w:val="00DB494E"/>
    <w:rsid w:val="00DB4ABC"/>
    <w:rsid w:val="00DB4F89"/>
    <w:rsid w:val="00DB5A1F"/>
    <w:rsid w:val="00DB5B54"/>
    <w:rsid w:val="00DB5D30"/>
    <w:rsid w:val="00DB5DD7"/>
    <w:rsid w:val="00DB6082"/>
    <w:rsid w:val="00DB6C54"/>
    <w:rsid w:val="00DB6E73"/>
    <w:rsid w:val="00DB7353"/>
    <w:rsid w:val="00DB78B2"/>
    <w:rsid w:val="00DB78E0"/>
    <w:rsid w:val="00DB7FCD"/>
    <w:rsid w:val="00DC0058"/>
    <w:rsid w:val="00DC005D"/>
    <w:rsid w:val="00DC0231"/>
    <w:rsid w:val="00DC029B"/>
    <w:rsid w:val="00DC0386"/>
    <w:rsid w:val="00DC03D8"/>
    <w:rsid w:val="00DC08B6"/>
    <w:rsid w:val="00DC097B"/>
    <w:rsid w:val="00DC097F"/>
    <w:rsid w:val="00DC0A43"/>
    <w:rsid w:val="00DC0C5E"/>
    <w:rsid w:val="00DC185F"/>
    <w:rsid w:val="00DC235B"/>
    <w:rsid w:val="00DC28AC"/>
    <w:rsid w:val="00DC2928"/>
    <w:rsid w:val="00DC2C3A"/>
    <w:rsid w:val="00DC2FFA"/>
    <w:rsid w:val="00DC314A"/>
    <w:rsid w:val="00DC31B8"/>
    <w:rsid w:val="00DC3297"/>
    <w:rsid w:val="00DC37A2"/>
    <w:rsid w:val="00DC38CC"/>
    <w:rsid w:val="00DC43F0"/>
    <w:rsid w:val="00DC4E89"/>
    <w:rsid w:val="00DC527D"/>
    <w:rsid w:val="00DC59D5"/>
    <w:rsid w:val="00DC5CC7"/>
    <w:rsid w:val="00DC624F"/>
    <w:rsid w:val="00DC670F"/>
    <w:rsid w:val="00DC6FD1"/>
    <w:rsid w:val="00DC74E3"/>
    <w:rsid w:val="00DC7F00"/>
    <w:rsid w:val="00DD0154"/>
    <w:rsid w:val="00DD027F"/>
    <w:rsid w:val="00DD0E30"/>
    <w:rsid w:val="00DD15BE"/>
    <w:rsid w:val="00DD1714"/>
    <w:rsid w:val="00DD1E37"/>
    <w:rsid w:val="00DD22FC"/>
    <w:rsid w:val="00DD240F"/>
    <w:rsid w:val="00DD2BF9"/>
    <w:rsid w:val="00DD2D74"/>
    <w:rsid w:val="00DD2DDE"/>
    <w:rsid w:val="00DD2E01"/>
    <w:rsid w:val="00DD3906"/>
    <w:rsid w:val="00DD3BBC"/>
    <w:rsid w:val="00DD3BDC"/>
    <w:rsid w:val="00DD3CC0"/>
    <w:rsid w:val="00DD3D79"/>
    <w:rsid w:val="00DD4BBE"/>
    <w:rsid w:val="00DD4CF8"/>
    <w:rsid w:val="00DD4FF2"/>
    <w:rsid w:val="00DD50F4"/>
    <w:rsid w:val="00DD5639"/>
    <w:rsid w:val="00DD5A71"/>
    <w:rsid w:val="00DD5B29"/>
    <w:rsid w:val="00DD6643"/>
    <w:rsid w:val="00DD6F21"/>
    <w:rsid w:val="00DD7273"/>
    <w:rsid w:val="00DD7615"/>
    <w:rsid w:val="00DD77DA"/>
    <w:rsid w:val="00DD7AD8"/>
    <w:rsid w:val="00DD7C3D"/>
    <w:rsid w:val="00DE05FB"/>
    <w:rsid w:val="00DE1136"/>
    <w:rsid w:val="00DE1A0D"/>
    <w:rsid w:val="00DE1EA0"/>
    <w:rsid w:val="00DE1F15"/>
    <w:rsid w:val="00DE1F43"/>
    <w:rsid w:val="00DE203F"/>
    <w:rsid w:val="00DE28B3"/>
    <w:rsid w:val="00DE3844"/>
    <w:rsid w:val="00DE3F8E"/>
    <w:rsid w:val="00DE42B8"/>
    <w:rsid w:val="00DE431D"/>
    <w:rsid w:val="00DE451E"/>
    <w:rsid w:val="00DE462B"/>
    <w:rsid w:val="00DE5630"/>
    <w:rsid w:val="00DE5880"/>
    <w:rsid w:val="00DE60F3"/>
    <w:rsid w:val="00DE6208"/>
    <w:rsid w:val="00DE6A6A"/>
    <w:rsid w:val="00DE6C05"/>
    <w:rsid w:val="00DE6C69"/>
    <w:rsid w:val="00DE6DFC"/>
    <w:rsid w:val="00DE7FD2"/>
    <w:rsid w:val="00DF00FC"/>
    <w:rsid w:val="00DF096C"/>
    <w:rsid w:val="00DF0D1B"/>
    <w:rsid w:val="00DF0ECF"/>
    <w:rsid w:val="00DF1768"/>
    <w:rsid w:val="00DF1B8C"/>
    <w:rsid w:val="00DF1ED1"/>
    <w:rsid w:val="00DF21DF"/>
    <w:rsid w:val="00DF2427"/>
    <w:rsid w:val="00DF29EF"/>
    <w:rsid w:val="00DF2A31"/>
    <w:rsid w:val="00DF2E99"/>
    <w:rsid w:val="00DF2ED1"/>
    <w:rsid w:val="00DF2F77"/>
    <w:rsid w:val="00DF320B"/>
    <w:rsid w:val="00DF369C"/>
    <w:rsid w:val="00DF3706"/>
    <w:rsid w:val="00DF3B46"/>
    <w:rsid w:val="00DF3C7D"/>
    <w:rsid w:val="00DF3E08"/>
    <w:rsid w:val="00DF416D"/>
    <w:rsid w:val="00DF4314"/>
    <w:rsid w:val="00DF53F4"/>
    <w:rsid w:val="00DF581C"/>
    <w:rsid w:val="00DF5D3E"/>
    <w:rsid w:val="00DF5EC6"/>
    <w:rsid w:val="00DF5F21"/>
    <w:rsid w:val="00DF6084"/>
    <w:rsid w:val="00DF627F"/>
    <w:rsid w:val="00DF648B"/>
    <w:rsid w:val="00DF687A"/>
    <w:rsid w:val="00DF6A64"/>
    <w:rsid w:val="00DF6B3F"/>
    <w:rsid w:val="00DF6EAC"/>
    <w:rsid w:val="00DF7318"/>
    <w:rsid w:val="00DF762A"/>
    <w:rsid w:val="00E005A2"/>
    <w:rsid w:val="00E010E5"/>
    <w:rsid w:val="00E01663"/>
    <w:rsid w:val="00E01BC7"/>
    <w:rsid w:val="00E01CCF"/>
    <w:rsid w:val="00E020A4"/>
    <w:rsid w:val="00E02453"/>
    <w:rsid w:val="00E02519"/>
    <w:rsid w:val="00E027C3"/>
    <w:rsid w:val="00E030A9"/>
    <w:rsid w:val="00E03199"/>
    <w:rsid w:val="00E033A8"/>
    <w:rsid w:val="00E03460"/>
    <w:rsid w:val="00E036A7"/>
    <w:rsid w:val="00E03742"/>
    <w:rsid w:val="00E03A90"/>
    <w:rsid w:val="00E03C63"/>
    <w:rsid w:val="00E03D70"/>
    <w:rsid w:val="00E0405E"/>
    <w:rsid w:val="00E0406B"/>
    <w:rsid w:val="00E04080"/>
    <w:rsid w:val="00E041C4"/>
    <w:rsid w:val="00E045E1"/>
    <w:rsid w:val="00E045E9"/>
    <w:rsid w:val="00E04F88"/>
    <w:rsid w:val="00E054B2"/>
    <w:rsid w:val="00E057CB"/>
    <w:rsid w:val="00E05845"/>
    <w:rsid w:val="00E05961"/>
    <w:rsid w:val="00E05DC8"/>
    <w:rsid w:val="00E0634D"/>
    <w:rsid w:val="00E065F7"/>
    <w:rsid w:val="00E06CF0"/>
    <w:rsid w:val="00E07010"/>
    <w:rsid w:val="00E0731B"/>
    <w:rsid w:val="00E07338"/>
    <w:rsid w:val="00E1022E"/>
    <w:rsid w:val="00E108BE"/>
    <w:rsid w:val="00E108CE"/>
    <w:rsid w:val="00E10A4E"/>
    <w:rsid w:val="00E10BC1"/>
    <w:rsid w:val="00E11069"/>
    <w:rsid w:val="00E11837"/>
    <w:rsid w:val="00E11DB0"/>
    <w:rsid w:val="00E11ECC"/>
    <w:rsid w:val="00E12096"/>
    <w:rsid w:val="00E1214B"/>
    <w:rsid w:val="00E126D8"/>
    <w:rsid w:val="00E12A30"/>
    <w:rsid w:val="00E12B11"/>
    <w:rsid w:val="00E12B19"/>
    <w:rsid w:val="00E12D08"/>
    <w:rsid w:val="00E13057"/>
    <w:rsid w:val="00E13722"/>
    <w:rsid w:val="00E13EB9"/>
    <w:rsid w:val="00E14298"/>
    <w:rsid w:val="00E1473D"/>
    <w:rsid w:val="00E14757"/>
    <w:rsid w:val="00E1491A"/>
    <w:rsid w:val="00E14B97"/>
    <w:rsid w:val="00E15292"/>
    <w:rsid w:val="00E154AD"/>
    <w:rsid w:val="00E1554D"/>
    <w:rsid w:val="00E15C7E"/>
    <w:rsid w:val="00E15FF9"/>
    <w:rsid w:val="00E169E1"/>
    <w:rsid w:val="00E16A18"/>
    <w:rsid w:val="00E17155"/>
    <w:rsid w:val="00E17583"/>
    <w:rsid w:val="00E17769"/>
    <w:rsid w:val="00E17A05"/>
    <w:rsid w:val="00E17D2B"/>
    <w:rsid w:val="00E2045C"/>
    <w:rsid w:val="00E2057B"/>
    <w:rsid w:val="00E20586"/>
    <w:rsid w:val="00E20AE2"/>
    <w:rsid w:val="00E20F36"/>
    <w:rsid w:val="00E2117B"/>
    <w:rsid w:val="00E21202"/>
    <w:rsid w:val="00E21469"/>
    <w:rsid w:val="00E2181A"/>
    <w:rsid w:val="00E21D9B"/>
    <w:rsid w:val="00E21FBA"/>
    <w:rsid w:val="00E221EB"/>
    <w:rsid w:val="00E2242A"/>
    <w:rsid w:val="00E225FA"/>
    <w:rsid w:val="00E22D2E"/>
    <w:rsid w:val="00E22F52"/>
    <w:rsid w:val="00E236C7"/>
    <w:rsid w:val="00E245FB"/>
    <w:rsid w:val="00E24A5F"/>
    <w:rsid w:val="00E24C6D"/>
    <w:rsid w:val="00E24C79"/>
    <w:rsid w:val="00E25650"/>
    <w:rsid w:val="00E25725"/>
    <w:rsid w:val="00E25797"/>
    <w:rsid w:val="00E25AC3"/>
    <w:rsid w:val="00E266A7"/>
    <w:rsid w:val="00E268C9"/>
    <w:rsid w:val="00E26A68"/>
    <w:rsid w:val="00E26F0E"/>
    <w:rsid w:val="00E26F37"/>
    <w:rsid w:val="00E27023"/>
    <w:rsid w:val="00E277C9"/>
    <w:rsid w:val="00E27884"/>
    <w:rsid w:val="00E279A6"/>
    <w:rsid w:val="00E27BBA"/>
    <w:rsid w:val="00E27F0E"/>
    <w:rsid w:val="00E301AD"/>
    <w:rsid w:val="00E305CA"/>
    <w:rsid w:val="00E30872"/>
    <w:rsid w:val="00E30B14"/>
    <w:rsid w:val="00E3110B"/>
    <w:rsid w:val="00E3143A"/>
    <w:rsid w:val="00E31A54"/>
    <w:rsid w:val="00E31F13"/>
    <w:rsid w:val="00E32038"/>
    <w:rsid w:val="00E32099"/>
    <w:rsid w:val="00E324C8"/>
    <w:rsid w:val="00E32510"/>
    <w:rsid w:val="00E326F7"/>
    <w:rsid w:val="00E32C35"/>
    <w:rsid w:val="00E33E0C"/>
    <w:rsid w:val="00E34640"/>
    <w:rsid w:val="00E3477A"/>
    <w:rsid w:val="00E34C4C"/>
    <w:rsid w:val="00E34E4C"/>
    <w:rsid w:val="00E34EE8"/>
    <w:rsid w:val="00E3512B"/>
    <w:rsid w:val="00E35441"/>
    <w:rsid w:val="00E35470"/>
    <w:rsid w:val="00E3549D"/>
    <w:rsid w:val="00E356FA"/>
    <w:rsid w:val="00E35BC1"/>
    <w:rsid w:val="00E36520"/>
    <w:rsid w:val="00E365B3"/>
    <w:rsid w:val="00E402E3"/>
    <w:rsid w:val="00E40C91"/>
    <w:rsid w:val="00E410AD"/>
    <w:rsid w:val="00E4122E"/>
    <w:rsid w:val="00E41681"/>
    <w:rsid w:val="00E41B23"/>
    <w:rsid w:val="00E42147"/>
    <w:rsid w:val="00E42301"/>
    <w:rsid w:val="00E432E2"/>
    <w:rsid w:val="00E4335F"/>
    <w:rsid w:val="00E434D3"/>
    <w:rsid w:val="00E43ADB"/>
    <w:rsid w:val="00E43E68"/>
    <w:rsid w:val="00E4401E"/>
    <w:rsid w:val="00E44C82"/>
    <w:rsid w:val="00E44ED5"/>
    <w:rsid w:val="00E453D0"/>
    <w:rsid w:val="00E45849"/>
    <w:rsid w:val="00E45DE8"/>
    <w:rsid w:val="00E460B2"/>
    <w:rsid w:val="00E463F1"/>
    <w:rsid w:val="00E4653A"/>
    <w:rsid w:val="00E46BAE"/>
    <w:rsid w:val="00E46D79"/>
    <w:rsid w:val="00E46EE8"/>
    <w:rsid w:val="00E46F8D"/>
    <w:rsid w:val="00E50427"/>
    <w:rsid w:val="00E507AC"/>
    <w:rsid w:val="00E511EE"/>
    <w:rsid w:val="00E514A2"/>
    <w:rsid w:val="00E516EA"/>
    <w:rsid w:val="00E51BC0"/>
    <w:rsid w:val="00E520C7"/>
    <w:rsid w:val="00E52351"/>
    <w:rsid w:val="00E5274B"/>
    <w:rsid w:val="00E52A04"/>
    <w:rsid w:val="00E52A1F"/>
    <w:rsid w:val="00E5301B"/>
    <w:rsid w:val="00E534AA"/>
    <w:rsid w:val="00E5379C"/>
    <w:rsid w:val="00E53E20"/>
    <w:rsid w:val="00E54105"/>
    <w:rsid w:val="00E543BF"/>
    <w:rsid w:val="00E5448B"/>
    <w:rsid w:val="00E5452D"/>
    <w:rsid w:val="00E54B97"/>
    <w:rsid w:val="00E54DA1"/>
    <w:rsid w:val="00E55E7B"/>
    <w:rsid w:val="00E56260"/>
    <w:rsid w:val="00E56297"/>
    <w:rsid w:val="00E564BB"/>
    <w:rsid w:val="00E56A92"/>
    <w:rsid w:val="00E56C59"/>
    <w:rsid w:val="00E56C85"/>
    <w:rsid w:val="00E574FD"/>
    <w:rsid w:val="00E57AC3"/>
    <w:rsid w:val="00E57C66"/>
    <w:rsid w:val="00E57CDA"/>
    <w:rsid w:val="00E6005B"/>
    <w:rsid w:val="00E605A7"/>
    <w:rsid w:val="00E6090A"/>
    <w:rsid w:val="00E60A25"/>
    <w:rsid w:val="00E6135F"/>
    <w:rsid w:val="00E616F1"/>
    <w:rsid w:val="00E61B07"/>
    <w:rsid w:val="00E61BF3"/>
    <w:rsid w:val="00E621E5"/>
    <w:rsid w:val="00E62659"/>
    <w:rsid w:val="00E62856"/>
    <w:rsid w:val="00E629BC"/>
    <w:rsid w:val="00E62A7A"/>
    <w:rsid w:val="00E62ADF"/>
    <w:rsid w:val="00E62BD9"/>
    <w:rsid w:val="00E62DDA"/>
    <w:rsid w:val="00E631FA"/>
    <w:rsid w:val="00E633FA"/>
    <w:rsid w:val="00E63B21"/>
    <w:rsid w:val="00E63D0A"/>
    <w:rsid w:val="00E63D38"/>
    <w:rsid w:val="00E64229"/>
    <w:rsid w:val="00E644DE"/>
    <w:rsid w:val="00E646DC"/>
    <w:rsid w:val="00E64912"/>
    <w:rsid w:val="00E64A55"/>
    <w:rsid w:val="00E64C8D"/>
    <w:rsid w:val="00E6565B"/>
    <w:rsid w:val="00E65868"/>
    <w:rsid w:val="00E65B3B"/>
    <w:rsid w:val="00E65F35"/>
    <w:rsid w:val="00E6630E"/>
    <w:rsid w:val="00E664DF"/>
    <w:rsid w:val="00E66897"/>
    <w:rsid w:val="00E66969"/>
    <w:rsid w:val="00E66D0A"/>
    <w:rsid w:val="00E6723E"/>
    <w:rsid w:val="00E67263"/>
    <w:rsid w:val="00E675B3"/>
    <w:rsid w:val="00E67605"/>
    <w:rsid w:val="00E67A55"/>
    <w:rsid w:val="00E67EF9"/>
    <w:rsid w:val="00E70EA5"/>
    <w:rsid w:val="00E71086"/>
    <w:rsid w:val="00E71858"/>
    <w:rsid w:val="00E71CFB"/>
    <w:rsid w:val="00E72175"/>
    <w:rsid w:val="00E72555"/>
    <w:rsid w:val="00E72888"/>
    <w:rsid w:val="00E72DA0"/>
    <w:rsid w:val="00E73092"/>
    <w:rsid w:val="00E7310F"/>
    <w:rsid w:val="00E74068"/>
    <w:rsid w:val="00E744C9"/>
    <w:rsid w:val="00E747B3"/>
    <w:rsid w:val="00E74E55"/>
    <w:rsid w:val="00E750CB"/>
    <w:rsid w:val="00E7512B"/>
    <w:rsid w:val="00E75165"/>
    <w:rsid w:val="00E75211"/>
    <w:rsid w:val="00E75C61"/>
    <w:rsid w:val="00E76375"/>
    <w:rsid w:val="00E76809"/>
    <w:rsid w:val="00E76D3C"/>
    <w:rsid w:val="00E76E96"/>
    <w:rsid w:val="00E770D2"/>
    <w:rsid w:val="00E7754E"/>
    <w:rsid w:val="00E776EE"/>
    <w:rsid w:val="00E77825"/>
    <w:rsid w:val="00E77912"/>
    <w:rsid w:val="00E7792F"/>
    <w:rsid w:val="00E779D4"/>
    <w:rsid w:val="00E77C92"/>
    <w:rsid w:val="00E77D1F"/>
    <w:rsid w:val="00E77ECE"/>
    <w:rsid w:val="00E8029C"/>
    <w:rsid w:val="00E80719"/>
    <w:rsid w:val="00E80BF4"/>
    <w:rsid w:val="00E80FBF"/>
    <w:rsid w:val="00E81FA3"/>
    <w:rsid w:val="00E82004"/>
    <w:rsid w:val="00E8215A"/>
    <w:rsid w:val="00E821B9"/>
    <w:rsid w:val="00E823ED"/>
    <w:rsid w:val="00E82561"/>
    <w:rsid w:val="00E82A96"/>
    <w:rsid w:val="00E82B3B"/>
    <w:rsid w:val="00E82DEB"/>
    <w:rsid w:val="00E834B8"/>
    <w:rsid w:val="00E835DC"/>
    <w:rsid w:val="00E836C0"/>
    <w:rsid w:val="00E83CF4"/>
    <w:rsid w:val="00E84124"/>
    <w:rsid w:val="00E84608"/>
    <w:rsid w:val="00E849CC"/>
    <w:rsid w:val="00E850A5"/>
    <w:rsid w:val="00E85149"/>
    <w:rsid w:val="00E851BC"/>
    <w:rsid w:val="00E85239"/>
    <w:rsid w:val="00E852E2"/>
    <w:rsid w:val="00E85B55"/>
    <w:rsid w:val="00E860B2"/>
    <w:rsid w:val="00E864F4"/>
    <w:rsid w:val="00E86AE1"/>
    <w:rsid w:val="00E86F7B"/>
    <w:rsid w:val="00E871D5"/>
    <w:rsid w:val="00E87AA6"/>
    <w:rsid w:val="00E90399"/>
    <w:rsid w:val="00E9039E"/>
    <w:rsid w:val="00E909D2"/>
    <w:rsid w:val="00E90B1B"/>
    <w:rsid w:val="00E90BBF"/>
    <w:rsid w:val="00E90C51"/>
    <w:rsid w:val="00E90E49"/>
    <w:rsid w:val="00E90F27"/>
    <w:rsid w:val="00E910CB"/>
    <w:rsid w:val="00E9153D"/>
    <w:rsid w:val="00E91923"/>
    <w:rsid w:val="00E91D18"/>
    <w:rsid w:val="00E920E0"/>
    <w:rsid w:val="00E92539"/>
    <w:rsid w:val="00E9256D"/>
    <w:rsid w:val="00E9257E"/>
    <w:rsid w:val="00E92AEF"/>
    <w:rsid w:val="00E930E6"/>
    <w:rsid w:val="00E9318E"/>
    <w:rsid w:val="00E93279"/>
    <w:rsid w:val="00E932FD"/>
    <w:rsid w:val="00E93346"/>
    <w:rsid w:val="00E93B10"/>
    <w:rsid w:val="00E93EC5"/>
    <w:rsid w:val="00E9439B"/>
    <w:rsid w:val="00E94465"/>
    <w:rsid w:val="00E948BE"/>
    <w:rsid w:val="00E94C54"/>
    <w:rsid w:val="00E95163"/>
    <w:rsid w:val="00E9550B"/>
    <w:rsid w:val="00E95A60"/>
    <w:rsid w:val="00E9639D"/>
    <w:rsid w:val="00E967D2"/>
    <w:rsid w:val="00E96B32"/>
    <w:rsid w:val="00E96FF7"/>
    <w:rsid w:val="00E97A04"/>
    <w:rsid w:val="00E97A08"/>
    <w:rsid w:val="00EA0130"/>
    <w:rsid w:val="00EA0D20"/>
    <w:rsid w:val="00EA0DC3"/>
    <w:rsid w:val="00EA188A"/>
    <w:rsid w:val="00EA1B41"/>
    <w:rsid w:val="00EA1CE0"/>
    <w:rsid w:val="00EA1E66"/>
    <w:rsid w:val="00EA2026"/>
    <w:rsid w:val="00EA2121"/>
    <w:rsid w:val="00EA2124"/>
    <w:rsid w:val="00EA21C3"/>
    <w:rsid w:val="00EA247B"/>
    <w:rsid w:val="00EA2675"/>
    <w:rsid w:val="00EA30B0"/>
    <w:rsid w:val="00EA3367"/>
    <w:rsid w:val="00EA38F8"/>
    <w:rsid w:val="00EA39F5"/>
    <w:rsid w:val="00EA3C1C"/>
    <w:rsid w:val="00EA3C8E"/>
    <w:rsid w:val="00EA45BA"/>
    <w:rsid w:val="00EA542D"/>
    <w:rsid w:val="00EA5DAB"/>
    <w:rsid w:val="00EA5F5F"/>
    <w:rsid w:val="00EA6158"/>
    <w:rsid w:val="00EA7129"/>
    <w:rsid w:val="00EA71CA"/>
    <w:rsid w:val="00EA727D"/>
    <w:rsid w:val="00EB028C"/>
    <w:rsid w:val="00EB0434"/>
    <w:rsid w:val="00EB083D"/>
    <w:rsid w:val="00EB0877"/>
    <w:rsid w:val="00EB08F4"/>
    <w:rsid w:val="00EB0A46"/>
    <w:rsid w:val="00EB0FDB"/>
    <w:rsid w:val="00EB1F57"/>
    <w:rsid w:val="00EB220F"/>
    <w:rsid w:val="00EB222B"/>
    <w:rsid w:val="00EB25E1"/>
    <w:rsid w:val="00EB302E"/>
    <w:rsid w:val="00EB3C33"/>
    <w:rsid w:val="00EB40C3"/>
    <w:rsid w:val="00EB4122"/>
    <w:rsid w:val="00EB4235"/>
    <w:rsid w:val="00EB451A"/>
    <w:rsid w:val="00EB46C5"/>
    <w:rsid w:val="00EB4BBC"/>
    <w:rsid w:val="00EB4FFD"/>
    <w:rsid w:val="00EB50D6"/>
    <w:rsid w:val="00EB5A72"/>
    <w:rsid w:val="00EB607E"/>
    <w:rsid w:val="00EB6633"/>
    <w:rsid w:val="00EB6E5B"/>
    <w:rsid w:val="00EB6F5A"/>
    <w:rsid w:val="00EB75B6"/>
    <w:rsid w:val="00EB7DFB"/>
    <w:rsid w:val="00EB7E68"/>
    <w:rsid w:val="00EC00AD"/>
    <w:rsid w:val="00EC0305"/>
    <w:rsid w:val="00EC04FB"/>
    <w:rsid w:val="00EC0CD3"/>
    <w:rsid w:val="00EC0F6A"/>
    <w:rsid w:val="00EC1132"/>
    <w:rsid w:val="00EC1378"/>
    <w:rsid w:val="00EC13DC"/>
    <w:rsid w:val="00EC2117"/>
    <w:rsid w:val="00EC2172"/>
    <w:rsid w:val="00EC270C"/>
    <w:rsid w:val="00EC2B1E"/>
    <w:rsid w:val="00EC2C55"/>
    <w:rsid w:val="00EC2CDB"/>
    <w:rsid w:val="00EC3D39"/>
    <w:rsid w:val="00EC3DF0"/>
    <w:rsid w:val="00EC43F7"/>
    <w:rsid w:val="00EC4EBF"/>
    <w:rsid w:val="00EC51C8"/>
    <w:rsid w:val="00EC5264"/>
    <w:rsid w:val="00EC53C5"/>
    <w:rsid w:val="00EC55A0"/>
    <w:rsid w:val="00EC5C48"/>
    <w:rsid w:val="00EC5C89"/>
    <w:rsid w:val="00EC62FA"/>
    <w:rsid w:val="00EC6478"/>
    <w:rsid w:val="00EC64A8"/>
    <w:rsid w:val="00EC70B9"/>
    <w:rsid w:val="00EC70F7"/>
    <w:rsid w:val="00EC7273"/>
    <w:rsid w:val="00EC759F"/>
    <w:rsid w:val="00EC7D09"/>
    <w:rsid w:val="00EC7E23"/>
    <w:rsid w:val="00EC7FED"/>
    <w:rsid w:val="00ED0031"/>
    <w:rsid w:val="00ED02E0"/>
    <w:rsid w:val="00ED0421"/>
    <w:rsid w:val="00ED0777"/>
    <w:rsid w:val="00ED07B3"/>
    <w:rsid w:val="00ED0AA6"/>
    <w:rsid w:val="00ED0C4B"/>
    <w:rsid w:val="00ED0EC1"/>
    <w:rsid w:val="00ED12BA"/>
    <w:rsid w:val="00ED2655"/>
    <w:rsid w:val="00ED2750"/>
    <w:rsid w:val="00ED27CF"/>
    <w:rsid w:val="00ED2851"/>
    <w:rsid w:val="00ED2A44"/>
    <w:rsid w:val="00ED2EBA"/>
    <w:rsid w:val="00ED328E"/>
    <w:rsid w:val="00ED3856"/>
    <w:rsid w:val="00ED3B2E"/>
    <w:rsid w:val="00ED3BB8"/>
    <w:rsid w:val="00ED3EB0"/>
    <w:rsid w:val="00ED3FF6"/>
    <w:rsid w:val="00ED4310"/>
    <w:rsid w:val="00ED43A9"/>
    <w:rsid w:val="00ED443D"/>
    <w:rsid w:val="00ED4656"/>
    <w:rsid w:val="00ED4664"/>
    <w:rsid w:val="00ED4721"/>
    <w:rsid w:val="00ED486F"/>
    <w:rsid w:val="00ED4EB3"/>
    <w:rsid w:val="00ED4F1E"/>
    <w:rsid w:val="00ED51D0"/>
    <w:rsid w:val="00ED58B3"/>
    <w:rsid w:val="00ED6696"/>
    <w:rsid w:val="00ED6A21"/>
    <w:rsid w:val="00ED6A5C"/>
    <w:rsid w:val="00ED6A62"/>
    <w:rsid w:val="00ED6AA6"/>
    <w:rsid w:val="00ED6D8A"/>
    <w:rsid w:val="00ED6DE3"/>
    <w:rsid w:val="00ED7083"/>
    <w:rsid w:val="00ED74E2"/>
    <w:rsid w:val="00ED75D6"/>
    <w:rsid w:val="00ED75E2"/>
    <w:rsid w:val="00ED76AD"/>
    <w:rsid w:val="00ED77B6"/>
    <w:rsid w:val="00ED7FD8"/>
    <w:rsid w:val="00EE00B6"/>
    <w:rsid w:val="00EE0594"/>
    <w:rsid w:val="00EE0C7D"/>
    <w:rsid w:val="00EE0D8D"/>
    <w:rsid w:val="00EE0FAB"/>
    <w:rsid w:val="00EE1456"/>
    <w:rsid w:val="00EE192F"/>
    <w:rsid w:val="00EE1CC2"/>
    <w:rsid w:val="00EE1D34"/>
    <w:rsid w:val="00EE1F4D"/>
    <w:rsid w:val="00EE21CF"/>
    <w:rsid w:val="00EE29ED"/>
    <w:rsid w:val="00EE2B81"/>
    <w:rsid w:val="00EE3095"/>
    <w:rsid w:val="00EE3458"/>
    <w:rsid w:val="00EE345B"/>
    <w:rsid w:val="00EE36C3"/>
    <w:rsid w:val="00EE3A10"/>
    <w:rsid w:val="00EE3B6F"/>
    <w:rsid w:val="00EE49BD"/>
    <w:rsid w:val="00EE4E00"/>
    <w:rsid w:val="00EE5834"/>
    <w:rsid w:val="00EE6302"/>
    <w:rsid w:val="00EE6DB0"/>
    <w:rsid w:val="00EE6F8A"/>
    <w:rsid w:val="00EE6FAE"/>
    <w:rsid w:val="00EE70BF"/>
    <w:rsid w:val="00EE7219"/>
    <w:rsid w:val="00EE77D4"/>
    <w:rsid w:val="00EE7E17"/>
    <w:rsid w:val="00EF05EB"/>
    <w:rsid w:val="00EF05FB"/>
    <w:rsid w:val="00EF0E6E"/>
    <w:rsid w:val="00EF129D"/>
    <w:rsid w:val="00EF12A9"/>
    <w:rsid w:val="00EF1F8F"/>
    <w:rsid w:val="00EF20D8"/>
    <w:rsid w:val="00EF23FD"/>
    <w:rsid w:val="00EF2A35"/>
    <w:rsid w:val="00EF2C94"/>
    <w:rsid w:val="00EF2D13"/>
    <w:rsid w:val="00EF2D7A"/>
    <w:rsid w:val="00EF2E8E"/>
    <w:rsid w:val="00EF3120"/>
    <w:rsid w:val="00EF322F"/>
    <w:rsid w:val="00EF3CD4"/>
    <w:rsid w:val="00EF3EFB"/>
    <w:rsid w:val="00EF3FDB"/>
    <w:rsid w:val="00EF458A"/>
    <w:rsid w:val="00EF45E4"/>
    <w:rsid w:val="00EF4C1C"/>
    <w:rsid w:val="00EF4C20"/>
    <w:rsid w:val="00EF56C0"/>
    <w:rsid w:val="00EF5762"/>
    <w:rsid w:val="00EF5A76"/>
    <w:rsid w:val="00EF5D70"/>
    <w:rsid w:val="00EF5ED3"/>
    <w:rsid w:val="00EF63F6"/>
    <w:rsid w:val="00EF645D"/>
    <w:rsid w:val="00EF6E69"/>
    <w:rsid w:val="00EF7167"/>
    <w:rsid w:val="00EF717F"/>
    <w:rsid w:val="00F009A9"/>
    <w:rsid w:val="00F00C17"/>
    <w:rsid w:val="00F00FF8"/>
    <w:rsid w:val="00F01346"/>
    <w:rsid w:val="00F01696"/>
    <w:rsid w:val="00F018E0"/>
    <w:rsid w:val="00F01BBF"/>
    <w:rsid w:val="00F02457"/>
    <w:rsid w:val="00F0251E"/>
    <w:rsid w:val="00F03498"/>
    <w:rsid w:val="00F039F0"/>
    <w:rsid w:val="00F03C11"/>
    <w:rsid w:val="00F04493"/>
    <w:rsid w:val="00F04735"/>
    <w:rsid w:val="00F04A72"/>
    <w:rsid w:val="00F04C29"/>
    <w:rsid w:val="00F04C57"/>
    <w:rsid w:val="00F04E8F"/>
    <w:rsid w:val="00F05758"/>
    <w:rsid w:val="00F058BD"/>
    <w:rsid w:val="00F05980"/>
    <w:rsid w:val="00F05A1E"/>
    <w:rsid w:val="00F05B5B"/>
    <w:rsid w:val="00F05F2E"/>
    <w:rsid w:val="00F06030"/>
    <w:rsid w:val="00F06139"/>
    <w:rsid w:val="00F06407"/>
    <w:rsid w:val="00F0662B"/>
    <w:rsid w:val="00F073B2"/>
    <w:rsid w:val="00F077C9"/>
    <w:rsid w:val="00F078A5"/>
    <w:rsid w:val="00F07B51"/>
    <w:rsid w:val="00F102B3"/>
    <w:rsid w:val="00F1059F"/>
    <w:rsid w:val="00F108F8"/>
    <w:rsid w:val="00F10960"/>
    <w:rsid w:val="00F1104F"/>
    <w:rsid w:val="00F114ED"/>
    <w:rsid w:val="00F122DF"/>
    <w:rsid w:val="00F1283A"/>
    <w:rsid w:val="00F12FFE"/>
    <w:rsid w:val="00F1380E"/>
    <w:rsid w:val="00F13999"/>
    <w:rsid w:val="00F13A5A"/>
    <w:rsid w:val="00F14438"/>
    <w:rsid w:val="00F14507"/>
    <w:rsid w:val="00F145AD"/>
    <w:rsid w:val="00F14937"/>
    <w:rsid w:val="00F14E96"/>
    <w:rsid w:val="00F154B8"/>
    <w:rsid w:val="00F15714"/>
    <w:rsid w:val="00F15864"/>
    <w:rsid w:val="00F1600A"/>
    <w:rsid w:val="00F1702A"/>
    <w:rsid w:val="00F17943"/>
    <w:rsid w:val="00F2040E"/>
    <w:rsid w:val="00F20852"/>
    <w:rsid w:val="00F20E8A"/>
    <w:rsid w:val="00F21868"/>
    <w:rsid w:val="00F21883"/>
    <w:rsid w:val="00F218F9"/>
    <w:rsid w:val="00F21EAD"/>
    <w:rsid w:val="00F21FBA"/>
    <w:rsid w:val="00F223DB"/>
    <w:rsid w:val="00F22756"/>
    <w:rsid w:val="00F2284D"/>
    <w:rsid w:val="00F22B37"/>
    <w:rsid w:val="00F22CF7"/>
    <w:rsid w:val="00F230DB"/>
    <w:rsid w:val="00F2347B"/>
    <w:rsid w:val="00F23799"/>
    <w:rsid w:val="00F23930"/>
    <w:rsid w:val="00F23E62"/>
    <w:rsid w:val="00F23E7F"/>
    <w:rsid w:val="00F241F1"/>
    <w:rsid w:val="00F24334"/>
    <w:rsid w:val="00F247EA"/>
    <w:rsid w:val="00F25141"/>
    <w:rsid w:val="00F25636"/>
    <w:rsid w:val="00F258E3"/>
    <w:rsid w:val="00F25E42"/>
    <w:rsid w:val="00F25EA8"/>
    <w:rsid w:val="00F26146"/>
    <w:rsid w:val="00F26559"/>
    <w:rsid w:val="00F267A6"/>
    <w:rsid w:val="00F268A7"/>
    <w:rsid w:val="00F26D64"/>
    <w:rsid w:val="00F27073"/>
    <w:rsid w:val="00F27217"/>
    <w:rsid w:val="00F27480"/>
    <w:rsid w:val="00F2770F"/>
    <w:rsid w:val="00F278A5"/>
    <w:rsid w:val="00F279B6"/>
    <w:rsid w:val="00F27A68"/>
    <w:rsid w:val="00F27EC1"/>
    <w:rsid w:val="00F30030"/>
    <w:rsid w:val="00F30820"/>
    <w:rsid w:val="00F314F7"/>
    <w:rsid w:val="00F31CA4"/>
    <w:rsid w:val="00F3207D"/>
    <w:rsid w:val="00F32AAE"/>
    <w:rsid w:val="00F32F2D"/>
    <w:rsid w:val="00F331C7"/>
    <w:rsid w:val="00F3320E"/>
    <w:rsid w:val="00F3339B"/>
    <w:rsid w:val="00F33406"/>
    <w:rsid w:val="00F33487"/>
    <w:rsid w:val="00F33AC5"/>
    <w:rsid w:val="00F33F85"/>
    <w:rsid w:val="00F349CB"/>
    <w:rsid w:val="00F34CAC"/>
    <w:rsid w:val="00F34CC7"/>
    <w:rsid w:val="00F350B4"/>
    <w:rsid w:val="00F350F7"/>
    <w:rsid w:val="00F353D8"/>
    <w:rsid w:val="00F359A8"/>
    <w:rsid w:val="00F35CB4"/>
    <w:rsid w:val="00F35D3E"/>
    <w:rsid w:val="00F35D99"/>
    <w:rsid w:val="00F35E72"/>
    <w:rsid w:val="00F361C0"/>
    <w:rsid w:val="00F36354"/>
    <w:rsid w:val="00F363C4"/>
    <w:rsid w:val="00F364F7"/>
    <w:rsid w:val="00F3680D"/>
    <w:rsid w:val="00F36AFB"/>
    <w:rsid w:val="00F36BD2"/>
    <w:rsid w:val="00F3750D"/>
    <w:rsid w:val="00F376FA"/>
    <w:rsid w:val="00F37978"/>
    <w:rsid w:val="00F37F87"/>
    <w:rsid w:val="00F400F2"/>
    <w:rsid w:val="00F401E7"/>
    <w:rsid w:val="00F40689"/>
    <w:rsid w:val="00F40763"/>
    <w:rsid w:val="00F409CD"/>
    <w:rsid w:val="00F40C9C"/>
    <w:rsid w:val="00F40FEC"/>
    <w:rsid w:val="00F41489"/>
    <w:rsid w:val="00F416ED"/>
    <w:rsid w:val="00F420FC"/>
    <w:rsid w:val="00F42457"/>
    <w:rsid w:val="00F427AE"/>
    <w:rsid w:val="00F42ABF"/>
    <w:rsid w:val="00F43079"/>
    <w:rsid w:val="00F435A3"/>
    <w:rsid w:val="00F436BC"/>
    <w:rsid w:val="00F4461E"/>
    <w:rsid w:val="00F44849"/>
    <w:rsid w:val="00F449CC"/>
    <w:rsid w:val="00F45D41"/>
    <w:rsid w:val="00F45D42"/>
    <w:rsid w:val="00F45DD3"/>
    <w:rsid w:val="00F460A6"/>
    <w:rsid w:val="00F4640C"/>
    <w:rsid w:val="00F4643E"/>
    <w:rsid w:val="00F46915"/>
    <w:rsid w:val="00F469C0"/>
    <w:rsid w:val="00F46B49"/>
    <w:rsid w:val="00F4704C"/>
    <w:rsid w:val="00F47CF0"/>
    <w:rsid w:val="00F47EB3"/>
    <w:rsid w:val="00F47FAB"/>
    <w:rsid w:val="00F48FF8"/>
    <w:rsid w:val="00F50711"/>
    <w:rsid w:val="00F50FD9"/>
    <w:rsid w:val="00F51166"/>
    <w:rsid w:val="00F51493"/>
    <w:rsid w:val="00F5157F"/>
    <w:rsid w:val="00F51612"/>
    <w:rsid w:val="00F516D4"/>
    <w:rsid w:val="00F51722"/>
    <w:rsid w:val="00F519D2"/>
    <w:rsid w:val="00F51C8B"/>
    <w:rsid w:val="00F522C4"/>
    <w:rsid w:val="00F52351"/>
    <w:rsid w:val="00F52542"/>
    <w:rsid w:val="00F52A55"/>
    <w:rsid w:val="00F53638"/>
    <w:rsid w:val="00F5378F"/>
    <w:rsid w:val="00F53AEC"/>
    <w:rsid w:val="00F53CAD"/>
    <w:rsid w:val="00F53E3A"/>
    <w:rsid w:val="00F548B0"/>
    <w:rsid w:val="00F54EDB"/>
    <w:rsid w:val="00F55198"/>
    <w:rsid w:val="00F559C6"/>
    <w:rsid w:val="00F5614B"/>
    <w:rsid w:val="00F56207"/>
    <w:rsid w:val="00F56C3F"/>
    <w:rsid w:val="00F56EBA"/>
    <w:rsid w:val="00F56F58"/>
    <w:rsid w:val="00F57397"/>
    <w:rsid w:val="00F5744B"/>
    <w:rsid w:val="00F579EA"/>
    <w:rsid w:val="00F57DFF"/>
    <w:rsid w:val="00F57E73"/>
    <w:rsid w:val="00F60046"/>
    <w:rsid w:val="00F6035A"/>
    <w:rsid w:val="00F6047B"/>
    <w:rsid w:val="00F60D48"/>
    <w:rsid w:val="00F612C8"/>
    <w:rsid w:val="00F61361"/>
    <w:rsid w:val="00F6167B"/>
    <w:rsid w:val="00F616B3"/>
    <w:rsid w:val="00F61B71"/>
    <w:rsid w:val="00F61C39"/>
    <w:rsid w:val="00F61E79"/>
    <w:rsid w:val="00F62867"/>
    <w:rsid w:val="00F629EE"/>
    <w:rsid w:val="00F62A43"/>
    <w:rsid w:val="00F63086"/>
    <w:rsid w:val="00F63BDC"/>
    <w:rsid w:val="00F63C2A"/>
    <w:rsid w:val="00F64022"/>
    <w:rsid w:val="00F64324"/>
    <w:rsid w:val="00F64500"/>
    <w:rsid w:val="00F64C28"/>
    <w:rsid w:val="00F64DCF"/>
    <w:rsid w:val="00F65097"/>
    <w:rsid w:val="00F650CE"/>
    <w:rsid w:val="00F659ED"/>
    <w:rsid w:val="00F65DB2"/>
    <w:rsid w:val="00F65FC8"/>
    <w:rsid w:val="00F66791"/>
    <w:rsid w:val="00F669AA"/>
    <w:rsid w:val="00F66B83"/>
    <w:rsid w:val="00F67102"/>
    <w:rsid w:val="00F676F3"/>
    <w:rsid w:val="00F67C0D"/>
    <w:rsid w:val="00F67F2C"/>
    <w:rsid w:val="00F70478"/>
    <w:rsid w:val="00F70868"/>
    <w:rsid w:val="00F70BD9"/>
    <w:rsid w:val="00F71102"/>
    <w:rsid w:val="00F7151E"/>
    <w:rsid w:val="00F71A51"/>
    <w:rsid w:val="00F71EEA"/>
    <w:rsid w:val="00F72401"/>
    <w:rsid w:val="00F72578"/>
    <w:rsid w:val="00F725B3"/>
    <w:rsid w:val="00F72D04"/>
    <w:rsid w:val="00F73129"/>
    <w:rsid w:val="00F732FE"/>
    <w:rsid w:val="00F73467"/>
    <w:rsid w:val="00F73477"/>
    <w:rsid w:val="00F73A04"/>
    <w:rsid w:val="00F73B35"/>
    <w:rsid w:val="00F73DBF"/>
    <w:rsid w:val="00F73E60"/>
    <w:rsid w:val="00F74C27"/>
    <w:rsid w:val="00F74FCA"/>
    <w:rsid w:val="00F75289"/>
    <w:rsid w:val="00F7539B"/>
    <w:rsid w:val="00F7597B"/>
    <w:rsid w:val="00F75D81"/>
    <w:rsid w:val="00F76004"/>
    <w:rsid w:val="00F7609B"/>
    <w:rsid w:val="00F766F5"/>
    <w:rsid w:val="00F76762"/>
    <w:rsid w:val="00F7690B"/>
    <w:rsid w:val="00F76952"/>
    <w:rsid w:val="00F7727F"/>
    <w:rsid w:val="00F77325"/>
    <w:rsid w:val="00F77369"/>
    <w:rsid w:val="00F77B51"/>
    <w:rsid w:val="00F77CB4"/>
    <w:rsid w:val="00F805F9"/>
    <w:rsid w:val="00F80672"/>
    <w:rsid w:val="00F80816"/>
    <w:rsid w:val="00F80E99"/>
    <w:rsid w:val="00F810E2"/>
    <w:rsid w:val="00F81147"/>
    <w:rsid w:val="00F81243"/>
    <w:rsid w:val="00F813AB"/>
    <w:rsid w:val="00F81E90"/>
    <w:rsid w:val="00F81F28"/>
    <w:rsid w:val="00F827DE"/>
    <w:rsid w:val="00F82DBF"/>
    <w:rsid w:val="00F8399D"/>
    <w:rsid w:val="00F83DB7"/>
    <w:rsid w:val="00F84237"/>
    <w:rsid w:val="00F8458D"/>
    <w:rsid w:val="00F84671"/>
    <w:rsid w:val="00F8485E"/>
    <w:rsid w:val="00F85124"/>
    <w:rsid w:val="00F8519C"/>
    <w:rsid w:val="00F85A7C"/>
    <w:rsid w:val="00F85C91"/>
    <w:rsid w:val="00F85F4F"/>
    <w:rsid w:val="00F8636A"/>
    <w:rsid w:val="00F86877"/>
    <w:rsid w:val="00F8698C"/>
    <w:rsid w:val="00F86FF8"/>
    <w:rsid w:val="00F8707F"/>
    <w:rsid w:val="00F877CA"/>
    <w:rsid w:val="00F90265"/>
    <w:rsid w:val="00F90578"/>
    <w:rsid w:val="00F90BA4"/>
    <w:rsid w:val="00F91143"/>
    <w:rsid w:val="00F91373"/>
    <w:rsid w:val="00F918FB"/>
    <w:rsid w:val="00F91E34"/>
    <w:rsid w:val="00F91F45"/>
    <w:rsid w:val="00F91FBD"/>
    <w:rsid w:val="00F924AB"/>
    <w:rsid w:val="00F92531"/>
    <w:rsid w:val="00F92D91"/>
    <w:rsid w:val="00F93158"/>
    <w:rsid w:val="00F93229"/>
    <w:rsid w:val="00F934E7"/>
    <w:rsid w:val="00F9377D"/>
    <w:rsid w:val="00F93DF5"/>
    <w:rsid w:val="00F93E8F"/>
    <w:rsid w:val="00F943E6"/>
    <w:rsid w:val="00F94584"/>
    <w:rsid w:val="00F94952"/>
    <w:rsid w:val="00F94C4F"/>
    <w:rsid w:val="00F94CFB"/>
    <w:rsid w:val="00F94DA4"/>
    <w:rsid w:val="00F94E6C"/>
    <w:rsid w:val="00F95811"/>
    <w:rsid w:val="00F95C70"/>
    <w:rsid w:val="00F96242"/>
    <w:rsid w:val="00F96251"/>
    <w:rsid w:val="00F965BB"/>
    <w:rsid w:val="00F966D5"/>
    <w:rsid w:val="00F968A8"/>
    <w:rsid w:val="00F96B3F"/>
    <w:rsid w:val="00F96EDF"/>
    <w:rsid w:val="00F96F2F"/>
    <w:rsid w:val="00F9746F"/>
    <w:rsid w:val="00F9771C"/>
    <w:rsid w:val="00F9772B"/>
    <w:rsid w:val="00F977F9"/>
    <w:rsid w:val="00F97885"/>
    <w:rsid w:val="00F979B1"/>
    <w:rsid w:val="00F97ED1"/>
    <w:rsid w:val="00FA0743"/>
    <w:rsid w:val="00FA0807"/>
    <w:rsid w:val="00FA08FB"/>
    <w:rsid w:val="00FA09BA"/>
    <w:rsid w:val="00FA0EBE"/>
    <w:rsid w:val="00FA1178"/>
    <w:rsid w:val="00FA14DC"/>
    <w:rsid w:val="00FA16DE"/>
    <w:rsid w:val="00FA17B6"/>
    <w:rsid w:val="00FA1A2D"/>
    <w:rsid w:val="00FA1ACB"/>
    <w:rsid w:val="00FA2116"/>
    <w:rsid w:val="00FA23BA"/>
    <w:rsid w:val="00FA27A4"/>
    <w:rsid w:val="00FA27C3"/>
    <w:rsid w:val="00FA29C4"/>
    <w:rsid w:val="00FA2A06"/>
    <w:rsid w:val="00FA2A9F"/>
    <w:rsid w:val="00FA2F3A"/>
    <w:rsid w:val="00FA2F43"/>
    <w:rsid w:val="00FA32C2"/>
    <w:rsid w:val="00FA357D"/>
    <w:rsid w:val="00FA36E8"/>
    <w:rsid w:val="00FA3E8D"/>
    <w:rsid w:val="00FA3F88"/>
    <w:rsid w:val="00FA4474"/>
    <w:rsid w:val="00FA4D9E"/>
    <w:rsid w:val="00FA52B0"/>
    <w:rsid w:val="00FA56CE"/>
    <w:rsid w:val="00FA5FD6"/>
    <w:rsid w:val="00FA636D"/>
    <w:rsid w:val="00FA644B"/>
    <w:rsid w:val="00FA698D"/>
    <w:rsid w:val="00FA6A22"/>
    <w:rsid w:val="00FA6A27"/>
    <w:rsid w:val="00FA6B41"/>
    <w:rsid w:val="00FA6DDB"/>
    <w:rsid w:val="00FA708F"/>
    <w:rsid w:val="00FA744B"/>
    <w:rsid w:val="00FA7663"/>
    <w:rsid w:val="00FA77F1"/>
    <w:rsid w:val="00FA7B95"/>
    <w:rsid w:val="00FA7DC7"/>
    <w:rsid w:val="00FB0352"/>
    <w:rsid w:val="00FB05C8"/>
    <w:rsid w:val="00FB087B"/>
    <w:rsid w:val="00FB0A61"/>
    <w:rsid w:val="00FB0BF3"/>
    <w:rsid w:val="00FB0E82"/>
    <w:rsid w:val="00FB0EB9"/>
    <w:rsid w:val="00FB1207"/>
    <w:rsid w:val="00FB1644"/>
    <w:rsid w:val="00FB1AE0"/>
    <w:rsid w:val="00FB1BF1"/>
    <w:rsid w:val="00FB1E5A"/>
    <w:rsid w:val="00FB218A"/>
    <w:rsid w:val="00FB222B"/>
    <w:rsid w:val="00FB2725"/>
    <w:rsid w:val="00FB2ED2"/>
    <w:rsid w:val="00FB3C51"/>
    <w:rsid w:val="00FB3CD7"/>
    <w:rsid w:val="00FB3F54"/>
    <w:rsid w:val="00FB450F"/>
    <w:rsid w:val="00FB4D93"/>
    <w:rsid w:val="00FB4E68"/>
    <w:rsid w:val="00FB4F96"/>
    <w:rsid w:val="00FB5034"/>
    <w:rsid w:val="00FB52A4"/>
    <w:rsid w:val="00FB54ED"/>
    <w:rsid w:val="00FB56B1"/>
    <w:rsid w:val="00FB5944"/>
    <w:rsid w:val="00FB5C22"/>
    <w:rsid w:val="00FB5CC0"/>
    <w:rsid w:val="00FB5FF5"/>
    <w:rsid w:val="00FB6578"/>
    <w:rsid w:val="00FB65E0"/>
    <w:rsid w:val="00FB6655"/>
    <w:rsid w:val="00FB6780"/>
    <w:rsid w:val="00FB6DBB"/>
    <w:rsid w:val="00FB6ED0"/>
    <w:rsid w:val="00FB73B9"/>
    <w:rsid w:val="00FB7BA2"/>
    <w:rsid w:val="00FC044B"/>
    <w:rsid w:val="00FC0609"/>
    <w:rsid w:val="00FC0FB4"/>
    <w:rsid w:val="00FC1758"/>
    <w:rsid w:val="00FC1A3B"/>
    <w:rsid w:val="00FC1A99"/>
    <w:rsid w:val="00FC1BA8"/>
    <w:rsid w:val="00FC1BCA"/>
    <w:rsid w:val="00FC1F5C"/>
    <w:rsid w:val="00FC28AF"/>
    <w:rsid w:val="00FC290E"/>
    <w:rsid w:val="00FC31E7"/>
    <w:rsid w:val="00FC3217"/>
    <w:rsid w:val="00FC39B6"/>
    <w:rsid w:val="00FC3ADF"/>
    <w:rsid w:val="00FC4238"/>
    <w:rsid w:val="00FC4290"/>
    <w:rsid w:val="00FC4F1B"/>
    <w:rsid w:val="00FC4FF0"/>
    <w:rsid w:val="00FC51F7"/>
    <w:rsid w:val="00FC557B"/>
    <w:rsid w:val="00FC5DD5"/>
    <w:rsid w:val="00FC606E"/>
    <w:rsid w:val="00FC61D8"/>
    <w:rsid w:val="00FC64AB"/>
    <w:rsid w:val="00FC687A"/>
    <w:rsid w:val="00FC6C13"/>
    <w:rsid w:val="00FC6E0F"/>
    <w:rsid w:val="00FC794C"/>
    <w:rsid w:val="00FC7CE2"/>
    <w:rsid w:val="00FC7EBC"/>
    <w:rsid w:val="00FD05FD"/>
    <w:rsid w:val="00FD0F47"/>
    <w:rsid w:val="00FD1102"/>
    <w:rsid w:val="00FD1271"/>
    <w:rsid w:val="00FD1444"/>
    <w:rsid w:val="00FD17EF"/>
    <w:rsid w:val="00FD18A2"/>
    <w:rsid w:val="00FD1B34"/>
    <w:rsid w:val="00FD1F4E"/>
    <w:rsid w:val="00FD1F6A"/>
    <w:rsid w:val="00FD2702"/>
    <w:rsid w:val="00FD370B"/>
    <w:rsid w:val="00FD3C13"/>
    <w:rsid w:val="00FD3C4D"/>
    <w:rsid w:val="00FD3D47"/>
    <w:rsid w:val="00FD3F5A"/>
    <w:rsid w:val="00FD4371"/>
    <w:rsid w:val="00FD48AF"/>
    <w:rsid w:val="00FD4E34"/>
    <w:rsid w:val="00FD545B"/>
    <w:rsid w:val="00FD5529"/>
    <w:rsid w:val="00FD5A13"/>
    <w:rsid w:val="00FD5A9F"/>
    <w:rsid w:val="00FD5CDF"/>
    <w:rsid w:val="00FD5D5B"/>
    <w:rsid w:val="00FD5EF7"/>
    <w:rsid w:val="00FD650D"/>
    <w:rsid w:val="00FD6559"/>
    <w:rsid w:val="00FD67F5"/>
    <w:rsid w:val="00FD688E"/>
    <w:rsid w:val="00FD6D67"/>
    <w:rsid w:val="00FD7552"/>
    <w:rsid w:val="00FD7901"/>
    <w:rsid w:val="00FD7DA1"/>
    <w:rsid w:val="00FE0055"/>
    <w:rsid w:val="00FE08C9"/>
    <w:rsid w:val="00FE0B57"/>
    <w:rsid w:val="00FE1495"/>
    <w:rsid w:val="00FE158D"/>
    <w:rsid w:val="00FE15F4"/>
    <w:rsid w:val="00FE1932"/>
    <w:rsid w:val="00FE1A13"/>
    <w:rsid w:val="00FE1D41"/>
    <w:rsid w:val="00FE1F2B"/>
    <w:rsid w:val="00FE22E8"/>
    <w:rsid w:val="00FE2371"/>
    <w:rsid w:val="00FE292B"/>
    <w:rsid w:val="00FE2985"/>
    <w:rsid w:val="00FE3351"/>
    <w:rsid w:val="00FE3739"/>
    <w:rsid w:val="00FE4982"/>
    <w:rsid w:val="00FE4B4A"/>
    <w:rsid w:val="00FE506D"/>
    <w:rsid w:val="00FE52C0"/>
    <w:rsid w:val="00FE5622"/>
    <w:rsid w:val="00FE5A3D"/>
    <w:rsid w:val="00FE5A9C"/>
    <w:rsid w:val="00FE618F"/>
    <w:rsid w:val="00FE6561"/>
    <w:rsid w:val="00FE6910"/>
    <w:rsid w:val="00FE695C"/>
    <w:rsid w:val="00FE69E1"/>
    <w:rsid w:val="00FE6CC4"/>
    <w:rsid w:val="00FE71DC"/>
    <w:rsid w:val="00FE7439"/>
    <w:rsid w:val="00FE77F2"/>
    <w:rsid w:val="00FE781C"/>
    <w:rsid w:val="00FE787A"/>
    <w:rsid w:val="00FE7B3B"/>
    <w:rsid w:val="00FE7DC9"/>
    <w:rsid w:val="00FF0B93"/>
    <w:rsid w:val="00FF0BEC"/>
    <w:rsid w:val="00FF0F7C"/>
    <w:rsid w:val="00FF137B"/>
    <w:rsid w:val="00FF1918"/>
    <w:rsid w:val="00FF20C2"/>
    <w:rsid w:val="00FF266A"/>
    <w:rsid w:val="00FF2B87"/>
    <w:rsid w:val="00FF2C0A"/>
    <w:rsid w:val="00FF2E9C"/>
    <w:rsid w:val="00FF36FD"/>
    <w:rsid w:val="00FF4750"/>
    <w:rsid w:val="00FF478E"/>
    <w:rsid w:val="00FF48BD"/>
    <w:rsid w:val="00FF4B63"/>
    <w:rsid w:val="00FF5309"/>
    <w:rsid w:val="00FF5946"/>
    <w:rsid w:val="00FF59F3"/>
    <w:rsid w:val="00FF5AB3"/>
    <w:rsid w:val="00FF631B"/>
    <w:rsid w:val="00FF63BD"/>
    <w:rsid w:val="00FF667C"/>
    <w:rsid w:val="00FF6A23"/>
    <w:rsid w:val="00FF7075"/>
    <w:rsid w:val="00FF7437"/>
    <w:rsid w:val="00FF7A6A"/>
    <w:rsid w:val="00FF7B8A"/>
    <w:rsid w:val="0101BBC2"/>
    <w:rsid w:val="0102F7C6"/>
    <w:rsid w:val="0105FA03"/>
    <w:rsid w:val="0106D171"/>
    <w:rsid w:val="01142A08"/>
    <w:rsid w:val="0114E4F2"/>
    <w:rsid w:val="01183CD5"/>
    <w:rsid w:val="011A9D02"/>
    <w:rsid w:val="011E871B"/>
    <w:rsid w:val="011E9789"/>
    <w:rsid w:val="0121C37F"/>
    <w:rsid w:val="01240F52"/>
    <w:rsid w:val="0129029E"/>
    <w:rsid w:val="0129FB5A"/>
    <w:rsid w:val="012FC71C"/>
    <w:rsid w:val="013081DC"/>
    <w:rsid w:val="013A1107"/>
    <w:rsid w:val="013B9B01"/>
    <w:rsid w:val="013CC37E"/>
    <w:rsid w:val="014185F8"/>
    <w:rsid w:val="01442CD4"/>
    <w:rsid w:val="01444D80"/>
    <w:rsid w:val="014D0D6C"/>
    <w:rsid w:val="0155F942"/>
    <w:rsid w:val="01585750"/>
    <w:rsid w:val="01620977"/>
    <w:rsid w:val="0166141B"/>
    <w:rsid w:val="0167E709"/>
    <w:rsid w:val="016C650A"/>
    <w:rsid w:val="017044CA"/>
    <w:rsid w:val="01764ADA"/>
    <w:rsid w:val="0176C04D"/>
    <w:rsid w:val="0176D13D"/>
    <w:rsid w:val="01792A2B"/>
    <w:rsid w:val="017DDE9E"/>
    <w:rsid w:val="0188CEA4"/>
    <w:rsid w:val="018C0A25"/>
    <w:rsid w:val="018CB3EA"/>
    <w:rsid w:val="018E2CB4"/>
    <w:rsid w:val="0190CC79"/>
    <w:rsid w:val="01954E5C"/>
    <w:rsid w:val="01982B4F"/>
    <w:rsid w:val="019B3DA0"/>
    <w:rsid w:val="019B940B"/>
    <w:rsid w:val="01A6B739"/>
    <w:rsid w:val="01A85803"/>
    <w:rsid w:val="01ABC883"/>
    <w:rsid w:val="01ABCCFD"/>
    <w:rsid w:val="01ABF69E"/>
    <w:rsid w:val="01ADD421"/>
    <w:rsid w:val="01AF145A"/>
    <w:rsid w:val="01B3DAFF"/>
    <w:rsid w:val="01C14DD7"/>
    <w:rsid w:val="01C41078"/>
    <w:rsid w:val="01C6B17C"/>
    <w:rsid w:val="01D115F4"/>
    <w:rsid w:val="01D1732C"/>
    <w:rsid w:val="01D3711D"/>
    <w:rsid w:val="01D748E8"/>
    <w:rsid w:val="01DBDA7D"/>
    <w:rsid w:val="01E105E9"/>
    <w:rsid w:val="01EA2BB5"/>
    <w:rsid w:val="01EF7979"/>
    <w:rsid w:val="01F19D17"/>
    <w:rsid w:val="01F767F0"/>
    <w:rsid w:val="01FD37B3"/>
    <w:rsid w:val="020191B9"/>
    <w:rsid w:val="0202C7C0"/>
    <w:rsid w:val="020BC92B"/>
    <w:rsid w:val="02152013"/>
    <w:rsid w:val="021951F0"/>
    <w:rsid w:val="021B0342"/>
    <w:rsid w:val="021B3071"/>
    <w:rsid w:val="021B5C9A"/>
    <w:rsid w:val="02225537"/>
    <w:rsid w:val="0226F907"/>
    <w:rsid w:val="022B335D"/>
    <w:rsid w:val="0237B34A"/>
    <w:rsid w:val="023D1E61"/>
    <w:rsid w:val="0242D5A6"/>
    <w:rsid w:val="02472308"/>
    <w:rsid w:val="024ABD77"/>
    <w:rsid w:val="024DBB3C"/>
    <w:rsid w:val="024E1BAB"/>
    <w:rsid w:val="02526907"/>
    <w:rsid w:val="0256ED6C"/>
    <w:rsid w:val="02571987"/>
    <w:rsid w:val="025DB28C"/>
    <w:rsid w:val="02610E43"/>
    <w:rsid w:val="02647009"/>
    <w:rsid w:val="02663E63"/>
    <w:rsid w:val="026C50B7"/>
    <w:rsid w:val="026F6424"/>
    <w:rsid w:val="026F7DC1"/>
    <w:rsid w:val="0275B46C"/>
    <w:rsid w:val="0279F93E"/>
    <w:rsid w:val="027E7A53"/>
    <w:rsid w:val="027F13EE"/>
    <w:rsid w:val="0284500C"/>
    <w:rsid w:val="0285BC40"/>
    <w:rsid w:val="028670B4"/>
    <w:rsid w:val="028687F4"/>
    <w:rsid w:val="02898F22"/>
    <w:rsid w:val="028C03AB"/>
    <w:rsid w:val="0292EDA1"/>
    <w:rsid w:val="029523F8"/>
    <w:rsid w:val="02988B84"/>
    <w:rsid w:val="029D819A"/>
    <w:rsid w:val="02A63CB0"/>
    <w:rsid w:val="02A917AC"/>
    <w:rsid w:val="02A9ADB4"/>
    <w:rsid w:val="02AA77F7"/>
    <w:rsid w:val="02BB42AB"/>
    <w:rsid w:val="02C959B9"/>
    <w:rsid w:val="02CB9747"/>
    <w:rsid w:val="02CD189C"/>
    <w:rsid w:val="02CF1DBD"/>
    <w:rsid w:val="02D07B5A"/>
    <w:rsid w:val="02D1D7D1"/>
    <w:rsid w:val="02D1F365"/>
    <w:rsid w:val="02D66A88"/>
    <w:rsid w:val="02D7E597"/>
    <w:rsid w:val="02D8B00A"/>
    <w:rsid w:val="02D8B6B7"/>
    <w:rsid w:val="02DA8233"/>
    <w:rsid w:val="02DADE6D"/>
    <w:rsid w:val="02DE1713"/>
    <w:rsid w:val="02DE3D3F"/>
    <w:rsid w:val="02DF9433"/>
    <w:rsid w:val="02F64B9F"/>
    <w:rsid w:val="02FA3406"/>
    <w:rsid w:val="02FB3C1B"/>
    <w:rsid w:val="02FC825C"/>
    <w:rsid w:val="02FDD01C"/>
    <w:rsid w:val="0300258E"/>
    <w:rsid w:val="0301842D"/>
    <w:rsid w:val="03042702"/>
    <w:rsid w:val="0306E46D"/>
    <w:rsid w:val="03094CCA"/>
    <w:rsid w:val="030F5F7C"/>
    <w:rsid w:val="031688D8"/>
    <w:rsid w:val="031ED48A"/>
    <w:rsid w:val="032264D8"/>
    <w:rsid w:val="0324C182"/>
    <w:rsid w:val="0329FE05"/>
    <w:rsid w:val="032A3BFC"/>
    <w:rsid w:val="032C4D7F"/>
    <w:rsid w:val="03307E09"/>
    <w:rsid w:val="0337C051"/>
    <w:rsid w:val="0337F24D"/>
    <w:rsid w:val="03385158"/>
    <w:rsid w:val="033DE9BE"/>
    <w:rsid w:val="033EE47A"/>
    <w:rsid w:val="033F6F30"/>
    <w:rsid w:val="03449326"/>
    <w:rsid w:val="0344F534"/>
    <w:rsid w:val="0347A931"/>
    <w:rsid w:val="0351A825"/>
    <w:rsid w:val="0352157D"/>
    <w:rsid w:val="03524BED"/>
    <w:rsid w:val="03531B0D"/>
    <w:rsid w:val="0358F41D"/>
    <w:rsid w:val="035D82A2"/>
    <w:rsid w:val="0360EA0C"/>
    <w:rsid w:val="03646F17"/>
    <w:rsid w:val="0364CADA"/>
    <w:rsid w:val="036903C0"/>
    <w:rsid w:val="036906EC"/>
    <w:rsid w:val="036BC3A5"/>
    <w:rsid w:val="036C5DBC"/>
    <w:rsid w:val="03701B75"/>
    <w:rsid w:val="0371EB1D"/>
    <w:rsid w:val="0372CDBB"/>
    <w:rsid w:val="0378AB80"/>
    <w:rsid w:val="037A6E04"/>
    <w:rsid w:val="037CC04B"/>
    <w:rsid w:val="037D6D77"/>
    <w:rsid w:val="0385D934"/>
    <w:rsid w:val="0386070D"/>
    <w:rsid w:val="0387AA25"/>
    <w:rsid w:val="038A0168"/>
    <w:rsid w:val="038C6639"/>
    <w:rsid w:val="038DD49E"/>
    <w:rsid w:val="03903318"/>
    <w:rsid w:val="0390BE3C"/>
    <w:rsid w:val="0392121D"/>
    <w:rsid w:val="0396FA23"/>
    <w:rsid w:val="039B2686"/>
    <w:rsid w:val="039B336A"/>
    <w:rsid w:val="03A6583B"/>
    <w:rsid w:val="03A701EC"/>
    <w:rsid w:val="03A7BBE8"/>
    <w:rsid w:val="03A8CB83"/>
    <w:rsid w:val="03A96223"/>
    <w:rsid w:val="03A96B88"/>
    <w:rsid w:val="03AE42CD"/>
    <w:rsid w:val="03B93B31"/>
    <w:rsid w:val="03BACB06"/>
    <w:rsid w:val="03BC6F4B"/>
    <w:rsid w:val="03C17F6D"/>
    <w:rsid w:val="03C55109"/>
    <w:rsid w:val="03D213D8"/>
    <w:rsid w:val="03D909E9"/>
    <w:rsid w:val="03D9A7D5"/>
    <w:rsid w:val="03DCE4A3"/>
    <w:rsid w:val="03E0B6CF"/>
    <w:rsid w:val="03E0BA1B"/>
    <w:rsid w:val="03E25F40"/>
    <w:rsid w:val="03E57CA7"/>
    <w:rsid w:val="03ECD16E"/>
    <w:rsid w:val="03EDE802"/>
    <w:rsid w:val="03EFE58A"/>
    <w:rsid w:val="03F3B928"/>
    <w:rsid w:val="03F58504"/>
    <w:rsid w:val="03F9257D"/>
    <w:rsid w:val="03FF726C"/>
    <w:rsid w:val="0401ED04"/>
    <w:rsid w:val="040D56AF"/>
    <w:rsid w:val="04122223"/>
    <w:rsid w:val="04157AC4"/>
    <w:rsid w:val="041A4CEB"/>
    <w:rsid w:val="042315B9"/>
    <w:rsid w:val="04288C07"/>
    <w:rsid w:val="042BB7E2"/>
    <w:rsid w:val="0430009D"/>
    <w:rsid w:val="0435ACB9"/>
    <w:rsid w:val="043876A7"/>
    <w:rsid w:val="043B4051"/>
    <w:rsid w:val="043DBD22"/>
    <w:rsid w:val="04434F76"/>
    <w:rsid w:val="044462BA"/>
    <w:rsid w:val="04450EB6"/>
    <w:rsid w:val="04453FE1"/>
    <w:rsid w:val="0446ADD0"/>
    <w:rsid w:val="0447BA93"/>
    <w:rsid w:val="044C3CAB"/>
    <w:rsid w:val="04508357"/>
    <w:rsid w:val="0450D7CB"/>
    <w:rsid w:val="04673FCB"/>
    <w:rsid w:val="04678845"/>
    <w:rsid w:val="04683189"/>
    <w:rsid w:val="04721590"/>
    <w:rsid w:val="04779D39"/>
    <w:rsid w:val="04790387"/>
    <w:rsid w:val="047C2070"/>
    <w:rsid w:val="047DA9AE"/>
    <w:rsid w:val="047F3A91"/>
    <w:rsid w:val="0488833E"/>
    <w:rsid w:val="04911A1D"/>
    <w:rsid w:val="04933896"/>
    <w:rsid w:val="0495738D"/>
    <w:rsid w:val="04A68DA4"/>
    <w:rsid w:val="04A6F6FF"/>
    <w:rsid w:val="04A89292"/>
    <w:rsid w:val="04AAC235"/>
    <w:rsid w:val="04ADED26"/>
    <w:rsid w:val="04B2D209"/>
    <w:rsid w:val="04BB20AC"/>
    <w:rsid w:val="04C05E8D"/>
    <w:rsid w:val="04D2261C"/>
    <w:rsid w:val="04D5F020"/>
    <w:rsid w:val="04D6982B"/>
    <w:rsid w:val="04D835C1"/>
    <w:rsid w:val="04D97A49"/>
    <w:rsid w:val="04E0978A"/>
    <w:rsid w:val="04EAF73A"/>
    <w:rsid w:val="04EDC59B"/>
    <w:rsid w:val="04F0FF51"/>
    <w:rsid w:val="04FEACB0"/>
    <w:rsid w:val="0513545C"/>
    <w:rsid w:val="052B622D"/>
    <w:rsid w:val="052D6DE1"/>
    <w:rsid w:val="053453A7"/>
    <w:rsid w:val="05386C27"/>
    <w:rsid w:val="053B1147"/>
    <w:rsid w:val="053B37DC"/>
    <w:rsid w:val="0540CD09"/>
    <w:rsid w:val="054AA5C3"/>
    <w:rsid w:val="054AFF65"/>
    <w:rsid w:val="054C3733"/>
    <w:rsid w:val="054CE2D0"/>
    <w:rsid w:val="05617D7D"/>
    <w:rsid w:val="056473B6"/>
    <w:rsid w:val="0565FAD6"/>
    <w:rsid w:val="056643E8"/>
    <w:rsid w:val="0566A023"/>
    <w:rsid w:val="056B1D37"/>
    <w:rsid w:val="056EBC12"/>
    <w:rsid w:val="05731F1C"/>
    <w:rsid w:val="058232B8"/>
    <w:rsid w:val="0582CE56"/>
    <w:rsid w:val="058672DD"/>
    <w:rsid w:val="058B00A9"/>
    <w:rsid w:val="058BE5E1"/>
    <w:rsid w:val="05956FD8"/>
    <w:rsid w:val="05A2D4FA"/>
    <w:rsid w:val="05A3E0DE"/>
    <w:rsid w:val="05A7558C"/>
    <w:rsid w:val="05A96D37"/>
    <w:rsid w:val="05ABC5F8"/>
    <w:rsid w:val="05ABE47F"/>
    <w:rsid w:val="05AD3690"/>
    <w:rsid w:val="05B88799"/>
    <w:rsid w:val="05BA143A"/>
    <w:rsid w:val="05C25376"/>
    <w:rsid w:val="05C2FEAD"/>
    <w:rsid w:val="05C72C26"/>
    <w:rsid w:val="05CEF5A8"/>
    <w:rsid w:val="05D06659"/>
    <w:rsid w:val="05D0851A"/>
    <w:rsid w:val="05D1E338"/>
    <w:rsid w:val="05D69B47"/>
    <w:rsid w:val="05D77AC0"/>
    <w:rsid w:val="05D94624"/>
    <w:rsid w:val="05D9C626"/>
    <w:rsid w:val="05DA185B"/>
    <w:rsid w:val="05E92C0A"/>
    <w:rsid w:val="05ED3A84"/>
    <w:rsid w:val="05ED6A85"/>
    <w:rsid w:val="05F32489"/>
    <w:rsid w:val="05FAB9EC"/>
    <w:rsid w:val="05FBBD89"/>
    <w:rsid w:val="05FBDAE1"/>
    <w:rsid w:val="05FCFF09"/>
    <w:rsid w:val="0600D7C3"/>
    <w:rsid w:val="0601EA15"/>
    <w:rsid w:val="0602BD84"/>
    <w:rsid w:val="0603873A"/>
    <w:rsid w:val="0606B2C6"/>
    <w:rsid w:val="0607927A"/>
    <w:rsid w:val="060BD2D3"/>
    <w:rsid w:val="0610F591"/>
    <w:rsid w:val="06123499"/>
    <w:rsid w:val="0612F1D5"/>
    <w:rsid w:val="0613D8EC"/>
    <w:rsid w:val="06149216"/>
    <w:rsid w:val="06160550"/>
    <w:rsid w:val="06161761"/>
    <w:rsid w:val="061DC6AF"/>
    <w:rsid w:val="061DD8D2"/>
    <w:rsid w:val="061F7FD2"/>
    <w:rsid w:val="0621E790"/>
    <w:rsid w:val="0622921B"/>
    <w:rsid w:val="0627D281"/>
    <w:rsid w:val="062AE7C8"/>
    <w:rsid w:val="062F0F2A"/>
    <w:rsid w:val="062FEB62"/>
    <w:rsid w:val="062FFB6F"/>
    <w:rsid w:val="06356D17"/>
    <w:rsid w:val="0635FADB"/>
    <w:rsid w:val="0639B5D1"/>
    <w:rsid w:val="0641C460"/>
    <w:rsid w:val="06451EF3"/>
    <w:rsid w:val="064C6BD2"/>
    <w:rsid w:val="064D1727"/>
    <w:rsid w:val="064E377E"/>
    <w:rsid w:val="064FBA71"/>
    <w:rsid w:val="06526D57"/>
    <w:rsid w:val="065B53BD"/>
    <w:rsid w:val="065F93B8"/>
    <w:rsid w:val="0661366D"/>
    <w:rsid w:val="0662C21D"/>
    <w:rsid w:val="06662A28"/>
    <w:rsid w:val="06689C9C"/>
    <w:rsid w:val="0668AC9E"/>
    <w:rsid w:val="06700F03"/>
    <w:rsid w:val="0670D97B"/>
    <w:rsid w:val="06736733"/>
    <w:rsid w:val="067DEF5F"/>
    <w:rsid w:val="06810AB2"/>
    <w:rsid w:val="0684083B"/>
    <w:rsid w:val="06846B31"/>
    <w:rsid w:val="0684EC58"/>
    <w:rsid w:val="068A35B4"/>
    <w:rsid w:val="069211E1"/>
    <w:rsid w:val="06944B79"/>
    <w:rsid w:val="069A1D93"/>
    <w:rsid w:val="069A35AB"/>
    <w:rsid w:val="069B1C29"/>
    <w:rsid w:val="06A043B4"/>
    <w:rsid w:val="06A7659C"/>
    <w:rsid w:val="06A8AB5C"/>
    <w:rsid w:val="06A91D7C"/>
    <w:rsid w:val="06B64AF4"/>
    <w:rsid w:val="06C0D7FD"/>
    <w:rsid w:val="06C8751D"/>
    <w:rsid w:val="06D3A377"/>
    <w:rsid w:val="06DE452A"/>
    <w:rsid w:val="06E2F981"/>
    <w:rsid w:val="06E38A5A"/>
    <w:rsid w:val="06E44CAF"/>
    <w:rsid w:val="06E4B9E9"/>
    <w:rsid w:val="06E4F5BC"/>
    <w:rsid w:val="06E5D720"/>
    <w:rsid w:val="06E67DA4"/>
    <w:rsid w:val="06E7CF29"/>
    <w:rsid w:val="06E80121"/>
    <w:rsid w:val="06E8214A"/>
    <w:rsid w:val="06ECE2D1"/>
    <w:rsid w:val="06F1930D"/>
    <w:rsid w:val="06F6B7A7"/>
    <w:rsid w:val="06F92CC7"/>
    <w:rsid w:val="06FA18F5"/>
    <w:rsid w:val="06FA9F22"/>
    <w:rsid w:val="07018241"/>
    <w:rsid w:val="0703F993"/>
    <w:rsid w:val="07051701"/>
    <w:rsid w:val="070DCE5D"/>
    <w:rsid w:val="070DDB7E"/>
    <w:rsid w:val="070E6CC5"/>
    <w:rsid w:val="07108EA4"/>
    <w:rsid w:val="07110A24"/>
    <w:rsid w:val="07113879"/>
    <w:rsid w:val="07121230"/>
    <w:rsid w:val="071388EA"/>
    <w:rsid w:val="0714CA66"/>
    <w:rsid w:val="0717F3DE"/>
    <w:rsid w:val="07241C18"/>
    <w:rsid w:val="072554A9"/>
    <w:rsid w:val="072B734B"/>
    <w:rsid w:val="072B8CED"/>
    <w:rsid w:val="072EC9FD"/>
    <w:rsid w:val="072EE4E8"/>
    <w:rsid w:val="0734000F"/>
    <w:rsid w:val="0734C731"/>
    <w:rsid w:val="073819ED"/>
    <w:rsid w:val="073A4DF8"/>
    <w:rsid w:val="073A74C7"/>
    <w:rsid w:val="073E0F3E"/>
    <w:rsid w:val="073E107F"/>
    <w:rsid w:val="073F765D"/>
    <w:rsid w:val="0742EEE4"/>
    <w:rsid w:val="074634C9"/>
    <w:rsid w:val="074B2133"/>
    <w:rsid w:val="074B73E2"/>
    <w:rsid w:val="074C775B"/>
    <w:rsid w:val="074F9060"/>
    <w:rsid w:val="0752E52E"/>
    <w:rsid w:val="075488E4"/>
    <w:rsid w:val="0757A062"/>
    <w:rsid w:val="07587E56"/>
    <w:rsid w:val="07591EC8"/>
    <w:rsid w:val="075C40C8"/>
    <w:rsid w:val="075C8EA5"/>
    <w:rsid w:val="075EBC53"/>
    <w:rsid w:val="07654477"/>
    <w:rsid w:val="0768BF9B"/>
    <w:rsid w:val="076F501C"/>
    <w:rsid w:val="076F9C2B"/>
    <w:rsid w:val="076FC9C8"/>
    <w:rsid w:val="076FEC96"/>
    <w:rsid w:val="0774757F"/>
    <w:rsid w:val="07779728"/>
    <w:rsid w:val="077D44A9"/>
    <w:rsid w:val="078DEF05"/>
    <w:rsid w:val="07916234"/>
    <w:rsid w:val="079CEA16"/>
    <w:rsid w:val="07A0C80C"/>
    <w:rsid w:val="07A84A37"/>
    <w:rsid w:val="07A955AC"/>
    <w:rsid w:val="07AB5A51"/>
    <w:rsid w:val="07AD1FFD"/>
    <w:rsid w:val="07AE8877"/>
    <w:rsid w:val="07B2B7BC"/>
    <w:rsid w:val="07BE5DF7"/>
    <w:rsid w:val="07C7ED90"/>
    <w:rsid w:val="07D0D9D1"/>
    <w:rsid w:val="07D3EFEA"/>
    <w:rsid w:val="07D4353F"/>
    <w:rsid w:val="07D7A9C4"/>
    <w:rsid w:val="07D9584B"/>
    <w:rsid w:val="07DA190A"/>
    <w:rsid w:val="07DAA244"/>
    <w:rsid w:val="07DBAB04"/>
    <w:rsid w:val="07DC1BF2"/>
    <w:rsid w:val="07DC6084"/>
    <w:rsid w:val="07DD5F63"/>
    <w:rsid w:val="07DD8A7D"/>
    <w:rsid w:val="07E813F0"/>
    <w:rsid w:val="07EA708F"/>
    <w:rsid w:val="07EAC870"/>
    <w:rsid w:val="07EB19D8"/>
    <w:rsid w:val="07FC3824"/>
    <w:rsid w:val="07FD779D"/>
    <w:rsid w:val="0802A9CA"/>
    <w:rsid w:val="0805E172"/>
    <w:rsid w:val="0805EB79"/>
    <w:rsid w:val="08061E5A"/>
    <w:rsid w:val="08087B48"/>
    <w:rsid w:val="080FEC4B"/>
    <w:rsid w:val="08242E6F"/>
    <w:rsid w:val="0824A8C8"/>
    <w:rsid w:val="08255932"/>
    <w:rsid w:val="08286B5D"/>
    <w:rsid w:val="082904F2"/>
    <w:rsid w:val="082F875A"/>
    <w:rsid w:val="0839313A"/>
    <w:rsid w:val="083AF345"/>
    <w:rsid w:val="083B726C"/>
    <w:rsid w:val="083BE32F"/>
    <w:rsid w:val="0842D59F"/>
    <w:rsid w:val="0846D20E"/>
    <w:rsid w:val="084CF36A"/>
    <w:rsid w:val="0850B609"/>
    <w:rsid w:val="08523EFD"/>
    <w:rsid w:val="08541E2B"/>
    <w:rsid w:val="0857E6C2"/>
    <w:rsid w:val="08598D33"/>
    <w:rsid w:val="0860DE95"/>
    <w:rsid w:val="0861F8BD"/>
    <w:rsid w:val="08628125"/>
    <w:rsid w:val="08629107"/>
    <w:rsid w:val="08671119"/>
    <w:rsid w:val="0869B194"/>
    <w:rsid w:val="086A345F"/>
    <w:rsid w:val="086B889A"/>
    <w:rsid w:val="08777E11"/>
    <w:rsid w:val="08781CD1"/>
    <w:rsid w:val="087A2430"/>
    <w:rsid w:val="087C6572"/>
    <w:rsid w:val="088A53E7"/>
    <w:rsid w:val="088B33E4"/>
    <w:rsid w:val="088BB853"/>
    <w:rsid w:val="088C1C5E"/>
    <w:rsid w:val="089283CF"/>
    <w:rsid w:val="0892AA70"/>
    <w:rsid w:val="0899E79D"/>
    <w:rsid w:val="08A9B80C"/>
    <w:rsid w:val="08A9DDB5"/>
    <w:rsid w:val="08AABEC7"/>
    <w:rsid w:val="08ABF4AA"/>
    <w:rsid w:val="08B20ED7"/>
    <w:rsid w:val="08B97889"/>
    <w:rsid w:val="08BC7125"/>
    <w:rsid w:val="08BF8850"/>
    <w:rsid w:val="08C1AC07"/>
    <w:rsid w:val="08C3F1C9"/>
    <w:rsid w:val="08C916E4"/>
    <w:rsid w:val="08CCE978"/>
    <w:rsid w:val="08CD97C5"/>
    <w:rsid w:val="08D44797"/>
    <w:rsid w:val="08D7D395"/>
    <w:rsid w:val="08D89D02"/>
    <w:rsid w:val="08DBE977"/>
    <w:rsid w:val="08DC4C6D"/>
    <w:rsid w:val="08DDBCEE"/>
    <w:rsid w:val="08DE267E"/>
    <w:rsid w:val="08E7C74F"/>
    <w:rsid w:val="08E907AB"/>
    <w:rsid w:val="08EC3F9D"/>
    <w:rsid w:val="08EED501"/>
    <w:rsid w:val="08F2BBDE"/>
    <w:rsid w:val="08F87257"/>
    <w:rsid w:val="0901A3BF"/>
    <w:rsid w:val="09022173"/>
    <w:rsid w:val="09045457"/>
    <w:rsid w:val="0905EF1D"/>
    <w:rsid w:val="090607A8"/>
    <w:rsid w:val="090E0403"/>
    <w:rsid w:val="090EA983"/>
    <w:rsid w:val="09110C44"/>
    <w:rsid w:val="0911D407"/>
    <w:rsid w:val="09135664"/>
    <w:rsid w:val="09145035"/>
    <w:rsid w:val="091479C6"/>
    <w:rsid w:val="0917F319"/>
    <w:rsid w:val="09196201"/>
    <w:rsid w:val="091B31D6"/>
    <w:rsid w:val="09216318"/>
    <w:rsid w:val="0922D32D"/>
    <w:rsid w:val="0929ADA6"/>
    <w:rsid w:val="092CB3C1"/>
    <w:rsid w:val="092D8E86"/>
    <w:rsid w:val="092EDE00"/>
    <w:rsid w:val="0935D352"/>
    <w:rsid w:val="093786FC"/>
    <w:rsid w:val="093AB678"/>
    <w:rsid w:val="093E6756"/>
    <w:rsid w:val="09406C71"/>
    <w:rsid w:val="09458444"/>
    <w:rsid w:val="0947199F"/>
    <w:rsid w:val="094C0039"/>
    <w:rsid w:val="0954A8FB"/>
    <w:rsid w:val="095DDE03"/>
    <w:rsid w:val="095EC822"/>
    <w:rsid w:val="096589CF"/>
    <w:rsid w:val="0970665C"/>
    <w:rsid w:val="0975C092"/>
    <w:rsid w:val="0977B39F"/>
    <w:rsid w:val="097B74F5"/>
    <w:rsid w:val="097EEF68"/>
    <w:rsid w:val="09826675"/>
    <w:rsid w:val="098499E8"/>
    <w:rsid w:val="098C8F95"/>
    <w:rsid w:val="098E59ED"/>
    <w:rsid w:val="099135DF"/>
    <w:rsid w:val="0993D3C9"/>
    <w:rsid w:val="09974E2B"/>
    <w:rsid w:val="09A47874"/>
    <w:rsid w:val="09AF6FB5"/>
    <w:rsid w:val="09B29D6F"/>
    <w:rsid w:val="09C6AC54"/>
    <w:rsid w:val="09C8990D"/>
    <w:rsid w:val="09CB96CA"/>
    <w:rsid w:val="09CD958B"/>
    <w:rsid w:val="09D575FD"/>
    <w:rsid w:val="09D61032"/>
    <w:rsid w:val="09DEAF55"/>
    <w:rsid w:val="09EBF1C1"/>
    <w:rsid w:val="09EE21C2"/>
    <w:rsid w:val="09F59AF5"/>
    <w:rsid w:val="09F64994"/>
    <w:rsid w:val="09FC14BC"/>
    <w:rsid w:val="09FDD6A4"/>
    <w:rsid w:val="0A0024D6"/>
    <w:rsid w:val="0A0D5749"/>
    <w:rsid w:val="0A138C13"/>
    <w:rsid w:val="0A18F4C3"/>
    <w:rsid w:val="0A196B7D"/>
    <w:rsid w:val="0A1FBD98"/>
    <w:rsid w:val="0A2043C2"/>
    <w:rsid w:val="0A448E16"/>
    <w:rsid w:val="0A486820"/>
    <w:rsid w:val="0A4BD604"/>
    <w:rsid w:val="0A5458D4"/>
    <w:rsid w:val="0A580C62"/>
    <w:rsid w:val="0A58A44C"/>
    <w:rsid w:val="0A5B6DC5"/>
    <w:rsid w:val="0A628AD0"/>
    <w:rsid w:val="0A684D69"/>
    <w:rsid w:val="0A6944C2"/>
    <w:rsid w:val="0A6B9EBC"/>
    <w:rsid w:val="0A711032"/>
    <w:rsid w:val="0A711886"/>
    <w:rsid w:val="0A7207BF"/>
    <w:rsid w:val="0A72EACD"/>
    <w:rsid w:val="0A743CC0"/>
    <w:rsid w:val="0A781C57"/>
    <w:rsid w:val="0A798544"/>
    <w:rsid w:val="0A798D4F"/>
    <w:rsid w:val="0A7A3E78"/>
    <w:rsid w:val="0A7AE054"/>
    <w:rsid w:val="0A7BCC9E"/>
    <w:rsid w:val="0A7F9A65"/>
    <w:rsid w:val="0A7FA17A"/>
    <w:rsid w:val="0A817441"/>
    <w:rsid w:val="0A863897"/>
    <w:rsid w:val="0A864B61"/>
    <w:rsid w:val="0A896D8F"/>
    <w:rsid w:val="0A931B51"/>
    <w:rsid w:val="0A96F99D"/>
    <w:rsid w:val="0A99FB6B"/>
    <w:rsid w:val="0A9B23B7"/>
    <w:rsid w:val="0AA31936"/>
    <w:rsid w:val="0AA6F8CC"/>
    <w:rsid w:val="0AA8FC1F"/>
    <w:rsid w:val="0AAA317A"/>
    <w:rsid w:val="0AB31565"/>
    <w:rsid w:val="0AB37FFA"/>
    <w:rsid w:val="0AB4BD02"/>
    <w:rsid w:val="0AB5DB41"/>
    <w:rsid w:val="0AB699B6"/>
    <w:rsid w:val="0AB90CD4"/>
    <w:rsid w:val="0ABEECB2"/>
    <w:rsid w:val="0ABEFF6B"/>
    <w:rsid w:val="0AC38244"/>
    <w:rsid w:val="0ACB7279"/>
    <w:rsid w:val="0ACD5253"/>
    <w:rsid w:val="0ACD9AEC"/>
    <w:rsid w:val="0AD1F514"/>
    <w:rsid w:val="0AD4147F"/>
    <w:rsid w:val="0AD811C4"/>
    <w:rsid w:val="0ADE4AA9"/>
    <w:rsid w:val="0AE0472B"/>
    <w:rsid w:val="0AE6C29B"/>
    <w:rsid w:val="0AEA3F5D"/>
    <w:rsid w:val="0AEDF5E3"/>
    <w:rsid w:val="0AF4B164"/>
    <w:rsid w:val="0AF99945"/>
    <w:rsid w:val="0B017F9B"/>
    <w:rsid w:val="0B04A375"/>
    <w:rsid w:val="0B0BECAA"/>
    <w:rsid w:val="0B0E4C8E"/>
    <w:rsid w:val="0B0FE17D"/>
    <w:rsid w:val="0B17B64D"/>
    <w:rsid w:val="0B1F5914"/>
    <w:rsid w:val="0B20E096"/>
    <w:rsid w:val="0B306F86"/>
    <w:rsid w:val="0B3D1F71"/>
    <w:rsid w:val="0B3E94D4"/>
    <w:rsid w:val="0B43E3E0"/>
    <w:rsid w:val="0B453B20"/>
    <w:rsid w:val="0B460D4E"/>
    <w:rsid w:val="0B469964"/>
    <w:rsid w:val="0B48F10D"/>
    <w:rsid w:val="0B4FFBA6"/>
    <w:rsid w:val="0B58425A"/>
    <w:rsid w:val="0B59194D"/>
    <w:rsid w:val="0B69C39F"/>
    <w:rsid w:val="0B6B7EFF"/>
    <w:rsid w:val="0B7165F7"/>
    <w:rsid w:val="0B788281"/>
    <w:rsid w:val="0B7A1853"/>
    <w:rsid w:val="0B7A8A1A"/>
    <w:rsid w:val="0B7C6237"/>
    <w:rsid w:val="0B7EB7A6"/>
    <w:rsid w:val="0B837135"/>
    <w:rsid w:val="0B8655BD"/>
    <w:rsid w:val="0B89F69C"/>
    <w:rsid w:val="0B8C1344"/>
    <w:rsid w:val="0B8F2022"/>
    <w:rsid w:val="0B8F440F"/>
    <w:rsid w:val="0B93C04B"/>
    <w:rsid w:val="0B945779"/>
    <w:rsid w:val="0B9C06B7"/>
    <w:rsid w:val="0BA04288"/>
    <w:rsid w:val="0BA4343B"/>
    <w:rsid w:val="0BA81C2F"/>
    <w:rsid w:val="0BA920DB"/>
    <w:rsid w:val="0BA99695"/>
    <w:rsid w:val="0BAE2526"/>
    <w:rsid w:val="0BB36C40"/>
    <w:rsid w:val="0BBDEBE7"/>
    <w:rsid w:val="0BC17006"/>
    <w:rsid w:val="0BC4B37B"/>
    <w:rsid w:val="0BC50D27"/>
    <w:rsid w:val="0BC566E5"/>
    <w:rsid w:val="0BC8B639"/>
    <w:rsid w:val="0BD444F6"/>
    <w:rsid w:val="0BDA4ED7"/>
    <w:rsid w:val="0BDD4E7C"/>
    <w:rsid w:val="0BE08C04"/>
    <w:rsid w:val="0BE7F8E2"/>
    <w:rsid w:val="0BE86574"/>
    <w:rsid w:val="0BE8BEEE"/>
    <w:rsid w:val="0BE9E6CF"/>
    <w:rsid w:val="0BEC4B60"/>
    <w:rsid w:val="0BF073D7"/>
    <w:rsid w:val="0BF12825"/>
    <w:rsid w:val="0BFBC33A"/>
    <w:rsid w:val="0C01B452"/>
    <w:rsid w:val="0C0283DF"/>
    <w:rsid w:val="0C06A41E"/>
    <w:rsid w:val="0C0CCED6"/>
    <w:rsid w:val="0C1B79F3"/>
    <w:rsid w:val="0C1F2D2B"/>
    <w:rsid w:val="0C2485BE"/>
    <w:rsid w:val="0C24A2AF"/>
    <w:rsid w:val="0C24B566"/>
    <w:rsid w:val="0C285B7D"/>
    <w:rsid w:val="0C2FAF07"/>
    <w:rsid w:val="0C329EC6"/>
    <w:rsid w:val="0C35D59F"/>
    <w:rsid w:val="0C375D48"/>
    <w:rsid w:val="0C37AEC4"/>
    <w:rsid w:val="0C3C486F"/>
    <w:rsid w:val="0C3E08F5"/>
    <w:rsid w:val="0C419C92"/>
    <w:rsid w:val="0C471AFB"/>
    <w:rsid w:val="0C488883"/>
    <w:rsid w:val="0C4EA2F3"/>
    <w:rsid w:val="0C529385"/>
    <w:rsid w:val="0C551414"/>
    <w:rsid w:val="0C578317"/>
    <w:rsid w:val="0C5EB31A"/>
    <w:rsid w:val="0C5EC835"/>
    <w:rsid w:val="0C641538"/>
    <w:rsid w:val="0C6B3625"/>
    <w:rsid w:val="0C6B61E2"/>
    <w:rsid w:val="0C72AC38"/>
    <w:rsid w:val="0C787A8C"/>
    <w:rsid w:val="0C78F488"/>
    <w:rsid w:val="0C7DAC1A"/>
    <w:rsid w:val="0C7EC026"/>
    <w:rsid w:val="0C818FA2"/>
    <w:rsid w:val="0C829E14"/>
    <w:rsid w:val="0C857929"/>
    <w:rsid w:val="0C89D541"/>
    <w:rsid w:val="0C8ECDE7"/>
    <w:rsid w:val="0C921976"/>
    <w:rsid w:val="0C936190"/>
    <w:rsid w:val="0C981809"/>
    <w:rsid w:val="0C9B00D1"/>
    <w:rsid w:val="0C9BDF9F"/>
    <w:rsid w:val="0CA013CB"/>
    <w:rsid w:val="0CA0B6C7"/>
    <w:rsid w:val="0CA6F46D"/>
    <w:rsid w:val="0CA77C17"/>
    <w:rsid w:val="0CAD82A3"/>
    <w:rsid w:val="0CB17A75"/>
    <w:rsid w:val="0CB57ABB"/>
    <w:rsid w:val="0CB7A95F"/>
    <w:rsid w:val="0CB86464"/>
    <w:rsid w:val="0CBD7D58"/>
    <w:rsid w:val="0CCED9F1"/>
    <w:rsid w:val="0CD26F4E"/>
    <w:rsid w:val="0CD3492F"/>
    <w:rsid w:val="0CD5124F"/>
    <w:rsid w:val="0CD70C2C"/>
    <w:rsid w:val="0CDA5556"/>
    <w:rsid w:val="0CDE1AA5"/>
    <w:rsid w:val="0CE2FD37"/>
    <w:rsid w:val="0CE8A07F"/>
    <w:rsid w:val="0CEBF34F"/>
    <w:rsid w:val="0CF8DDEB"/>
    <w:rsid w:val="0CFA7C16"/>
    <w:rsid w:val="0CFCA027"/>
    <w:rsid w:val="0CFE8165"/>
    <w:rsid w:val="0CFF7B02"/>
    <w:rsid w:val="0D001AF8"/>
    <w:rsid w:val="0D0B8909"/>
    <w:rsid w:val="0D0E25F1"/>
    <w:rsid w:val="0D0F7B65"/>
    <w:rsid w:val="0D1239F1"/>
    <w:rsid w:val="0D1B0332"/>
    <w:rsid w:val="0D1C72C0"/>
    <w:rsid w:val="0D236E1F"/>
    <w:rsid w:val="0D2A6193"/>
    <w:rsid w:val="0D2AB3BA"/>
    <w:rsid w:val="0D2CB10B"/>
    <w:rsid w:val="0D2E032C"/>
    <w:rsid w:val="0D3192A4"/>
    <w:rsid w:val="0D3AC632"/>
    <w:rsid w:val="0D3BFC04"/>
    <w:rsid w:val="0D3F52C7"/>
    <w:rsid w:val="0D3F886B"/>
    <w:rsid w:val="0D3FC303"/>
    <w:rsid w:val="0D4011D3"/>
    <w:rsid w:val="0D41035F"/>
    <w:rsid w:val="0D484710"/>
    <w:rsid w:val="0D4B1EA8"/>
    <w:rsid w:val="0D4FF1D4"/>
    <w:rsid w:val="0D5013BE"/>
    <w:rsid w:val="0D5983B4"/>
    <w:rsid w:val="0D5C4123"/>
    <w:rsid w:val="0D69F6A0"/>
    <w:rsid w:val="0D6C8124"/>
    <w:rsid w:val="0D6CE518"/>
    <w:rsid w:val="0D6DDEE2"/>
    <w:rsid w:val="0D711CB9"/>
    <w:rsid w:val="0D75AE28"/>
    <w:rsid w:val="0D7E79B6"/>
    <w:rsid w:val="0D7F069E"/>
    <w:rsid w:val="0D7FA842"/>
    <w:rsid w:val="0D811736"/>
    <w:rsid w:val="0D83A9C1"/>
    <w:rsid w:val="0D85B7DC"/>
    <w:rsid w:val="0D85DECA"/>
    <w:rsid w:val="0D87EB85"/>
    <w:rsid w:val="0D88C988"/>
    <w:rsid w:val="0D8BABEC"/>
    <w:rsid w:val="0D8D3F44"/>
    <w:rsid w:val="0D91771D"/>
    <w:rsid w:val="0D931D62"/>
    <w:rsid w:val="0D935709"/>
    <w:rsid w:val="0D98019A"/>
    <w:rsid w:val="0D9B08A1"/>
    <w:rsid w:val="0D9C4A83"/>
    <w:rsid w:val="0D9D4651"/>
    <w:rsid w:val="0DA249A4"/>
    <w:rsid w:val="0DA35C41"/>
    <w:rsid w:val="0DA3BC1E"/>
    <w:rsid w:val="0DA45492"/>
    <w:rsid w:val="0DA7DD97"/>
    <w:rsid w:val="0DA881C6"/>
    <w:rsid w:val="0DAB2C16"/>
    <w:rsid w:val="0DB3FBEF"/>
    <w:rsid w:val="0DBEE045"/>
    <w:rsid w:val="0DC25F89"/>
    <w:rsid w:val="0DC53405"/>
    <w:rsid w:val="0DC93BE6"/>
    <w:rsid w:val="0DCBBCA9"/>
    <w:rsid w:val="0DD11A8D"/>
    <w:rsid w:val="0DD21702"/>
    <w:rsid w:val="0DD67CA9"/>
    <w:rsid w:val="0DD7D90D"/>
    <w:rsid w:val="0DDAEED9"/>
    <w:rsid w:val="0DDB3E96"/>
    <w:rsid w:val="0DE17D48"/>
    <w:rsid w:val="0DE25776"/>
    <w:rsid w:val="0DE55D19"/>
    <w:rsid w:val="0DE5F93D"/>
    <w:rsid w:val="0DF290CD"/>
    <w:rsid w:val="0DF33CFA"/>
    <w:rsid w:val="0DF51145"/>
    <w:rsid w:val="0DF5D6D5"/>
    <w:rsid w:val="0DFB604E"/>
    <w:rsid w:val="0DFC54A0"/>
    <w:rsid w:val="0DFE4900"/>
    <w:rsid w:val="0E01E367"/>
    <w:rsid w:val="0E06C47C"/>
    <w:rsid w:val="0E08F695"/>
    <w:rsid w:val="0E0C59B0"/>
    <w:rsid w:val="0E1194B6"/>
    <w:rsid w:val="0E124956"/>
    <w:rsid w:val="0E1422FF"/>
    <w:rsid w:val="0E14FDCE"/>
    <w:rsid w:val="0E16F349"/>
    <w:rsid w:val="0E1C0702"/>
    <w:rsid w:val="0E21AF5E"/>
    <w:rsid w:val="0E232A49"/>
    <w:rsid w:val="0E24C6FA"/>
    <w:rsid w:val="0E285C39"/>
    <w:rsid w:val="0E289D4D"/>
    <w:rsid w:val="0E299E09"/>
    <w:rsid w:val="0E2CF3DF"/>
    <w:rsid w:val="0E2E8C89"/>
    <w:rsid w:val="0E349A88"/>
    <w:rsid w:val="0E34C8D8"/>
    <w:rsid w:val="0E39E8B4"/>
    <w:rsid w:val="0E3C7EBE"/>
    <w:rsid w:val="0E3DAD79"/>
    <w:rsid w:val="0E48D698"/>
    <w:rsid w:val="0E6022DC"/>
    <w:rsid w:val="0E6778C7"/>
    <w:rsid w:val="0E6E0C8A"/>
    <w:rsid w:val="0E7BB5CD"/>
    <w:rsid w:val="0E7CD73E"/>
    <w:rsid w:val="0E7D229E"/>
    <w:rsid w:val="0E7EEB13"/>
    <w:rsid w:val="0E822306"/>
    <w:rsid w:val="0E85376B"/>
    <w:rsid w:val="0E893CDC"/>
    <w:rsid w:val="0E92526A"/>
    <w:rsid w:val="0E941B30"/>
    <w:rsid w:val="0E954761"/>
    <w:rsid w:val="0E96AE00"/>
    <w:rsid w:val="0E9A29C5"/>
    <w:rsid w:val="0E9B8058"/>
    <w:rsid w:val="0EA0CA70"/>
    <w:rsid w:val="0EA1E620"/>
    <w:rsid w:val="0EA446F0"/>
    <w:rsid w:val="0EAB5E94"/>
    <w:rsid w:val="0EB09683"/>
    <w:rsid w:val="0EB22352"/>
    <w:rsid w:val="0EB24CAC"/>
    <w:rsid w:val="0EB2626F"/>
    <w:rsid w:val="0EB6D286"/>
    <w:rsid w:val="0EBBBBB5"/>
    <w:rsid w:val="0EBC8438"/>
    <w:rsid w:val="0EC01A6C"/>
    <w:rsid w:val="0EC2FAF1"/>
    <w:rsid w:val="0EC8640C"/>
    <w:rsid w:val="0ECFD72F"/>
    <w:rsid w:val="0ED765FF"/>
    <w:rsid w:val="0EE1F2CB"/>
    <w:rsid w:val="0EE33E17"/>
    <w:rsid w:val="0EE6E7C0"/>
    <w:rsid w:val="0EEB5ADC"/>
    <w:rsid w:val="0EEE9523"/>
    <w:rsid w:val="0EEFEBF0"/>
    <w:rsid w:val="0EF047BE"/>
    <w:rsid w:val="0EF05AA4"/>
    <w:rsid w:val="0EF25270"/>
    <w:rsid w:val="0EF4A7FE"/>
    <w:rsid w:val="0EF9E486"/>
    <w:rsid w:val="0F04A31B"/>
    <w:rsid w:val="0F0527B6"/>
    <w:rsid w:val="0F093F70"/>
    <w:rsid w:val="0F0C41ED"/>
    <w:rsid w:val="0F0F3FD9"/>
    <w:rsid w:val="0F12A554"/>
    <w:rsid w:val="0F18A6CB"/>
    <w:rsid w:val="0F18E336"/>
    <w:rsid w:val="0F1BD627"/>
    <w:rsid w:val="0F211002"/>
    <w:rsid w:val="0F26AD0F"/>
    <w:rsid w:val="0F2D7EBE"/>
    <w:rsid w:val="0F31FC56"/>
    <w:rsid w:val="0F3641EB"/>
    <w:rsid w:val="0F3723BE"/>
    <w:rsid w:val="0F3D09D6"/>
    <w:rsid w:val="0F3ECA4A"/>
    <w:rsid w:val="0F404CC7"/>
    <w:rsid w:val="0F47EDA9"/>
    <w:rsid w:val="0F48492E"/>
    <w:rsid w:val="0F51D216"/>
    <w:rsid w:val="0F554A24"/>
    <w:rsid w:val="0F56B03B"/>
    <w:rsid w:val="0F58F501"/>
    <w:rsid w:val="0F5BD2F3"/>
    <w:rsid w:val="0F5BED33"/>
    <w:rsid w:val="0F5DDC9B"/>
    <w:rsid w:val="0F5F75BE"/>
    <w:rsid w:val="0F620CBD"/>
    <w:rsid w:val="0F73255E"/>
    <w:rsid w:val="0F745F58"/>
    <w:rsid w:val="0F77A4C0"/>
    <w:rsid w:val="0F79E89A"/>
    <w:rsid w:val="0F7C997C"/>
    <w:rsid w:val="0F80A573"/>
    <w:rsid w:val="0F816FA6"/>
    <w:rsid w:val="0F83AD60"/>
    <w:rsid w:val="0F83D6B9"/>
    <w:rsid w:val="0F89487D"/>
    <w:rsid w:val="0F906FFF"/>
    <w:rsid w:val="0F91A015"/>
    <w:rsid w:val="0F97130C"/>
    <w:rsid w:val="0FA10B61"/>
    <w:rsid w:val="0FA2A338"/>
    <w:rsid w:val="0FA2F2EB"/>
    <w:rsid w:val="0FB96E96"/>
    <w:rsid w:val="0FBA08DA"/>
    <w:rsid w:val="0FBCE543"/>
    <w:rsid w:val="0FBDA54B"/>
    <w:rsid w:val="0FC18348"/>
    <w:rsid w:val="0FC64C9B"/>
    <w:rsid w:val="0FCAE99B"/>
    <w:rsid w:val="0FCE4CB0"/>
    <w:rsid w:val="0FD0779A"/>
    <w:rsid w:val="0FD31160"/>
    <w:rsid w:val="0FD4BA27"/>
    <w:rsid w:val="0FD52C7C"/>
    <w:rsid w:val="0FD6648B"/>
    <w:rsid w:val="0FDD2678"/>
    <w:rsid w:val="0FDE01D9"/>
    <w:rsid w:val="0FE2209C"/>
    <w:rsid w:val="0FE92144"/>
    <w:rsid w:val="0FF15562"/>
    <w:rsid w:val="0FF3885F"/>
    <w:rsid w:val="0FF5C8A7"/>
    <w:rsid w:val="0FF7BFA8"/>
    <w:rsid w:val="0FF97C23"/>
    <w:rsid w:val="0FFA17C8"/>
    <w:rsid w:val="0FFA4024"/>
    <w:rsid w:val="0FFC7E7D"/>
    <w:rsid w:val="0FFD5887"/>
    <w:rsid w:val="0FFFE7E7"/>
    <w:rsid w:val="10014CCB"/>
    <w:rsid w:val="1006AEC2"/>
    <w:rsid w:val="100DA457"/>
    <w:rsid w:val="100E27E4"/>
    <w:rsid w:val="101A2C8A"/>
    <w:rsid w:val="101B5241"/>
    <w:rsid w:val="101B9651"/>
    <w:rsid w:val="101EF4D6"/>
    <w:rsid w:val="101EF975"/>
    <w:rsid w:val="1022C51B"/>
    <w:rsid w:val="10234CBD"/>
    <w:rsid w:val="1035FAE2"/>
    <w:rsid w:val="10374B3C"/>
    <w:rsid w:val="103B38C4"/>
    <w:rsid w:val="103D10B6"/>
    <w:rsid w:val="104B8122"/>
    <w:rsid w:val="104BB520"/>
    <w:rsid w:val="104DBA8A"/>
    <w:rsid w:val="104DEBC2"/>
    <w:rsid w:val="1051235D"/>
    <w:rsid w:val="10517C1B"/>
    <w:rsid w:val="10538BE9"/>
    <w:rsid w:val="10552DD5"/>
    <w:rsid w:val="1063D19D"/>
    <w:rsid w:val="10642698"/>
    <w:rsid w:val="106488F5"/>
    <w:rsid w:val="1064CED6"/>
    <w:rsid w:val="106F0654"/>
    <w:rsid w:val="10711E98"/>
    <w:rsid w:val="1071EE01"/>
    <w:rsid w:val="107482EB"/>
    <w:rsid w:val="1074EACA"/>
    <w:rsid w:val="10864E57"/>
    <w:rsid w:val="1086FF56"/>
    <w:rsid w:val="1087A914"/>
    <w:rsid w:val="10889B0D"/>
    <w:rsid w:val="108C605A"/>
    <w:rsid w:val="10940C9E"/>
    <w:rsid w:val="1094DB36"/>
    <w:rsid w:val="109D76A5"/>
    <w:rsid w:val="109EC21B"/>
    <w:rsid w:val="10B51D0F"/>
    <w:rsid w:val="10B6B273"/>
    <w:rsid w:val="10B79D2A"/>
    <w:rsid w:val="10B9629E"/>
    <w:rsid w:val="10BCECB9"/>
    <w:rsid w:val="10BEB6AF"/>
    <w:rsid w:val="10C03A5A"/>
    <w:rsid w:val="10C1104B"/>
    <w:rsid w:val="10C44714"/>
    <w:rsid w:val="10C45209"/>
    <w:rsid w:val="10CDA346"/>
    <w:rsid w:val="10CF2F21"/>
    <w:rsid w:val="10D36399"/>
    <w:rsid w:val="10DBDBB4"/>
    <w:rsid w:val="10DEBD20"/>
    <w:rsid w:val="10DED383"/>
    <w:rsid w:val="10E0ACCA"/>
    <w:rsid w:val="10E6E454"/>
    <w:rsid w:val="10E8D3B7"/>
    <w:rsid w:val="10EA189A"/>
    <w:rsid w:val="10F16DAD"/>
    <w:rsid w:val="10F320D8"/>
    <w:rsid w:val="10F54934"/>
    <w:rsid w:val="10F5E6B3"/>
    <w:rsid w:val="10F7293F"/>
    <w:rsid w:val="10FB192A"/>
    <w:rsid w:val="1114AA4C"/>
    <w:rsid w:val="11190947"/>
    <w:rsid w:val="11218F4C"/>
    <w:rsid w:val="11349078"/>
    <w:rsid w:val="1135AAE1"/>
    <w:rsid w:val="1137FA43"/>
    <w:rsid w:val="113BD970"/>
    <w:rsid w:val="113CDBC2"/>
    <w:rsid w:val="113D967D"/>
    <w:rsid w:val="1149808B"/>
    <w:rsid w:val="114B85FC"/>
    <w:rsid w:val="114EFB72"/>
    <w:rsid w:val="114FB4AA"/>
    <w:rsid w:val="1151DE0A"/>
    <w:rsid w:val="1152B4C1"/>
    <w:rsid w:val="11593268"/>
    <w:rsid w:val="1159F0DA"/>
    <w:rsid w:val="1161D48D"/>
    <w:rsid w:val="1166CCFD"/>
    <w:rsid w:val="116B30A3"/>
    <w:rsid w:val="116DEA57"/>
    <w:rsid w:val="116ED306"/>
    <w:rsid w:val="117377DF"/>
    <w:rsid w:val="1179C8BB"/>
    <w:rsid w:val="117B05B7"/>
    <w:rsid w:val="117E2A58"/>
    <w:rsid w:val="11810564"/>
    <w:rsid w:val="1183CABA"/>
    <w:rsid w:val="1191C99D"/>
    <w:rsid w:val="11996869"/>
    <w:rsid w:val="119CE637"/>
    <w:rsid w:val="119D371C"/>
    <w:rsid w:val="119D609F"/>
    <w:rsid w:val="11A91C0E"/>
    <w:rsid w:val="11AD9801"/>
    <w:rsid w:val="11B0B456"/>
    <w:rsid w:val="11B2C74D"/>
    <w:rsid w:val="11B39998"/>
    <w:rsid w:val="11B480F3"/>
    <w:rsid w:val="11BF4040"/>
    <w:rsid w:val="11C3D75E"/>
    <w:rsid w:val="11C7C892"/>
    <w:rsid w:val="11C9F32C"/>
    <w:rsid w:val="11CD63EF"/>
    <w:rsid w:val="11D911F7"/>
    <w:rsid w:val="11DFB224"/>
    <w:rsid w:val="11DFF88D"/>
    <w:rsid w:val="11E27B6A"/>
    <w:rsid w:val="11E52576"/>
    <w:rsid w:val="11E8646B"/>
    <w:rsid w:val="11EA41DE"/>
    <w:rsid w:val="11EB9F4E"/>
    <w:rsid w:val="11EF8082"/>
    <w:rsid w:val="11F0978E"/>
    <w:rsid w:val="11F3E884"/>
    <w:rsid w:val="11F42B96"/>
    <w:rsid w:val="11F5A013"/>
    <w:rsid w:val="11F6ECF4"/>
    <w:rsid w:val="11FAAF22"/>
    <w:rsid w:val="11FBC087"/>
    <w:rsid w:val="11FC2C53"/>
    <w:rsid w:val="11FD23AA"/>
    <w:rsid w:val="11FFE5F5"/>
    <w:rsid w:val="1201CC64"/>
    <w:rsid w:val="120CC91E"/>
    <w:rsid w:val="120D5DE7"/>
    <w:rsid w:val="1215F217"/>
    <w:rsid w:val="121E21A4"/>
    <w:rsid w:val="121F2E76"/>
    <w:rsid w:val="12224E67"/>
    <w:rsid w:val="1224D265"/>
    <w:rsid w:val="1227022C"/>
    <w:rsid w:val="122C2EC8"/>
    <w:rsid w:val="12308B8D"/>
    <w:rsid w:val="12314E0B"/>
    <w:rsid w:val="12347A68"/>
    <w:rsid w:val="123C6075"/>
    <w:rsid w:val="123E9F8E"/>
    <w:rsid w:val="12434EFF"/>
    <w:rsid w:val="1245DF13"/>
    <w:rsid w:val="12487E23"/>
    <w:rsid w:val="124A713C"/>
    <w:rsid w:val="1254DE2A"/>
    <w:rsid w:val="1259D1F6"/>
    <w:rsid w:val="125C38AD"/>
    <w:rsid w:val="125DB67F"/>
    <w:rsid w:val="12612DC1"/>
    <w:rsid w:val="126696D6"/>
    <w:rsid w:val="1268ED81"/>
    <w:rsid w:val="1269A3E2"/>
    <w:rsid w:val="126B305D"/>
    <w:rsid w:val="1274A4E1"/>
    <w:rsid w:val="127637CF"/>
    <w:rsid w:val="12763D44"/>
    <w:rsid w:val="12766328"/>
    <w:rsid w:val="127D67E1"/>
    <w:rsid w:val="127E85EE"/>
    <w:rsid w:val="12857888"/>
    <w:rsid w:val="128F1B14"/>
    <w:rsid w:val="1290FFD7"/>
    <w:rsid w:val="1293756E"/>
    <w:rsid w:val="1295B456"/>
    <w:rsid w:val="12983E43"/>
    <w:rsid w:val="12A46E94"/>
    <w:rsid w:val="12A60C5E"/>
    <w:rsid w:val="12A7F832"/>
    <w:rsid w:val="12AFEC45"/>
    <w:rsid w:val="12B55386"/>
    <w:rsid w:val="12B61F12"/>
    <w:rsid w:val="12BA6C66"/>
    <w:rsid w:val="12BAE037"/>
    <w:rsid w:val="12C5063E"/>
    <w:rsid w:val="12C56329"/>
    <w:rsid w:val="12C8F1B2"/>
    <w:rsid w:val="12CCDF2F"/>
    <w:rsid w:val="12CCED25"/>
    <w:rsid w:val="12D0AA15"/>
    <w:rsid w:val="12D5DDB5"/>
    <w:rsid w:val="12D82688"/>
    <w:rsid w:val="12D85B5A"/>
    <w:rsid w:val="12DD1658"/>
    <w:rsid w:val="12E52275"/>
    <w:rsid w:val="12E8AD1D"/>
    <w:rsid w:val="12E993A1"/>
    <w:rsid w:val="12F00401"/>
    <w:rsid w:val="12F15935"/>
    <w:rsid w:val="12F33993"/>
    <w:rsid w:val="12F532BC"/>
    <w:rsid w:val="12F802C0"/>
    <w:rsid w:val="130B6314"/>
    <w:rsid w:val="130E2E43"/>
    <w:rsid w:val="131174D5"/>
    <w:rsid w:val="13203E3D"/>
    <w:rsid w:val="132422FE"/>
    <w:rsid w:val="133655F8"/>
    <w:rsid w:val="133675DC"/>
    <w:rsid w:val="133AE38E"/>
    <w:rsid w:val="133CDE3A"/>
    <w:rsid w:val="1342AE4D"/>
    <w:rsid w:val="1343F4C5"/>
    <w:rsid w:val="1345DF8D"/>
    <w:rsid w:val="1348F782"/>
    <w:rsid w:val="134BDC1E"/>
    <w:rsid w:val="134EA771"/>
    <w:rsid w:val="1355B7A4"/>
    <w:rsid w:val="135875DA"/>
    <w:rsid w:val="1359D9AA"/>
    <w:rsid w:val="1360C6AA"/>
    <w:rsid w:val="13620D08"/>
    <w:rsid w:val="13655956"/>
    <w:rsid w:val="13691C2C"/>
    <w:rsid w:val="136A6913"/>
    <w:rsid w:val="136F11F0"/>
    <w:rsid w:val="1377C8C5"/>
    <w:rsid w:val="137B601C"/>
    <w:rsid w:val="137E2A06"/>
    <w:rsid w:val="138178D1"/>
    <w:rsid w:val="13821BD5"/>
    <w:rsid w:val="13870C6B"/>
    <w:rsid w:val="138FA2FD"/>
    <w:rsid w:val="1395791B"/>
    <w:rsid w:val="13AAC29A"/>
    <w:rsid w:val="13AC55DC"/>
    <w:rsid w:val="13AE4254"/>
    <w:rsid w:val="13AF00BF"/>
    <w:rsid w:val="13B32854"/>
    <w:rsid w:val="13B342C2"/>
    <w:rsid w:val="13B3D5B4"/>
    <w:rsid w:val="13B8A26E"/>
    <w:rsid w:val="13BFC73A"/>
    <w:rsid w:val="13C34E5E"/>
    <w:rsid w:val="13C3E89F"/>
    <w:rsid w:val="13CC460D"/>
    <w:rsid w:val="13D0E5F7"/>
    <w:rsid w:val="13D26F9E"/>
    <w:rsid w:val="13D5620F"/>
    <w:rsid w:val="13D83A67"/>
    <w:rsid w:val="13DC4140"/>
    <w:rsid w:val="13DD264C"/>
    <w:rsid w:val="13DDB1DE"/>
    <w:rsid w:val="13DE3363"/>
    <w:rsid w:val="13E22AB9"/>
    <w:rsid w:val="13E4EC69"/>
    <w:rsid w:val="13EC27F8"/>
    <w:rsid w:val="13F17719"/>
    <w:rsid w:val="13F248D5"/>
    <w:rsid w:val="13F3EA74"/>
    <w:rsid w:val="13F5E4E8"/>
    <w:rsid w:val="13FDF0CB"/>
    <w:rsid w:val="14008AB9"/>
    <w:rsid w:val="1408B563"/>
    <w:rsid w:val="140B5E8A"/>
    <w:rsid w:val="1419CF50"/>
    <w:rsid w:val="141AD5C5"/>
    <w:rsid w:val="141CF5B9"/>
    <w:rsid w:val="141FCA9B"/>
    <w:rsid w:val="14249488"/>
    <w:rsid w:val="1426F4D8"/>
    <w:rsid w:val="14309715"/>
    <w:rsid w:val="1435B62D"/>
    <w:rsid w:val="14381134"/>
    <w:rsid w:val="1438BB89"/>
    <w:rsid w:val="143B8E6B"/>
    <w:rsid w:val="143F6C54"/>
    <w:rsid w:val="1440E2BC"/>
    <w:rsid w:val="14432A73"/>
    <w:rsid w:val="14444A64"/>
    <w:rsid w:val="144483D3"/>
    <w:rsid w:val="1444BB6F"/>
    <w:rsid w:val="1445CC44"/>
    <w:rsid w:val="1448DDEE"/>
    <w:rsid w:val="144DAB77"/>
    <w:rsid w:val="144FAAD9"/>
    <w:rsid w:val="1450CF12"/>
    <w:rsid w:val="1454E3D0"/>
    <w:rsid w:val="1454E4E2"/>
    <w:rsid w:val="1459FCF8"/>
    <w:rsid w:val="145B26FC"/>
    <w:rsid w:val="146495C0"/>
    <w:rsid w:val="1465713C"/>
    <w:rsid w:val="14674EDE"/>
    <w:rsid w:val="146DB197"/>
    <w:rsid w:val="146E420D"/>
    <w:rsid w:val="14720D21"/>
    <w:rsid w:val="147DCF8C"/>
    <w:rsid w:val="14844B3E"/>
    <w:rsid w:val="14860730"/>
    <w:rsid w:val="1486951A"/>
    <w:rsid w:val="148795C1"/>
    <w:rsid w:val="148893B6"/>
    <w:rsid w:val="148C0D84"/>
    <w:rsid w:val="149060F2"/>
    <w:rsid w:val="14941517"/>
    <w:rsid w:val="149C10D6"/>
    <w:rsid w:val="149D1D69"/>
    <w:rsid w:val="149E9F11"/>
    <w:rsid w:val="149EA595"/>
    <w:rsid w:val="14A05F07"/>
    <w:rsid w:val="14A37F73"/>
    <w:rsid w:val="14A4C961"/>
    <w:rsid w:val="14A4FAE2"/>
    <w:rsid w:val="14A936A6"/>
    <w:rsid w:val="14AB14AE"/>
    <w:rsid w:val="14ACB0F3"/>
    <w:rsid w:val="14B82CB9"/>
    <w:rsid w:val="14B9290A"/>
    <w:rsid w:val="14BC3776"/>
    <w:rsid w:val="14BDA85E"/>
    <w:rsid w:val="14C27CEE"/>
    <w:rsid w:val="14C91F8C"/>
    <w:rsid w:val="14C922D4"/>
    <w:rsid w:val="14CB4956"/>
    <w:rsid w:val="14CC92A9"/>
    <w:rsid w:val="14CCAB0A"/>
    <w:rsid w:val="14CDD578"/>
    <w:rsid w:val="14D20277"/>
    <w:rsid w:val="14D2A9CD"/>
    <w:rsid w:val="14D4A08F"/>
    <w:rsid w:val="14D53015"/>
    <w:rsid w:val="14D9E7A4"/>
    <w:rsid w:val="14DAE805"/>
    <w:rsid w:val="14DC916B"/>
    <w:rsid w:val="14E5239E"/>
    <w:rsid w:val="14E94955"/>
    <w:rsid w:val="14EB13B2"/>
    <w:rsid w:val="14F182CE"/>
    <w:rsid w:val="14F25FC4"/>
    <w:rsid w:val="14F89C3C"/>
    <w:rsid w:val="15037B19"/>
    <w:rsid w:val="15075141"/>
    <w:rsid w:val="15110806"/>
    <w:rsid w:val="151AA73C"/>
    <w:rsid w:val="151F416F"/>
    <w:rsid w:val="152414A1"/>
    <w:rsid w:val="152BB936"/>
    <w:rsid w:val="1533F604"/>
    <w:rsid w:val="153A070A"/>
    <w:rsid w:val="153C9A8E"/>
    <w:rsid w:val="154667A4"/>
    <w:rsid w:val="1547445E"/>
    <w:rsid w:val="154B0E86"/>
    <w:rsid w:val="154CD568"/>
    <w:rsid w:val="15592BEF"/>
    <w:rsid w:val="155AF778"/>
    <w:rsid w:val="1560F383"/>
    <w:rsid w:val="1564CEFF"/>
    <w:rsid w:val="1569BA0F"/>
    <w:rsid w:val="156CAA9B"/>
    <w:rsid w:val="156E711D"/>
    <w:rsid w:val="1572867E"/>
    <w:rsid w:val="157519C1"/>
    <w:rsid w:val="157553D1"/>
    <w:rsid w:val="1578B78E"/>
    <w:rsid w:val="15797A4E"/>
    <w:rsid w:val="157DD3CD"/>
    <w:rsid w:val="15860FD0"/>
    <w:rsid w:val="15867DB7"/>
    <w:rsid w:val="1588C315"/>
    <w:rsid w:val="15905AFD"/>
    <w:rsid w:val="1590AE2E"/>
    <w:rsid w:val="15932E75"/>
    <w:rsid w:val="15944296"/>
    <w:rsid w:val="159DBB2C"/>
    <w:rsid w:val="159DC34A"/>
    <w:rsid w:val="159F69C3"/>
    <w:rsid w:val="15A2B9FE"/>
    <w:rsid w:val="15AA929B"/>
    <w:rsid w:val="15AEEF4B"/>
    <w:rsid w:val="15B062F7"/>
    <w:rsid w:val="15B5BAEC"/>
    <w:rsid w:val="15BA3F7E"/>
    <w:rsid w:val="15BE9B9A"/>
    <w:rsid w:val="15C1C63A"/>
    <w:rsid w:val="15C4F757"/>
    <w:rsid w:val="15C7B034"/>
    <w:rsid w:val="15CDD602"/>
    <w:rsid w:val="15D41F67"/>
    <w:rsid w:val="15DB1FD4"/>
    <w:rsid w:val="15E16DB9"/>
    <w:rsid w:val="15E56950"/>
    <w:rsid w:val="15EB1D08"/>
    <w:rsid w:val="15EE53E1"/>
    <w:rsid w:val="15F23718"/>
    <w:rsid w:val="15F4D899"/>
    <w:rsid w:val="15F89388"/>
    <w:rsid w:val="15F97400"/>
    <w:rsid w:val="15FFB721"/>
    <w:rsid w:val="16029825"/>
    <w:rsid w:val="16038A04"/>
    <w:rsid w:val="1604921F"/>
    <w:rsid w:val="16122D68"/>
    <w:rsid w:val="16159C21"/>
    <w:rsid w:val="1619A23F"/>
    <w:rsid w:val="161B574A"/>
    <w:rsid w:val="161CE401"/>
    <w:rsid w:val="161EFC68"/>
    <w:rsid w:val="16220E6D"/>
    <w:rsid w:val="1628A196"/>
    <w:rsid w:val="162AC617"/>
    <w:rsid w:val="1630788F"/>
    <w:rsid w:val="1632E93E"/>
    <w:rsid w:val="16385BB1"/>
    <w:rsid w:val="1639B295"/>
    <w:rsid w:val="16478C9D"/>
    <w:rsid w:val="1649A104"/>
    <w:rsid w:val="164BAEDD"/>
    <w:rsid w:val="164BFBB7"/>
    <w:rsid w:val="16500721"/>
    <w:rsid w:val="1652DF8D"/>
    <w:rsid w:val="16593A7A"/>
    <w:rsid w:val="1659C8B6"/>
    <w:rsid w:val="165E97C5"/>
    <w:rsid w:val="166BA5E2"/>
    <w:rsid w:val="166EFD2E"/>
    <w:rsid w:val="167677C0"/>
    <w:rsid w:val="167D5712"/>
    <w:rsid w:val="16830783"/>
    <w:rsid w:val="168DDB39"/>
    <w:rsid w:val="168EB002"/>
    <w:rsid w:val="1692D5A7"/>
    <w:rsid w:val="169651BC"/>
    <w:rsid w:val="169D2273"/>
    <w:rsid w:val="169FB371"/>
    <w:rsid w:val="16A70117"/>
    <w:rsid w:val="16A91992"/>
    <w:rsid w:val="16AFC756"/>
    <w:rsid w:val="16B29995"/>
    <w:rsid w:val="16B60060"/>
    <w:rsid w:val="16B62F2B"/>
    <w:rsid w:val="16BB95ED"/>
    <w:rsid w:val="16BC890E"/>
    <w:rsid w:val="16C0FCAF"/>
    <w:rsid w:val="16C1077C"/>
    <w:rsid w:val="16C50A83"/>
    <w:rsid w:val="16CB15F6"/>
    <w:rsid w:val="16CCBCC1"/>
    <w:rsid w:val="16D18BFF"/>
    <w:rsid w:val="16D26341"/>
    <w:rsid w:val="16D3ED9C"/>
    <w:rsid w:val="16D9602A"/>
    <w:rsid w:val="16DA372B"/>
    <w:rsid w:val="16DA9FDF"/>
    <w:rsid w:val="16E5777B"/>
    <w:rsid w:val="16E5FB05"/>
    <w:rsid w:val="16E7486E"/>
    <w:rsid w:val="16E81FB0"/>
    <w:rsid w:val="16E98EC7"/>
    <w:rsid w:val="16EA9C32"/>
    <w:rsid w:val="16FC94D7"/>
    <w:rsid w:val="17090AA1"/>
    <w:rsid w:val="170FB169"/>
    <w:rsid w:val="17143904"/>
    <w:rsid w:val="17156E6F"/>
    <w:rsid w:val="171745B7"/>
    <w:rsid w:val="1718DE39"/>
    <w:rsid w:val="171B42E8"/>
    <w:rsid w:val="171BD068"/>
    <w:rsid w:val="171C407B"/>
    <w:rsid w:val="171EC11C"/>
    <w:rsid w:val="17268F69"/>
    <w:rsid w:val="172781CA"/>
    <w:rsid w:val="1730DB76"/>
    <w:rsid w:val="173105DA"/>
    <w:rsid w:val="17348B21"/>
    <w:rsid w:val="173830F3"/>
    <w:rsid w:val="17391844"/>
    <w:rsid w:val="17418235"/>
    <w:rsid w:val="1745AF10"/>
    <w:rsid w:val="17539AB8"/>
    <w:rsid w:val="17596301"/>
    <w:rsid w:val="175D0A7C"/>
    <w:rsid w:val="1763764C"/>
    <w:rsid w:val="1768DC47"/>
    <w:rsid w:val="177464FD"/>
    <w:rsid w:val="17818324"/>
    <w:rsid w:val="1786563B"/>
    <w:rsid w:val="17886BD3"/>
    <w:rsid w:val="178BD2AE"/>
    <w:rsid w:val="178D399F"/>
    <w:rsid w:val="178E2B68"/>
    <w:rsid w:val="1791526F"/>
    <w:rsid w:val="179280F5"/>
    <w:rsid w:val="1792DA89"/>
    <w:rsid w:val="1795D56D"/>
    <w:rsid w:val="1797A774"/>
    <w:rsid w:val="1798512D"/>
    <w:rsid w:val="179866B2"/>
    <w:rsid w:val="179AA89F"/>
    <w:rsid w:val="17A21FD2"/>
    <w:rsid w:val="17A39DC8"/>
    <w:rsid w:val="17AFA844"/>
    <w:rsid w:val="17B2640C"/>
    <w:rsid w:val="17BE5850"/>
    <w:rsid w:val="17BF918C"/>
    <w:rsid w:val="17C48B65"/>
    <w:rsid w:val="17C5B13B"/>
    <w:rsid w:val="17C60B90"/>
    <w:rsid w:val="17C738DD"/>
    <w:rsid w:val="17CECF10"/>
    <w:rsid w:val="17D29A84"/>
    <w:rsid w:val="17D579B1"/>
    <w:rsid w:val="17D85ABE"/>
    <w:rsid w:val="17DB2EAF"/>
    <w:rsid w:val="17E53CB7"/>
    <w:rsid w:val="17E60B7F"/>
    <w:rsid w:val="17E7F30D"/>
    <w:rsid w:val="17E9308C"/>
    <w:rsid w:val="17E9B5ED"/>
    <w:rsid w:val="17EA27F8"/>
    <w:rsid w:val="17EFD447"/>
    <w:rsid w:val="17F147E9"/>
    <w:rsid w:val="17F31690"/>
    <w:rsid w:val="17F6E10C"/>
    <w:rsid w:val="17FA6EC0"/>
    <w:rsid w:val="17FB7A5B"/>
    <w:rsid w:val="17FCA73B"/>
    <w:rsid w:val="1800BE0E"/>
    <w:rsid w:val="18019765"/>
    <w:rsid w:val="1802122C"/>
    <w:rsid w:val="180A5029"/>
    <w:rsid w:val="180A62F0"/>
    <w:rsid w:val="180DF506"/>
    <w:rsid w:val="1816AD30"/>
    <w:rsid w:val="181E57F9"/>
    <w:rsid w:val="1822F3EB"/>
    <w:rsid w:val="1825379B"/>
    <w:rsid w:val="182C1656"/>
    <w:rsid w:val="182DC832"/>
    <w:rsid w:val="18316662"/>
    <w:rsid w:val="183CE32A"/>
    <w:rsid w:val="183DAD98"/>
    <w:rsid w:val="184089F1"/>
    <w:rsid w:val="1842268F"/>
    <w:rsid w:val="184449E9"/>
    <w:rsid w:val="184A5311"/>
    <w:rsid w:val="184CDD80"/>
    <w:rsid w:val="18518FB5"/>
    <w:rsid w:val="1851C905"/>
    <w:rsid w:val="1854175C"/>
    <w:rsid w:val="185536C4"/>
    <w:rsid w:val="1855B1AC"/>
    <w:rsid w:val="1856332D"/>
    <w:rsid w:val="185A30E8"/>
    <w:rsid w:val="185A863D"/>
    <w:rsid w:val="185E267D"/>
    <w:rsid w:val="185E433E"/>
    <w:rsid w:val="18602E09"/>
    <w:rsid w:val="18620EE4"/>
    <w:rsid w:val="186BF2C2"/>
    <w:rsid w:val="186FA394"/>
    <w:rsid w:val="1876B112"/>
    <w:rsid w:val="187E4290"/>
    <w:rsid w:val="1885A94E"/>
    <w:rsid w:val="1886A381"/>
    <w:rsid w:val="1886AD6D"/>
    <w:rsid w:val="18874DD8"/>
    <w:rsid w:val="18892DBE"/>
    <w:rsid w:val="188B96AF"/>
    <w:rsid w:val="188FC700"/>
    <w:rsid w:val="1898DBFA"/>
    <w:rsid w:val="189FF8D3"/>
    <w:rsid w:val="18A1711C"/>
    <w:rsid w:val="18A83D2E"/>
    <w:rsid w:val="18A99AB7"/>
    <w:rsid w:val="18A9A789"/>
    <w:rsid w:val="18B50EB5"/>
    <w:rsid w:val="18B847C5"/>
    <w:rsid w:val="18B8AD35"/>
    <w:rsid w:val="18BC891F"/>
    <w:rsid w:val="18BD5526"/>
    <w:rsid w:val="18BD735F"/>
    <w:rsid w:val="18C07D4F"/>
    <w:rsid w:val="18C142A2"/>
    <w:rsid w:val="18C21A30"/>
    <w:rsid w:val="18C4089E"/>
    <w:rsid w:val="18C57754"/>
    <w:rsid w:val="18C5A42E"/>
    <w:rsid w:val="18C67C2D"/>
    <w:rsid w:val="18C9FD55"/>
    <w:rsid w:val="18CC0038"/>
    <w:rsid w:val="18D89183"/>
    <w:rsid w:val="18DD3E27"/>
    <w:rsid w:val="18DF38CD"/>
    <w:rsid w:val="18E338F9"/>
    <w:rsid w:val="18EABF9C"/>
    <w:rsid w:val="18ED9B95"/>
    <w:rsid w:val="18EE2BD8"/>
    <w:rsid w:val="18EFF9D7"/>
    <w:rsid w:val="18F8DB3F"/>
    <w:rsid w:val="18FBE280"/>
    <w:rsid w:val="19044A52"/>
    <w:rsid w:val="190484CF"/>
    <w:rsid w:val="190677B7"/>
    <w:rsid w:val="19079E3A"/>
    <w:rsid w:val="1908B839"/>
    <w:rsid w:val="190D33C9"/>
    <w:rsid w:val="190E6432"/>
    <w:rsid w:val="19101332"/>
    <w:rsid w:val="19103B28"/>
    <w:rsid w:val="19157309"/>
    <w:rsid w:val="191D9179"/>
    <w:rsid w:val="19268650"/>
    <w:rsid w:val="19282F50"/>
    <w:rsid w:val="1928AC2A"/>
    <w:rsid w:val="19294A40"/>
    <w:rsid w:val="192A543E"/>
    <w:rsid w:val="19397B37"/>
    <w:rsid w:val="193C6965"/>
    <w:rsid w:val="193DC190"/>
    <w:rsid w:val="1945E2CB"/>
    <w:rsid w:val="1946A30F"/>
    <w:rsid w:val="1946D893"/>
    <w:rsid w:val="1949695A"/>
    <w:rsid w:val="1954E6E5"/>
    <w:rsid w:val="1957119C"/>
    <w:rsid w:val="1959546F"/>
    <w:rsid w:val="195A4C09"/>
    <w:rsid w:val="195D67D2"/>
    <w:rsid w:val="19611B06"/>
    <w:rsid w:val="1962BE52"/>
    <w:rsid w:val="1963FBF2"/>
    <w:rsid w:val="196652B5"/>
    <w:rsid w:val="196F925C"/>
    <w:rsid w:val="19751C9E"/>
    <w:rsid w:val="1987F20D"/>
    <w:rsid w:val="19884A5A"/>
    <w:rsid w:val="198E35EA"/>
    <w:rsid w:val="198E4A16"/>
    <w:rsid w:val="1999515C"/>
    <w:rsid w:val="199BD81A"/>
    <w:rsid w:val="199E21DA"/>
    <w:rsid w:val="19A1220F"/>
    <w:rsid w:val="19A53C47"/>
    <w:rsid w:val="19A6E415"/>
    <w:rsid w:val="19A81E75"/>
    <w:rsid w:val="19AA4732"/>
    <w:rsid w:val="19B16F3F"/>
    <w:rsid w:val="19BD4538"/>
    <w:rsid w:val="19BED0E8"/>
    <w:rsid w:val="19C3E6EC"/>
    <w:rsid w:val="19CAD4C9"/>
    <w:rsid w:val="19CAF330"/>
    <w:rsid w:val="19D2D2A8"/>
    <w:rsid w:val="19D9B4EA"/>
    <w:rsid w:val="19DCB9F3"/>
    <w:rsid w:val="19DD1FB2"/>
    <w:rsid w:val="19E05926"/>
    <w:rsid w:val="19E26A0C"/>
    <w:rsid w:val="19E45BFF"/>
    <w:rsid w:val="19E96B8F"/>
    <w:rsid w:val="19E96CC5"/>
    <w:rsid w:val="19F0549A"/>
    <w:rsid w:val="19F1A2CF"/>
    <w:rsid w:val="19F22499"/>
    <w:rsid w:val="19F26849"/>
    <w:rsid w:val="19F33E0E"/>
    <w:rsid w:val="19F35F94"/>
    <w:rsid w:val="19F79617"/>
    <w:rsid w:val="19FAB04C"/>
    <w:rsid w:val="1A0072C5"/>
    <w:rsid w:val="1A074F14"/>
    <w:rsid w:val="1A089DAC"/>
    <w:rsid w:val="1A0DEF11"/>
    <w:rsid w:val="1A0E1A24"/>
    <w:rsid w:val="1A0EC900"/>
    <w:rsid w:val="1A116473"/>
    <w:rsid w:val="1A11E014"/>
    <w:rsid w:val="1A13A0AB"/>
    <w:rsid w:val="1A156716"/>
    <w:rsid w:val="1A16E4A3"/>
    <w:rsid w:val="1A18500E"/>
    <w:rsid w:val="1A257883"/>
    <w:rsid w:val="1A277537"/>
    <w:rsid w:val="1A278404"/>
    <w:rsid w:val="1A2B4F60"/>
    <w:rsid w:val="1A374DA8"/>
    <w:rsid w:val="1A3CAA6E"/>
    <w:rsid w:val="1A4C0D2F"/>
    <w:rsid w:val="1A4DE970"/>
    <w:rsid w:val="1A5030BC"/>
    <w:rsid w:val="1A568A97"/>
    <w:rsid w:val="1A62746E"/>
    <w:rsid w:val="1A63968F"/>
    <w:rsid w:val="1A65D529"/>
    <w:rsid w:val="1A6C4E5D"/>
    <w:rsid w:val="1A6E6274"/>
    <w:rsid w:val="1A6F0A26"/>
    <w:rsid w:val="1A72278D"/>
    <w:rsid w:val="1A785B27"/>
    <w:rsid w:val="1A79A1A1"/>
    <w:rsid w:val="1A7C2217"/>
    <w:rsid w:val="1A7F095A"/>
    <w:rsid w:val="1A8A8909"/>
    <w:rsid w:val="1A9029E1"/>
    <w:rsid w:val="1A924893"/>
    <w:rsid w:val="1A935ED4"/>
    <w:rsid w:val="1A938003"/>
    <w:rsid w:val="1A9BE1E4"/>
    <w:rsid w:val="1A9D11C8"/>
    <w:rsid w:val="1AA0FB9C"/>
    <w:rsid w:val="1AA87FBA"/>
    <w:rsid w:val="1AA9EF3E"/>
    <w:rsid w:val="1AAB8E1F"/>
    <w:rsid w:val="1AAC390A"/>
    <w:rsid w:val="1AAC43E9"/>
    <w:rsid w:val="1ABA731B"/>
    <w:rsid w:val="1ABF56D7"/>
    <w:rsid w:val="1AC355A1"/>
    <w:rsid w:val="1AD1C170"/>
    <w:rsid w:val="1AD8D997"/>
    <w:rsid w:val="1AD8F814"/>
    <w:rsid w:val="1ADBC4CA"/>
    <w:rsid w:val="1ADC2C7E"/>
    <w:rsid w:val="1AE2AC5D"/>
    <w:rsid w:val="1AE892F9"/>
    <w:rsid w:val="1AF13F1F"/>
    <w:rsid w:val="1AF161E5"/>
    <w:rsid w:val="1AF47945"/>
    <w:rsid w:val="1AF5EEAD"/>
    <w:rsid w:val="1AF997C2"/>
    <w:rsid w:val="1AFA35B6"/>
    <w:rsid w:val="1AFCDE54"/>
    <w:rsid w:val="1AFF2AFC"/>
    <w:rsid w:val="1B125B30"/>
    <w:rsid w:val="1B180F4A"/>
    <w:rsid w:val="1B197E97"/>
    <w:rsid w:val="1B1CB049"/>
    <w:rsid w:val="1B1D893B"/>
    <w:rsid w:val="1B256616"/>
    <w:rsid w:val="1B2C07A8"/>
    <w:rsid w:val="1B2C0D85"/>
    <w:rsid w:val="1B33181E"/>
    <w:rsid w:val="1B3689CC"/>
    <w:rsid w:val="1B373501"/>
    <w:rsid w:val="1B473FA5"/>
    <w:rsid w:val="1B4BED6F"/>
    <w:rsid w:val="1B4C2BE3"/>
    <w:rsid w:val="1B4D1632"/>
    <w:rsid w:val="1B51A5C2"/>
    <w:rsid w:val="1B558431"/>
    <w:rsid w:val="1B57B212"/>
    <w:rsid w:val="1B5B839A"/>
    <w:rsid w:val="1B5D62B9"/>
    <w:rsid w:val="1B6508FC"/>
    <w:rsid w:val="1B6653B0"/>
    <w:rsid w:val="1B6DF75F"/>
    <w:rsid w:val="1B6FC0C8"/>
    <w:rsid w:val="1B725FD0"/>
    <w:rsid w:val="1B74C839"/>
    <w:rsid w:val="1B7A80C8"/>
    <w:rsid w:val="1B81A26D"/>
    <w:rsid w:val="1B83B85D"/>
    <w:rsid w:val="1B8992E0"/>
    <w:rsid w:val="1B8C5A56"/>
    <w:rsid w:val="1B91D60E"/>
    <w:rsid w:val="1B979826"/>
    <w:rsid w:val="1BA07A86"/>
    <w:rsid w:val="1BAD573D"/>
    <w:rsid w:val="1BAE9177"/>
    <w:rsid w:val="1BB21D0F"/>
    <w:rsid w:val="1BB575DF"/>
    <w:rsid w:val="1BB5E1E3"/>
    <w:rsid w:val="1BB6B83D"/>
    <w:rsid w:val="1BB76D95"/>
    <w:rsid w:val="1BB7D58F"/>
    <w:rsid w:val="1BB812CC"/>
    <w:rsid w:val="1BC861E6"/>
    <w:rsid w:val="1BCBFB40"/>
    <w:rsid w:val="1BCC8EE6"/>
    <w:rsid w:val="1BCF9119"/>
    <w:rsid w:val="1BD0FE8C"/>
    <w:rsid w:val="1BD1B988"/>
    <w:rsid w:val="1BDBE8B5"/>
    <w:rsid w:val="1BDDECC0"/>
    <w:rsid w:val="1BDE3F19"/>
    <w:rsid w:val="1BE3D4EE"/>
    <w:rsid w:val="1BE6BD19"/>
    <w:rsid w:val="1BE6CD8E"/>
    <w:rsid w:val="1BEA6A9C"/>
    <w:rsid w:val="1BEB6D44"/>
    <w:rsid w:val="1BED0475"/>
    <w:rsid w:val="1BF13884"/>
    <w:rsid w:val="1BF2D08A"/>
    <w:rsid w:val="1BF3AE3E"/>
    <w:rsid w:val="1BFD4D01"/>
    <w:rsid w:val="1C057A0F"/>
    <w:rsid w:val="1C09C3D3"/>
    <w:rsid w:val="1C0A8F96"/>
    <w:rsid w:val="1C0A9D25"/>
    <w:rsid w:val="1C0D37E2"/>
    <w:rsid w:val="1C104368"/>
    <w:rsid w:val="1C116D03"/>
    <w:rsid w:val="1C167C78"/>
    <w:rsid w:val="1C1C54EB"/>
    <w:rsid w:val="1C2137A3"/>
    <w:rsid w:val="1C214C62"/>
    <w:rsid w:val="1C26349B"/>
    <w:rsid w:val="1C29873A"/>
    <w:rsid w:val="1C2D679A"/>
    <w:rsid w:val="1C2DC80F"/>
    <w:rsid w:val="1C32EF8A"/>
    <w:rsid w:val="1C3378C1"/>
    <w:rsid w:val="1C338D01"/>
    <w:rsid w:val="1C36CAFF"/>
    <w:rsid w:val="1C3AD570"/>
    <w:rsid w:val="1C40655B"/>
    <w:rsid w:val="1C426522"/>
    <w:rsid w:val="1C448DDD"/>
    <w:rsid w:val="1C456ED4"/>
    <w:rsid w:val="1C459EAB"/>
    <w:rsid w:val="1C471CFF"/>
    <w:rsid w:val="1C49AC5C"/>
    <w:rsid w:val="1C4A76D8"/>
    <w:rsid w:val="1C5185D5"/>
    <w:rsid w:val="1C52A12C"/>
    <w:rsid w:val="1C59BFBA"/>
    <w:rsid w:val="1C5BDA77"/>
    <w:rsid w:val="1C5DA0B0"/>
    <w:rsid w:val="1C691F06"/>
    <w:rsid w:val="1C6C3B94"/>
    <w:rsid w:val="1C7367AC"/>
    <w:rsid w:val="1C778867"/>
    <w:rsid w:val="1C7C46FE"/>
    <w:rsid w:val="1C8709F6"/>
    <w:rsid w:val="1C8D89D5"/>
    <w:rsid w:val="1C8D9BDA"/>
    <w:rsid w:val="1C8EDB84"/>
    <w:rsid w:val="1C9315F4"/>
    <w:rsid w:val="1C938B2E"/>
    <w:rsid w:val="1C95CFE8"/>
    <w:rsid w:val="1C973F22"/>
    <w:rsid w:val="1C9823F2"/>
    <w:rsid w:val="1C99D1BB"/>
    <w:rsid w:val="1C9CA161"/>
    <w:rsid w:val="1CA6C437"/>
    <w:rsid w:val="1CAB781C"/>
    <w:rsid w:val="1CACA347"/>
    <w:rsid w:val="1CB273C0"/>
    <w:rsid w:val="1CB2C78A"/>
    <w:rsid w:val="1CB3AB03"/>
    <w:rsid w:val="1CB6DDD0"/>
    <w:rsid w:val="1CB9A9CA"/>
    <w:rsid w:val="1CBB3094"/>
    <w:rsid w:val="1CBB5B57"/>
    <w:rsid w:val="1CBDBE1A"/>
    <w:rsid w:val="1CBFE1AE"/>
    <w:rsid w:val="1CC13CC3"/>
    <w:rsid w:val="1CC6EB85"/>
    <w:rsid w:val="1CCA9F5E"/>
    <w:rsid w:val="1CCE80CF"/>
    <w:rsid w:val="1CD2E0DF"/>
    <w:rsid w:val="1CD5F4B7"/>
    <w:rsid w:val="1CDC1E39"/>
    <w:rsid w:val="1CE1E83F"/>
    <w:rsid w:val="1CE5C94E"/>
    <w:rsid w:val="1CE662DC"/>
    <w:rsid w:val="1CFBC2E5"/>
    <w:rsid w:val="1CFC5604"/>
    <w:rsid w:val="1D013050"/>
    <w:rsid w:val="1D05E7B0"/>
    <w:rsid w:val="1D085CB6"/>
    <w:rsid w:val="1D0C944D"/>
    <w:rsid w:val="1D0ED330"/>
    <w:rsid w:val="1D10905E"/>
    <w:rsid w:val="1D10E5B5"/>
    <w:rsid w:val="1D134AFE"/>
    <w:rsid w:val="1D1C345E"/>
    <w:rsid w:val="1D1CF5D7"/>
    <w:rsid w:val="1D1D1DA4"/>
    <w:rsid w:val="1D220BB2"/>
    <w:rsid w:val="1D221A8E"/>
    <w:rsid w:val="1D23F65C"/>
    <w:rsid w:val="1D2ADAC5"/>
    <w:rsid w:val="1D2E77B2"/>
    <w:rsid w:val="1D2F0A5D"/>
    <w:rsid w:val="1D31096E"/>
    <w:rsid w:val="1D369B2B"/>
    <w:rsid w:val="1D3825C0"/>
    <w:rsid w:val="1D39ECB8"/>
    <w:rsid w:val="1D3A214F"/>
    <w:rsid w:val="1D3A3C95"/>
    <w:rsid w:val="1D3ABAEF"/>
    <w:rsid w:val="1D3C1BB3"/>
    <w:rsid w:val="1D4023F4"/>
    <w:rsid w:val="1D409E0F"/>
    <w:rsid w:val="1D427F56"/>
    <w:rsid w:val="1D431C44"/>
    <w:rsid w:val="1D45B099"/>
    <w:rsid w:val="1D47D887"/>
    <w:rsid w:val="1D49FAC7"/>
    <w:rsid w:val="1D4E8EBE"/>
    <w:rsid w:val="1D5419CC"/>
    <w:rsid w:val="1D554F04"/>
    <w:rsid w:val="1D5591B7"/>
    <w:rsid w:val="1D5A0452"/>
    <w:rsid w:val="1D5CBE6C"/>
    <w:rsid w:val="1D5D17F3"/>
    <w:rsid w:val="1D5F2A57"/>
    <w:rsid w:val="1D6ACBC1"/>
    <w:rsid w:val="1D70D36B"/>
    <w:rsid w:val="1D718FBA"/>
    <w:rsid w:val="1D749F95"/>
    <w:rsid w:val="1D7EDEC5"/>
    <w:rsid w:val="1D81F602"/>
    <w:rsid w:val="1D8466DE"/>
    <w:rsid w:val="1D86AFCF"/>
    <w:rsid w:val="1D8850FD"/>
    <w:rsid w:val="1D8A53EA"/>
    <w:rsid w:val="1D8E4A1A"/>
    <w:rsid w:val="1D8F8C24"/>
    <w:rsid w:val="1D91988A"/>
    <w:rsid w:val="1D952964"/>
    <w:rsid w:val="1D9CB5FA"/>
    <w:rsid w:val="1D9DC3F0"/>
    <w:rsid w:val="1D9F3682"/>
    <w:rsid w:val="1DA9009C"/>
    <w:rsid w:val="1DAC4424"/>
    <w:rsid w:val="1DACB85D"/>
    <w:rsid w:val="1DAD41CB"/>
    <w:rsid w:val="1DADF000"/>
    <w:rsid w:val="1DB332FC"/>
    <w:rsid w:val="1DB60DD3"/>
    <w:rsid w:val="1DB8EFBC"/>
    <w:rsid w:val="1DB94D04"/>
    <w:rsid w:val="1DBC9FAF"/>
    <w:rsid w:val="1DBFCE8F"/>
    <w:rsid w:val="1DC2B842"/>
    <w:rsid w:val="1DC554AD"/>
    <w:rsid w:val="1DCFEEB6"/>
    <w:rsid w:val="1DEA44CF"/>
    <w:rsid w:val="1DF337D0"/>
    <w:rsid w:val="1DF3C4A9"/>
    <w:rsid w:val="1DF536CE"/>
    <w:rsid w:val="1DF8D26B"/>
    <w:rsid w:val="1E032ECB"/>
    <w:rsid w:val="1E03A0C8"/>
    <w:rsid w:val="1E06E428"/>
    <w:rsid w:val="1E06F10D"/>
    <w:rsid w:val="1E06FB31"/>
    <w:rsid w:val="1E0F5A1D"/>
    <w:rsid w:val="1E15A768"/>
    <w:rsid w:val="1E19703B"/>
    <w:rsid w:val="1E1B5DE7"/>
    <w:rsid w:val="1E23C2D1"/>
    <w:rsid w:val="1E23E18E"/>
    <w:rsid w:val="1E2BF804"/>
    <w:rsid w:val="1E2CF02C"/>
    <w:rsid w:val="1E2EA617"/>
    <w:rsid w:val="1E2EC618"/>
    <w:rsid w:val="1E31425F"/>
    <w:rsid w:val="1E31DF41"/>
    <w:rsid w:val="1E33F784"/>
    <w:rsid w:val="1E3546BF"/>
    <w:rsid w:val="1E360F16"/>
    <w:rsid w:val="1E36CF98"/>
    <w:rsid w:val="1E37A211"/>
    <w:rsid w:val="1E390195"/>
    <w:rsid w:val="1E392F42"/>
    <w:rsid w:val="1E4068EA"/>
    <w:rsid w:val="1E498E43"/>
    <w:rsid w:val="1E4A2701"/>
    <w:rsid w:val="1E4DC3FC"/>
    <w:rsid w:val="1E4DC7DD"/>
    <w:rsid w:val="1E4F720A"/>
    <w:rsid w:val="1E50A8B9"/>
    <w:rsid w:val="1E58B294"/>
    <w:rsid w:val="1E59AF00"/>
    <w:rsid w:val="1E5AFCC2"/>
    <w:rsid w:val="1E5E9E52"/>
    <w:rsid w:val="1E5FC8F4"/>
    <w:rsid w:val="1E611174"/>
    <w:rsid w:val="1E6E3CBC"/>
    <w:rsid w:val="1E6EF93A"/>
    <w:rsid w:val="1E6FF992"/>
    <w:rsid w:val="1E73F15B"/>
    <w:rsid w:val="1E7622E3"/>
    <w:rsid w:val="1E785428"/>
    <w:rsid w:val="1E79B813"/>
    <w:rsid w:val="1E7AA7D7"/>
    <w:rsid w:val="1E7B9FF2"/>
    <w:rsid w:val="1E7BD667"/>
    <w:rsid w:val="1E801D99"/>
    <w:rsid w:val="1E84D8BD"/>
    <w:rsid w:val="1E8BC2FC"/>
    <w:rsid w:val="1E92C337"/>
    <w:rsid w:val="1E96C066"/>
    <w:rsid w:val="1E979D2E"/>
    <w:rsid w:val="1E997B67"/>
    <w:rsid w:val="1E9D1023"/>
    <w:rsid w:val="1EA08193"/>
    <w:rsid w:val="1EA3E726"/>
    <w:rsid w:val="1EA48C5F"/>
    <w:rsid w:val="1EA4BDFA"/>
    <w:rsid w:val="1EA569FC"/>
    <w:rsid w:val="1EA81EC1"/>
    <w:rsid w:val="1EB18C80"/>
    <w:rsid w:val="1EB61E20"/>
    <w:rsid w:val="1EBEF5F7"/>
    <w:rsid w:val="1EC153D6"/>
    <w:rsid w:val="1ECB65F2"/>
    <w:rsid w:val="1ED036F7"/>
    <w:rsid w:val="1EDA551B"/>
    <w:rsid w:val="1EDEF53D"/>
    <w:rsid w:val="1EE984B8"/>
    <w:rsid w:val="1EE9B040"/>
    <w:rsid w:val="1EEA8E71"/>
    <w:rsid w:val="1EF28F8C"/>
    <w:rsid w:val="1EF2914D"/>
    <w:rsid w:val="1EF3A94A"/>
    <w:rsid w:val="1EF4F507"/>
    <w:rsid w:val="1EF6FED9"/>
    <w:rsid w:val="1EF81684"/>
    <w:rsid w:val="1EF8E6AE"/>
    <w:rsid w:val="1EFFD775"/>
    <w:rsid w:val="1F034BB1"/>
    <w:rsid w:val="1F042AF5"/>
    <w:rsid w:val="1F074C13"/>
    <w:rsid w:val="1F097B80"/>
    <w:rsid w:val="1F0C4879"/>
    <w:rsid w:val="1F13B621"/>
    <w:rsid w:val="1F152A97"/>
    <w:rsid w:val="1F1A64B2"/>
    <w:rsid w:val="1F1C0719"/>
    <w:rsid w:val="1F1D32AD"/>
    <w:rsid w:val="1F23A47F"/>
    <w:rsid w:val="1F243893"/>
    <w:rsid w:val="1F29BE66"/>
    <w:rsid w:val="1F2BF268"/>
    <w:rsid w:val="1F2C0AD9"/>
    <w:rsid w:val="1F2CA3D8"/>
    <w:rsid w:val="1F32877C"/>
    <w:rsid w:val="1F384FC1"/>
    <w:rsid w:val="1F38B354"/>
    <w:rsid w:val="1F3C3DEE"/>
    <w:rsid w:val="1F3F0FA4"/>
    <w:rsid w:val="1F45A778"/>
    <w:rsid w:val="1F4C04C3"/>
    <w:rsid w:val="1F4E3C23"/>
    <w:rsid w:val="1F4E8C8E"/>
    <w:rsid w:val="1F4EA516"/>
    <w:rsid w:val="1F52EAED"/>
    <w:rsid w:val="1F5D621C"/>
    <w:rsid w:val="1F6193B5"/>
    <w:rsid w:val="1F6312E8"/>
    <w:rsid w:val="1F6557A0"/>
    <w:rsid w:val="1F6E1504"/>
    <w:rsid w:val="1F73FBFE"/>
    <w:rsid w:val="1F79B542"/>
    <w:rsid w:val="1F814156"/>
    <w:rsid w:val="1F843CD6"/>
    <w:rsid w:val="1F8751CC"/>
    <w:rsid w:val="1F8A49A4"/>
    <w:rsid w:val="1F8A8228"/>
    <w:rsid w:val="1F93F8E2"/>
    <w:rsid w:val="1F9C95CE"/>
    <w:rsid w:val="1F9DC3CB"/>
    <w:rsid w:val="1F9E5888"/>
    <w:rsid w:val="1F9EA2B4"/>
    <w:rsid w:val="1FA3AD34"/>
    <w:rsid w:val="1FA48FB1"/>
    <w:rsid w:val="1FA72F40"/>
    <w:rsid w:val="1FA8BD92"/>
    <w:rsid w:val="1FAC3703"/>
    <w:rsid w:val="1FB267B6"/>
    <w:rsid w:val="1FB61D80"/>
    <w:rsid w:val="1FB6A216"/>
    <w:rsid w:val="1FBB5F41"/>
    <w:rsid w:val="1FBB9351"/>
    <w:rsid w:val="1FBC6BDC"/>
    <w:rsid w:val="1FBCFACF"/>
    <w:rsid w:val="1FBFBF2A"/>
    <w:rsid w:val="1FC0E99E"/>
    <w:rsid w:val="1FC464AA"/>
    <w:rsid w:val="1FC55106"/>
    <w:rsid w:val="1FC77376"/>
    <w:rsid w:val="1FCC770A"/>
    <w:rsid w:val="1FCD55D9"/>
    <w:rsid w:val="1FD2008D"/>
    <w:rsid w:val="1FD6EE4E"/>
    <w:rsid w:val="1FD914BE"/>
    <w:rsid w:val="1FE1D6E2"/>
    <w:rsid w:val="1FEA4DC8"/>
    <w:rsid w:val="1FEE2EC0"/>
    <w:rsid w:val="1FF3C533"/>
    <w:rsid w:val="1FF4A517"/>
    <w:rsid w:val="1FFCA799"/>
    <w:rsid w:val="2004BFF6"/>
    <w:rsid w:val="200B3DF0"/>
    <w:rsid w:val="2017F5D0"/>
    <w:rsid w:val="201848C7"/>
    <w:rsid w:val="201874A7"/>
    <w:rsid w:val="201D56A3"/>
    <w:rsid w:val="201F3AEA"/>
    <w:rsid w:val="202321BB"/>
    <w:rsid w:val="20307F93"/>
    <w:rsid w:val="203227DA"/>
    <w:rsid w:val="20370BC9"/>
    <w:rsid w:val="20399D9C"/>
    <w:rsid w:val="203C1F3A"/>
    <w:rsid w:val="203D4C5C"/>
    <w:rsid w:val="2050F32B"/>
    <w:rsid w:val="2050F932"/>
    <w:rsid w:val="20639898"/>
    <w:rsid w:val="20668C19"/>
    <w:rsid w:val="20675590"/>
    <w:rsid w:val="206D1286"/>
    <w:rsid w:val="206DB0D7"/>
    <w:rsid w:val="206E477E"/>
    <w:rsid w:val="206EE4F8"/>
    <w:rsid w:val="20732CF4"/>
    <w:rsid w:val="2078F545"/>
    <w:rsid w:val="207BFBD9"/>
    <w:rsid w:val="207D3A4C"/>
    <w:rsid w:val="20831606"/>
    <w:rsid w:val="20845A68"/>
    <w:rsid w:val="208A6032"/>
    <w:rsid w:val="208A7491"/>
    <w:rsid w:val="208B1DDA"/>
    <w:rsid w:val="209245FF"/>
    <w:rsid w:val="2094B499"/>
    <w:rsid w:val="2094B7E9"/>
    <w:rsid w:val="2096B615"/>
    <w:rsid w:val="2097C1B7"/>
    <w:rsid w:val="209986C8"/>
    <w:rsid w:val="209BF990"/>
    <w:rsid w:val="209D7471"/>
    <w:rsid w:val="20B0F543"/>
    <w:rsid w:val="20B0FBD8"/>
    <w:rsid w:val="20B3A7B7"/>
    <w:rsid w:val="20B77BE6"/>
    <w:rsid w:val="20BCDB9B"/>
    <w:rsid w:val="20BE0FF5"/>
    <w:rsid w:val="20BE2881"/>
    <w:rsid w:val="20BFB7AB"/>
    <w:rsid w:val="20C542FD"/>
    <w:rsid w:val="20C69621"/>
    <w:rsid w:val="20C846BD"/>
    <w:rsid w:val="20C9B66D"/>
    <w:rsid w:val="20CA6B03"/>
    <w:rsid w:val="20CBADEE"/>
    <w:rsid w:val="20CCD47A"/>
    <w:rsid w:val="20CF9B1D"/>
    <w:rsid w:val="20E999E9"/>
    <w:rsid w:val="20F48520"/>
    <w:rsid w:val="20F634AD"/>
    <w:rsid w:val="21082F37"/>
    <w:rsid w:val="210E6D06"/>
    <w:rsid w:val="210FCAA7"/>
    <w:rsid w:val="21111133"/>
    <w:rsid w:val="21155A58"/>
    <w:rsid w:val="21164D33"/>
    <w:rsid w:val="2116867B"/>
    <w:rsid w:val="212578E7"/>
    <w:rsid w:val="21288F4E"/>
    <w:rsid w:val="2128F92A"/>
    <w:rsid w:val="212C480A"/>
    <w:rsid w:val="212CA450"/>
    <w:rsid w:val="212D767C"/>
    <w:rsid w:val="212FABD1"/>
    <w:rsid w:val="2130E2B6"/>
    <w:rsid w:val="213724AE"/>
    <w:rsid w:val="213BDC05"/>
    <w:rsid w:val="213DD357"/>
    <w:rsid w:val="21434D07"/>
    <w:rsid w:val="214C77F5"/>
    <w:rsid w:val="214D138C"/>
    <w:rsid w:val="21516A52"/>
    <w:rsid w:val="2155CB8B"/>
    <w:rsid w:val="2156237A"/>
    <w:rsid w:val="215D5DF3"/>
    <w:rsid w:val="2169B09D"/>
    <w:rsid w:val="216CC5E6"/>
    <w:rsid w:val="216E327B"/>
    <w:rsid w:val="2171104A"/>
    <w:rsid w:val="21759F30"/>
    <w:rsid w:val="217834F2"/>
    <w:rsid w:val="2178453A"/>
    <w:rsid w:val="21788042"/>
    <w:rsid w:val="2179A841"/>
    <w:rsid w:val="217C075F"/>
    <w:rsid w:val="218CC48A"/>
    <w:rsid w:val="2192A769"/>
    <w:rsid w:val="2195BAFA"/>
    <w:rsid w:val="2198A309"/>
    <w:rsid w:val="219FE49D"/>
    <w:rsid w:val="21A3F643"/>
    <w:rsid w:val="21A56814"/>
    <w:rsid w:val="21A6E5A2"/>
    <w:rsid w:val="21A788DB"/>
    <w:rsid w:val="21A7B063"/>
    <w:rsid w:val="21AC7DFF"/>
    <w:rsid w:val="21B23734"/>
    <w:rsid w:val="21B3B844"/>
    <w:rsid w:val="21B3F730"/>
    <w:rsid w:val="21B48356"/>
    <w:rsid w:val="21B58E92"/>
    <w:rsid w:val="21B7CB2D"/>
    <w:rsid w:val="21BA5914"/>
    <w:rsid w:val="21BC6CE9"/>
    <w:rsid w:val="21BECF60"/>
    <w:rsid w:val="21BF3F62"/>
    <w:rsid w:val="21C1BBDD"/>
    <w:rsid w:val="21C2533F"/>
    <w:rsid w:val="21C2E88D"/>
    <w:rsid w:val="21CCEC7C"/>
    <w:rsid w:val="21D8689A"/>
    <w:rsid w:val="21E4018F"/>
    <w:rsid w:val="21E41E7D"/>
    <w:rsid w:val="21F1AB29"/>
    <w:rsid w:val="21F86BE1"/>
    <w:rsid w:val="21FCDC18"/>
    <w:rsid w:val="22070E4B"/>
    <w:rsid w:val="220C052F"/>
    <w:rsid w:val="220FA011"/>
    <w:rsid w:val="2213AF91"/>
    <w:rsid w:val="22182CAE"/>
    <w:rsid w:val="221BA516"/>
    <w:rsid w:val="221CB0C7"/>
    <w:rsid w:val="221CD007"/>
    <w:rsid w:val="221ECE73"/>
    <w:rsid w:val="2225E00C"/>
    <w:rsid w:val="22285260"/>
    <w:rsid w:val="222CE004"/>
    <w:rsid w:val="222D71B7"/>
    <w:rsid w:val="223989FA"/>
    <w:rsid w:val="224616D5"/>
    <w:rsid w:val="2246C27F"/>
    <w:rsid w:val="224DD965"/>
    <w:rsid w:val="225511E8"/>
    <w:rsid w:val="225B6A1E"/>
    <w:rsid w:val="225BC97F"/>
    <w:rsid w:val="225C7181"/>
    <w:rsid w:val="225E7A99"/>
    <w:rsid w:val="227320CC"/>
    <w:rsid w:val="2274A2ED"/>
    <w:rsid w:val="227BF5DF"/>
    <w:rsid w:val="227D4591"/>
    <w:rsid w:val="228459A0"/>
    <w:rsid w:val="2286788B"/>
    <w:rsid w:val="2289E653"/>
    <w:rsid w:val="228C59D7"/>
    <w:rsid w:val="22939F6E"/>
    <w:rsid w:val="2293EFB1"/>
    <w:rsid w:val="22947478"/>
    <w:rsid w:val="22972556"/>
    <w:rsid w:val="229F9A66"/>
    <w:rsid w:val="22A1A853"/>
    <w:rsid w:val="22A27F5C"/>
    <w:rsid w:val="22A29DF0"/>
    <w:rsid w:val="22A95970"/>
    <w:rsid w:val="22B94254"/>
    <w:rsid w:val="22BADEC1"/>
    <w:rsid w:val="22BB92EC"/>
    <w:rsid w:val="22BF8B4F"/>
    <w:rsid w:val="22C8BC26"/>
    <w:rsid w:val="22C8CA2F"/>
    <w:rsid w:val="22CE527D"/>
    <w:rsid w:val="22CEE676"/>
    <w:rsid w:val="22D105CD"/>
    <w:rsid w:val="22D1D141"/>
    <w:rsid w:val="22D1EE95"/>
    <w:rsid w:val="22D79FBE"/>
    <w:rsid w:val="22DBFF39"/>
    <w:rsid w:val="22E1F304"/>
    <w:rsid w:val="22E52834"/>
    <w:rsid w:val="22EFB2E4"/>
    <w:rsid w:val="22F0919A"/>
    <w:rsid w:val="22F4BEDC"/>
    <w:rsid w:val="22F96BE7"/>
    <w:rsid w:val="22F99915"/>
    <w:rsid w:val="22FBFBA0"/>
    <w:rsid w:val="22FF7030"/>
    <w:rsid w:val="23008240"/>
    <w:rsid w:val="23009EA2"/>
    <w:rsid w:val="230B0F63"/>
    <w:rsid w:val="230CA8ED"/>
    <w:rsid w:val="2313514E"/>
    <w:rsid w:val="23156FA8"/>
    <w:rsid w:val="231BFA85"/>
    <w:rsid w:val="231E1DFD"/>
    <w:rsid w:val="231FA995"/>
    <w:rsid w:val="23216EC7"/>
    <w:rsid w:val="23232FD0"/>
    <w:rsid w:val="2329834C"/>
    <w:rsid w:val="232C2BB9"/>
    <w:rsid w:val="232E0925"/>
    <w:rsid w:val="232E2320"/>
    <w:rsid w:val="2330F621"/>
    <w:rsid w:val="2332A6EF"/>
    <w:rsid w:val="2338565E"/>
    <w:rsid w:val="233B5914"/>
    <w:rsid w:val="233DCA91"/>
    <w:rsid w:val="233ECB84"/>
    <w:rsid w:val="2341C8DB"/>
    <w:rsid w:val="2342BA25"/>
    <w:rsid w:val="2342ED06"/>
    <w:rsid w:val="23453CB3"/>
    <w:rsid w:val="2348645F"/>
    <w:rsid w:val="234A3DB2"/>
    <w:rsid w:val="234C5BAB"/>
    <w:rsid w:val="234EC8B9"/>
    <w:rsid w:val="234F4CBA"/>
    <w:rsid w:val="2354D211"/>
    <w:rsid w:val="2354FAC8"/>
    <w:rsid w:val="23566113"/>
    <w:rsid w:val="2358EB63"/>
    <w:rsid w:val="2367EBE3"/>
    <w:rsid w:val="236A7390"/>
    <w:rsid w:val="236F8AFB"/>
    <w:rsid w:val="2374B459"/>
    <w:rsid w:val="2379B957"/>
    <w:rsid w:val="237ED797"/>
    <w:rsid w:val="2386F7DF"/>
    <w:rsid w:val="23883093"/>
    <w:rsid w:val="238D71A5"/>
    <w:rsid w:val="238DAC84"/>
    <w:rsid w:val="2393945A"/>
    <w:rsid w:val="2393D577"/>
    <w:rsid w:val="23977DE1"/>
    <w:rsid w:val="23A029FE"/>
    <w:rsid w:val="23A1410E"/>
    <w:rsid w:val="23A47F6D"/>
    <w:rsid w:val="23A582FC"/>
    <w:rsid w:val="23A60A04"/>
    <w:rsid w:val="23AC4B48"/>
    <w:rsid w:val="23B0A727"/>
    <w:rsid w:val="23B0EF89"/>
    <w:rsid w:val="23B16ECC"/>
    <w:rsid w:val="23B4F205"/>
    <w:rsid w:val="23B7A883"/>
    <w:rsid w:val="23BB0A99"/>
    <w:rsid w:val="23BE0D46"/>
    <w:rsid w:val="23BF417A"/>
    <w:rsid w:val="23C2160F"/>
    <w:rsid w:val="23CB2E26"/>
    <w:rsid w:val="23CCA794"/>
    <w:rsid w:val="23D20BF1"/>
    <w:rsid w:val="23D2CBE9"/>
    <w:rsid w:val="23D4000A"/>
    <w:rsid w:val="23D7E474"/>
    <w:rsid w:val="23E0788A"/>
    <w:rsid w:val="23E58848"/>
    <w:rsid w:val="23E7746D"/>
    <w:rsid w:val="23E95CF3"/>
    <w:rsid w:val="23F12A71"/>
    <w:rsid w:val="23F3DFAF"/>
    <w:rsid w:val="23F49E72"/>
    <w:rsid w:val="23F72475"/>
    <w:rsid w:val="23FBB224"/>
    <w:rsid w:val="240319B2"/>
    <w:rsid w:val="24068184"/>
    <w:rsid w:val="240A528D"/>
    <w:rsid w:val="240A8ECD"/>
    <w:rsid w:val="240CEBD3"/>
    <w:rsid w:val="240FD9E3"/>
    <w:rsid w:val="241386CE"/>
    <w:rsid w:val="241609AF"/>
    <w:rsid w:val="241FA8EC"/>
    <w:rsid w:val="242DB3F2"/>
    <w:rsid w:val="2435E1C4"/>
    <w:rsid w:val="24374063"/>
    <w:rsid w:val="243AE578"/>
    <w:rsid w:val="243C995E"/>
    <w:rsid w:val="243E5686"/>
    <w:rsid w:val="24402B67"/>
    <w:rsid w:val="24469927"/>
    <w:rsid w:val="2449A42E"/>
    <w:rsid w:val="244A14A3"/>
    <w:rsid w:val="24500ADE"/>
    <w:rsid w:val="24542A25"/>
    <w:rsid w:val="245496B4"/>
    <w:rsid w:val="2454F9E9"/>
    <w:rsid w:val="2457B68D"/>
    <w:rsid w:val="2457C331"/>
    <w:rsid w:val="24587E64"/>
    <w:rsid w:val="245B9E6F"/>
    <w:rsid w:val="245E3A44"/>
    <w:rsid w:val="2463F3BC"/>
    <w:rsid w:val="2466F3A0"/>
    <w:rsid w:val="246C1151"/>
    <w:rsid w:val="24725D83"/>
    <w:rsid w:val="2478261F"/>
    <w:rsid w:val="247C61C5"/>
    <w:rsid w:val="24811BFC"/>
    <w:rsid w:val="2481CCAA"/>
    <w:rsid w:val="248B13C1"/>
    <w:rsid w:val="248F04C9"/>
    <w:rsid w:val="2492E168"/>
    <w:rsid w:val="24A5E4A0"/>
    <w:rsid w:val="24A83FF1"/>
    <w:rsid w:val="24A9E1F0"/>
    <w:rsid w:val="24B1BDEF"/>
    <w:rsid w:val="24B48715"/>
    <w:rsid w:val="24B5564C"/>
    <w:rsid w:val="24B856DF"/>
    <w:rsid w:val="24BF394C"/>
    <w:rsid w:val="24C2A5D1"/>
    <w:rsid w:val="24CB0A19"/>
    <w:rsid w:val="24E0FE07"/>
    <w:rsid w:val="24E3D934"/>
    <w:rsid w:val="24E65C2D"/>
    <w:rsid w:val="24E88C17"/>
    <w:rsid w:val="24F365B5"/>
    <w:rsid w:val="24F59E1B"/>
    <w:rsid w:val="24F67EBF"/>
    <w:rsid w:val="24FCC782"/>
    <w:rsid w:val="24FEC903"/>
    <w:rsid w:val="25016FD8"/>
    <w:rsid w:val="25018CED"/>
    <w:rsid w:val="2501B813"/>
    <w:rsid w:val="2501ED41"/>
    <w:rsid w:val="2503E2BB"/>
    <w:rsid w:val="2503FB5D"/>
    <w:rsid w:val="250BFF15"/>
    <w:rsid w:val="250D4F53"/>
    <w:rsid w:val="2519E5A0"/>
    <w:rsid w:val="251F994F"/>
    <w:rsid w:val="25257D30"/>
    <w:rsid w:val="252A1648"/>
    <w:rsid w:val="252BB4F1"/>
    <w:rsid w:val="252CEBBA"/>
    <w:rsid w:val="25315731"/>
    <w:rsid w:val="25317613"/>
    <w:rsid w:val="2537B968"/>
    <w:rsid w:val="253FD7F3"/>
    <w:rsid w:val="253FE7E6"/>
    <w:rsid w:val="25403E97"/>
    <w:rsid w:val="25457EF4"/>
    <w:rsid w:val="25555ED4"/>
    <w:rsid w:val="255732C8"/>
    <w:rsid w:val="255C96F5"/>
    <w:rsid w:val="2562128D"/>
    <w:rsid w:val="25672268"/>
    <w:rsid w:val="25676249"/>
    <w:rsid w:val="256A13CD"/>
    <w:rsid w:val="256DDC6B"/>
    <w:rsid w:val="2571C3D9"/>
    <w:rsid w:val="2577F300"/>
    <w:rsid w:val="25809B82"/>
    <w:rsid w:val="25820B0C"/>
    <w:rsid w:val="2589B128"/>
    <w:rsid w:val="258A91D5"/>
    <w:rsid w:val="258BADAC"/>
    <w:rsid w:val="2592D6F8"/>
    <w:rsid w:val="2594746E"/>
    <w:rsid w:val="2596B91B"/>
    <w:rsid w:val="259815AE"/>
    <w:rsid w:val="25993D8E"/>
    <w:rsid w:val="259D71C2"/>
    <w:rsid w:val="259F296A"/>
    <w:rsid w:val="25A05448"/>
    <w:rsid w:val="25A10682"/>
    <w:rsid w:val="25A599C4"/>
    <w:rsid w:val="25A6962C"/>
    <w:rsid w:val="25B41C02"/>
    <w:rsid w:val="25B6C5F2"/>
    <w:rsid w:val="25BCB771"/>
    <w:rsid w:val="25BCF442"/>
    <w:rsid w:val="25C145B9"/>
    <w:rsid w:val="25C4C137"/>
    <w:rsid w:val="25CF49D5"/>
    <w:rsid w:val="25D591D2"/>
    <w:rsid w:val="25DFFD73"/>
    <w:rsid w:val="25E1639B"/>
    <w:rsid w:val="25E19705"/>
    <w:rsid w:val="25EAF774"/>
    <w:rsid w:val="25F2A453"/>
    <w:rsid w:val="25F8CE51"/>
    <w:rsid w:val="25F93503"/>
    <w:rsid w:val="2601AAAE"/>
    <w:rsid w:val="2608F83D"/>
    <w:rsid w:val="260C0EFE"/>
    <w:rsid w:val="260E4E08"/>
    <w:rsid w:val="261F870D"/>
    <w:rsid w:val="2627D0BF"/>
    <w:rsid w:val="2629C822"/>
    <w:rsid w:val="262B5842"/>
    <w:rsid w:val="262CE27F"/>
    <w:rsid w:val="2633270E"/>
    <w:rsid w:val="2644D270"/>
    <w:rsid w:val="2649B6B7"/>
    <w:rsid w:val="264B9768"/>
    <w:rsid w:val="264D8342"/>
    <w:rsid w:val="265CF4AD"/>
    <w:rsid w:val="2660E416"/>
    <w:rsid w:val="2667A0E0"/>
    <w:rsid w:val="2668D9D6"/>
    <w:rsid w:val="26691A0D"/>
    <w:rsid w:val="266CCF2E"/>
    <w:rsid w:val="2671C453"/>
    <w:rsid w:val="2671D67A"/>
    <w:rsid w:val="26776E5E"/>
    <w:rsid w:val="26795A43"/>
    <w:rsid w:val="26796FAD"/>
    <w:rsid w:val="267A6653"/>
    <w:rsid w:val="267B3CF3"/>
    <w:rsid w:val="2682AABA"/>
    <w:rsid w:val="2683B95B"/>
    <w:rsid w:val="26861E8C"/>
    <w:rsid w:val="268A8B74"/>
    <w:rsid w:val="268EDA92"/>
    <w:rsid w:val="26911495"/>
    <w:rsid w:val="2694D383"/>
    <w:rsid w:val="269DCC4B"/>
    <w:rsid w:val="26A25B82"/>
    <w:rsid w:val="26A26F81"/>
    <w:rsid w:val="26A407DD"/>
    <w:rsid w:val="26A874DC"/>
    <w:rsid w:val="26A8B252"/>
    <w:rsid w:val="26AAD6F0"/>
    <w:rsid w:val="26ABE49B"/>
    <w:rsid w:val="26AD3AF4"/>
    <w:rsid w:val="26AD92B0"/>
    <w:rsid w:val="26AEFBFF"/>
    <w:rsid w:val="26B80A34"/>
    <w:rsid w:val="26B872C0"/>
    <w:rsid w:val="26C61A70"/>
    <w:rsid w:val="26C94B3E"/>
    <w:rsid w:val="26C9BFDE"/>
    <w:rsid w:val="26CC7F64"/>
    <w:rsid w:val="26CF2398"/>
    <w:rsid w:val="26D03F3E"/>
    <w:rsid w:val="26D142C1"/>
    <w:rsid w:val="26D1F763"/>
    <w:rsid w:val="26D2632D"/>
    <w:rsid w:val="26D2A87E"/>
    <w:rsid w:val="26D3E15D"/>
    <w:rsid w:val="26D5D239"/>
    <w:rsid w:val="26DB993B"/>
    <w:rsid w:val="26E65E02"/>
    <w:rsid w:val="26E78515"/>
    <w:rsid w:val="26E83DBF"/>
    <w:rsid w:val="26F52EBB"/>
    <w:rsid w:val="26F9A434"/>
    <w:rsid w:val="26FE5977"/>
    <w:rsid w:val="26FFEC0F"/>
    <w:rsid w:val="27031136"/>
    <w:rsid w:val="27046592"/>
    <w:rsid w:val="27060BDE"/>
    <w:rsid w:val="27082A83"/>
    <w:rsid w:val="2708854C"/>
    <w:rsid w:val="270ABD20"/>
    <w:rsid w:val="270D2CE9"/>
    <w:rsid w:val="270E3C90"/>
    <w:rsid w:val="271C34F8"/>
    <w:rsid w:val="271DB9D6"/>
    <w:rsid w:val="2720751A"/>
    <w:rsid w:val="2721A671"/>
    <w:rsid w:val="27283DB9"/>
    <w:rsid w:val="27296B1D"/>
    <w:rsid w:val="2729AC5A"/>
    <w:rsid w:val="272CB622"/>
    <w:rsid w:val="27348539"/>
    <w:rsid w:val="2735EF0C"/>
    <w:rsid w:val="27429FB9"/>
    <w:rsid w:val="274DA3BF"/>
    <w:rsid w:val="274F13F8"/>
    <w:rsid w:val="27543487"/>
    <w:rsid w:val="275C20A9"/>
    <w:rsid w:val="2762278C"/>
    <w:rsid w:val="2762A658"/>
    <w:rsid w:val="27657BE4"/>
    <w:rsid w:val="2767EAF3"/>
    <w:rsid w:val="27682061"/>
    <w:rsid w:val="276D4671"/>
    <w:rsid w:val="276D8AF7"/>
    <w:rsid w:val="2773017E"/>
    <w:rsid w:val="2776B54E"/>
    <w:rsid w:val="2776D4E6"/>
    <w:rsid w:val="27788478"/>
    <w:rsid w:val="2778B065"/>
    <w:rsid w:val="277F236E"/>
    <w:rsid w:val="278137C3"/>
    <w:rsid w:val="27824A70"/>
    <w:rsid w:val="278281FE"/>
    <w:rsid w:val="2782A50F"/>
    <w:rsid w:val="27851F80"/>
    <w:rsid w:val="27859A99"/>
    <w:rsid w:val="27897B4E"/>
    <w:rsid w:val="2790D2D3"/>
    <w:rsid w:val="2791038C"/>
    <w:rsid w:val="2791552D"/>
    <w:rsid w:val="2793D595"/>
    <w:rsid w:val="2794010E"/>
    <w:rsid w:val="2794BA90"/>
    <w:rsid w:val="27967BA5"/>
    <w:rsid w:val="27998862"/>
    <w:rsid w:val="279B7699"/>
    <w:rsid w:val="279C045B"/>
    <w:rsid w:val="279F7D8B"/>
    <w:rsid w:val="27A1D2C5"/>
    <w:rsid w:val="27A26AB8"/>
    <w:rsid w:val="27A991C5"/>
    <w:rsid w:val="27AF2687"/>
    <w:rsid w:val="27AF2FC8"/>
    <w:rsid w:val="27B9BA76"/>
    <w:rsid w:val="27BB296B"/>
    <w:rsid w:val="27BFB8FF"/>
    <w:rsid w:val="27C06878"/>
    <w:rsid w:val="27C22777"/>
    <w:rsid w:val="27C2BA8B"/>
    <w:rsid w:val="27C51345"/>
    <w:rsid w:val="27C6EF37"/>
    <w:rsid w:val="27CC5812"/>
    <w:rsid w:val="27CC7B63"/>
    <w:rsid w:val="27CC88D1"/>
    <w:rsid w:val="27D01C6A"/>
    <w:rsid w:val="27D6E58E"/>
    <w:rsid w:val="27D87C68"/>
    <w:rsid w:val="27D8DEC7"/>
    <w:rsid w:val="27DAEA6D"/>
    <w:rsid w:val="27DCD380"/>
    <w:rsid w:val="27DDC915"/>
    <w:rsid w:val="27E36B14"/>
    <w:rsid w:val="27E3DDC0"/>
    <w:rsid w:val="27E46E0F"/>
    <w:rsid w:val="27EFFCFD"/>
    <w:rsid w:val="27F97558"/>
    <w:rsid w:val="27FC2B60"/>
    <w:rsid w:val="27FD9E98"/>
    <w:rsid w:val="28074D4B"/>
    <w:rsid w:val="280D89D7"/>
    <w:rsid w:val="280F438E"/>
    <w:rsid w:val="28123716"/>
    <w:rsid w:val="28135CE5"/>
    <w:rsid w:val="28164406"/>
    <w:rsid w:val="281AC866"/>
    <w:rsid w:val="281C5D76"/>
    <w:rsid w:val="2822F892"/>
    <w:rsid w:val="28258BFC"/>
    <w:rsid w:val="28267B85"/>
    <w:rsid w:val="282A9431"/>
    <w:rsid w:val="282CEF6B"/>
    <w:rsid w:val="28362638"/>
    <w:rsid w:val="2836E01E"/>
    <w:rsid w:val="283CCFAC"/>
    <w:rsid w:val="283E14B1"/>
    <w:rsid w:val="2840C47F"/>
    <w:rsid w:val="28425AF5"/>
    <w:rsid w:val="2842D3CD"/>
    <w:rsid w:val="2842D901"/>
    <w:rsid w:val="2846A376"/>
    <w:rsid w:val="28496CA6"/>
    <w:rsid w:val="284CB758"/>
    <w:rsid w:val="28506166"/>
    <w:rsid w:val="285720C7"/>
    <w:rsid w:val="2857C163"/>
    <w:rsid w:val="28615C88"/>
    <w:rsid w:val="28684FC5"/>
    <w:rsid w:val="286874FA"/>
    <w:rsid w:val="28699652"/>
    <w:rsid w:val="28740019"/>
    <w:rsid w:val="28753E6A"/>
    <w:rsid w:val="2878BABA"/>
    <w:rsid w:val="287F18D9"/>
    <w:rsid w:val="28802F8B"/>
    <w:rsid w:val="28832A0B"/>
    <w:rsid w:val="288C4D3E"/>
    <w:rsid w:val="2890DE43"/>
    <w:rsid w:val="289378FC"/>
    <w:rsid w:val="289D171E"/>
    <w:rsid w:val="28A284D4"/>
    <w:rsid w:val="28A9522C"/>
    <w:rsid w:val="28AA4F05"/>
    <w:rsid w:val="28AB19EB"/>
    <w:rsid w:val="28B7AC09"/>
    <w:rsid w:val="28BD4E32"/>
    <w:rsid w:val="28BDF0B6"/>
    <w:rsid w:val="28C1ABCE"/>
    <w:rsid w:val="28C1E5DF"/>
    <w:rsid w:val="28C223D8"/>
    <w:rsid w:val="28C84E74"/>
    <w:rsid w:val="28C91ACD"/>
    <w:rsid w:val="28D4D31C"/>
    <w:rsid w:val="28D5C525"/>
    <w:rsid w:val="28D99163"/>
    <w:rsid w:val="28DD6909"/>
    <w:rsid w:val="28E976B9"/>
    <w:rsid w:val="28F235D9"/>
    <w:rsid w:val="28F24840"/>
    <w:rsid w:val="28F36A89"/>
    <w:rsid w:val="28FDC672"/>
    <w:rsid w:val="29066196"/>
    <w:rsid w:val="2909D428"/>
    <w:rsid w:val="290C06FE"/>
    <w:rsid w:val="290CB944"/>
    <w:rsid w:val="291D2908"/>
    <w:rsid w:val="291F8362"/>
    <w:rsid w:val="291F8728"/>
    <w:rsid w:val="2923317C"/>
    <w:rsid w:val="292BF1C6"/>
    <w:rsid w:val="292D58B0"/>
    <w:rsid w:val="2938977B"/>
    <w:rsid w:val="2939423F"/>
    <w:rsid w:val="293D3C50"/>
    <w:rsid w:val="293E639F"/>
    <w:rsid w:val="2948561D"/>
    <w:rsid w:val="29486EE0"/>
    <w:rsid w:val="294DBEA9"/>
    <w:rsid w:val="2952400D"/>
    <w:rsid w:val="2954F309"/>
    <w:rsid w:val="295B7976"/>
    <w:rsid w:val="296A918E"/>
    <w:rsid w:val="296D7DB2"/>
    <w:rsid w:val="29713825"/>
    <w:rsid w:val="29796BFF"/>
    <w:rsid w:val="297AF7B8"/>
    <w:rsid w:val="297B853E"/>
    <w:rsid w:val="297CDA05"/>
    <w:rsid w:val="297E26AF"/>
    <w:rsid w:val="297EF7E0"/>
    <w:rsid w:val="298363E7"/>
    <w:rsid w:val="29841BDD"/>
    <w:rsid w:val="29898127"/>
    <w:rsid w:val="2989E5BA"/>
    <w:rsid w:val="298F86AF"/>
    <w:rsid w:val="29919FD2"/>
    <w:rsid w:val="2991E0ED"/>
    <w:rsid w:val="29955FC4"/>
    <w:rsid w:val="2998A177"/>
    <w:rsid w:val="299B49EA"/>
    <w:rsid w:val="299C2F05"/>
    <w:rsid w:val="29A15ADC"/>
    <w:rsid w:val="29A459EC"/>
    <w:rsid w:val="29A5C549"/>
    <w:rsid w:val="29A771E9"/>
    <w:rsid w:val="29ABD227"/>
    <w:rsid w:val="29ADA646"/>
    <w:rsid w:val="29ADE31F"/>
    <w:rsid w:val="29B19875"/>
    <w:rsid w:val="29B5F1C8"/>
    <w:rsid w:val="29CD27F5"/>
    <w:rsid w:val="29CD9A15"/>
    <w:rsid w:val="29CF5E40"/>
    <w:rsid w:val="29D1016B"/>
    <w:rsid w:val="29D2BEF5"/>
    <w:rsid w:val="29D6E4B4"/>
    <w:rsid w:val="29D96A40"/>
    <w:rsid w:val="29D97D48"/>
    <w:rsid w:val="29DA50A3"/>
    <w:rsid w:val="29DC326F"/>
    <w:rsid w:val="29E124D3"/>
    <w:rsid w:val="29ECE3B0"/>
    <w:rsid w:val="29F1BABE"/>
    <w:rsid w:val="29F4D61F"/>
    <w:rsid w:val="29F65F43"/>
    <w:rsid w:val="29F6E8BB"/>
    <w:rsid w:val="2A0E9F4B"/>
    <w:rsid w:val="2A0F56AD"/>
    <w:rsid w:val="2A197870"/>
    <w:rsid w:val="2A1A6DB6"/>
    <w:rsid w:val="2A200B7A"/>
    <w:rsid w:val="2A214731"/>
    <w:rsid w:val="2A266564"/>
    <w:rsid w:val="2A2743DA"/>
    <w:rsid w:val="2A2E4A09"/>
    <w:rsid w:val="2A2F6452"/>
    <w:rsid w:val="2A32C59D"/>
    <w:rsid w:val="2A39E310"/>
    <w:rsid w:val="2A3A3EDF"/>
    <w:rsid w:val="2A43BE01"/>
    <w:rsid w:val="2A4CF31F"/>
    <w:rsid w:val="2A519622"/>
    <w:rsid w:val="2A5616B5"/>
    <w:rsid w:val="2A5FC52D"/>
    <w:rsid w:val="2A629283"/>
    <w:rsid w:val="2A6665D5"/>
    <w:rsid w:val="2A68AE35"/>
    <w:rsid w:val="2A6AFAA5"/>
    <w:rsid w:val="2A6E08BB"/>
    <w:rsid w:val="2A6EB034"/>
    <w:rsid w:val="2A713D0E"/>
    <w:rsid w:val="2A71D9C6"/>
    <w:rsid w:val="2A722300"/>
    <w:rsid w:val="2A748303"/>
    <w:rsid w:val="2A764FFE"/>
    <w:rsid w:val="2A77738A"/>
    <w:rsid w:val="2A78848B"/>
    <w:rsid w:val="2A7F7C6A"/>
    <w:rsid w:val="2A802182"/>
    <w:rsid w:val="2A8188AD"/>
    <w:rsid w:val="2A81AC50"/>
    <w:rsid w:val="2A8206A9"/>
    <w:rsid w:val="2A859236"/>
    <w:rsid w:val="2A85B59F"/>
    <w:rsid w:val="2A86E5EE"/>
    <w:rsid w:val="2A882D41"/>
    <w:rsid w:val="2A891A84"/>
    <w:rsid w:val="2A90992B"/>
    <w:rsid w:val="2A91A0E7"/>
    <w:rsid w:val="2A953F3C"/>
    <w:rsid w:val="2A9746ED"/>
    <w:rsid w:val="2A978B8C"/>
    <w:rsid w:val="2A978C90"/>
    <w:rsid w:val="2A9B93D1"/>
    <w:rsid w:val="2A9DBE68"/>
    <w:rsid w:val="2AB11E92"/>
    <w:rsid w:val="2AB34B55"/>
    <w:rsid w:val="2AB41B1A"/>
    <w:rsid w:val="2AB550FA"/>
    <w:rsid w:val="2ABEDD95"/>
    <w:rsid w:val="2AC571F0"/>
    <w:rsid w:val="2AC90552"/>
    <w:rsid w:val="2AC9D88C"/>
    <w:rsid w:val="2ACEB902"/>
    <w:rsid w:val="2AD2837A"/>
    <w:rsid w:val="2AD45535"/>
    <w:rsid w:val="2AD46B86"/>
    <w:rsid w:val="2ADFF4CA"/>
    <w:rsid w:val="2AEA3F0F"/>
    <w:rsid w:val="2AF387FE"/>
    <w:rsid w:val="2AF74602"/>
    <w:rsid w:val="2B08F9CF"/>
    <w:rsid w:val="2B0BA06D"/>
    <w:rsid w:val="2B145C40"/>
    <w:rsid w:val="2B22939E"/>
    <w:rsid w:val="2B2604F3"/>
    <w:rsid w:val="2B281EDC"/>
    <w:rsid w:val="2B28B7E3"/>
    <w:rsid w:val="2B2D4897"/>
    <w:rsid w:val="2B339951"/>
    <w:rsid w:val="2B3646EC"/>
    <w:rsid w:val="2B3E5C08"/>
    <w:rsid w:val="2B421C13"/>
    <w:rsid w:val="2B42A131"/>
    <w:rsid w:val="2B4A41C6"/>
    <w:rsid w:val="2B4C873D"/>
    <w:rsid w:val="2B523BCA"/>
    <w:rsid w:val="2B5D6722"/>
    <w:rsid w:val="2B61FC39"/>
    <w:rsid w:val="2B720738"/>
    <w:rsid w:val="2B73C365"/>
    <w:rsid w:val="2B747153"/>
    <w:rsid w:val="2B7525DA"/>
    <w:rsid w:val="2B81DBD2"/>
    <w:rsid w:val="2B887791"/>
    <w:rsid w:val="2B8FD497"/>
    <w:rsid w:val="2B901C5B"/>
    <w:rsid w:val="2B90A94B"/>
    <w:rsid w:val="2B91E417"/>
    <w:rsid w:val="2B926579"/>
    <w:rsid w:val="2B9A2C67"/>
    <w:rsid w:val="2B9A4026"/>
    <w:rsid w:val="2B9C368D"/>
    <w:rsid w:val="2B9E4721"/>
    <w:rsid w:val="2B9FA360"/>
    <w:rsid w:val="2BA3E1C7"/>
    <w:rsid w:val="2BA5CDA7"/>
    <w:rsid w:val="2BA92C55"/>
    <w:rsid w:val="2BAD9010"/>
    <w:rsid w:val="2BAF9EC2"/>
    <w:rsid w:val="2BB1FEEB"/>
    <w:rsid w:val="2BB35091"/>
    <w:rsid w:val="2BB643AD"/>
    <w:rsid w:val="2BBBF91B"/>
    <w:rsid w:val="2BC5B102"/>
    <w:rsid w:val="2BCD3F65"/>
    <w:rsid w:val="2BCE3D56"/>
    <w:rsid w:val="2BD2011E"/>
    <w:rsid w:val="2BD43B04"/>
    <w:rsid w:val="2BD55533"/>
    <w:rsid w:val="2BD6F4EA"/>
    <w:rsid w:val="2BD81DE2"/>
    <w:rsid w:val="2BDA863E"/>
    <w:rsid w:val="2BDB15FC"/>
    <w:rsid w:val="2BDB7DF5"/>
    <w:rsid w:val="2BDBB157"/>
    <w:rsid w:val="2BDDE689"/>
    <w:rsid w:val="2BDF7C0E"/>
    <w:rsid w:val="2BE6B915"/>
    <w:rsid w:val="2BE75740"/>
    <w:rsid w:val="2BE8AE03"/>
    <w:rsid w:val="2BEB8E57"/>
    <w:rsid w:val="2BEE9484"/>
    <w:rsid w:val="2BF11652"/>
    <w:rsid w:val="2BF4549D"/>
    <w:rsid w:val="2C0157B0"/>
    <w:rsid w:val="2C067671"/>
    <w:rsid w:val="2C0CF242"/>
    <w:rsid w:val="2C0F5B48"/>
    <w:rsid w:val="2C184267"/>
    <w:rsid w:val="2C239B40"/>
    <w:rsid w:val="2C25B329"/>
    <w:rsid w:val="2C470845"/>
    <w:rsid w:val="2C49F653"/>
    <w:rsid w:val="2C4D0B27"/>
    <w:rsid w:val="2C4FBF93"/>
    <w:rsid w:val="2C51738B"/>
    <w:rsid w:val="2C53D07D"/>
    <w:rsid w:val="2C546273"/>
    <w:rsid w:val="2C59BBF5"/>
    <w:rsid w:val="2C604E1F"/>
    <w:rsid w:val="2C60E988"/>
    <w:rsid w:val="2C6139F9"/>
    <w:rsid w:val="2C61E3D8"/>
    <w:rsid w:val="2C64D318"/>
    <w:rsid w:val="2C658CB7"/>
    <w:rsid w:val="2C67A342"/>
    <w:rsid w:val="2C69A325"/>
    <w:rsid w:val="2C6D96E2"/>
    <w:rsid w:val="2C6F203E"/>
    <w:rsid w:val="2C72F53E"/>
    <w:rsid w:val="2C735A94"/>
    <w:rsid w:val="2C768178"/>
    <w:rsid w:val="2C788A98"/>
    <w:rsid w:val="2C8A4F3F"/>
    <w:rsid w:val="2C97979F"/>
    <w:rsid w:val="2C98ED6B"/>
    <w:rsid w:val="2C9A8EBB"/>
    <w:rsid w:val="2C9B7767"/>
    <w:rsid w:val="2C9DE472"/>
    <w:rsid w:val="2C9F42C8"/>
    <w:rsid w:val="2C9F6844"/>
    <w:rsid w:val="2CA5E172"/>
    <w:rsid w:val="2CAA235D"/>
    <w:rsid w:val="2CAF4362"/>
    <w:rsid w:val="2CB24736"/>
    <w:rsid w:val="2CB420B2"/>
    <w:rsid w:val="2CB6A90D"/>
    <w:rsid w:val="2CB7E440"/>
    <w:rsid w:val="2CB90BA2"/>
    <w:rsid w:val="2CBE158A"/>
    <w:rsid w:val="2CBFAAD5"/>
    <w:rsid w:val="2CC11064"/>
    <w:rsid w:val="2CC4D5F4"/>
    <w:rsid w:val="2CC5F196"/>
    <w:rsid w:val="2CC68819"/>
    <w:rsid w:val="2CCB4D10"/>
    <w:rsid w:val="2CCE22D8"/>
    <w:rsid w:val="2CCFB964"/>
    <w:rsid w:val="2CD00F02"/>
    <w:rsid w:val="2CD025B1"/>
    <w:rsid w:val="2CD1603E"/>
    <w:rsid w:val="2CD258E6"/>
    <w:rsid w:val="2CD4DE08"/>
    <w:rsid w:val="2CD57099"/>
    <w:rsid w:val="2CDED4D2"/>
    <w:rsid w:val="2CEAB75E"/>
    <w:rsid w:val="2CEEF0F8"/>
    <w:rsid w:val="2CF1B894"/>
    <w:rsid w:val="2CF83513"/>
    <w:rsid w:val="2CFABBE0"/>
    <w:rsid w:val="2CFF36CD"/>
    <w:rsid w:val="2D0099D5"/>
    <w:rsid w:val="2D02815C"/>
    <w:rsid w:val="2D04F590"/>
    <w:rsid w:val="2D09B4F2"/>
    <w:rsid w:val="2D0B5775"/>
    <w:rsid w:val="2D0C09F0"/>
    <w:rsid w:val="2D0CF866"/>
    <w:rsid w:val="2D0F117A"/>
    <w:rsid w:val="2D12BB58"/>
    <w:rsid w:val="2D13DF54"/>
    <w:rsid w:val="2D1568B0"/>
    <w:rsid w:val="2D165964"/>
    <w:rsid w:val="2D217C34"/>
    <w:rsid w:val="2D21DAB8"/>
    <w:rsid w:val="2D275B68"/>
    <w:rsid w:val="2D29A698"/>
    <w:rsid w:val="2D31FB73"/>
    <w:rsid w:val="2D344C79"/>
    <w:rsid w:val="2D380EDF"/>
    <w:rsid w:val="2D3E085A"/>
    <w:rsid w:val="2D4108EC"/>
    <w:rsid w:val="2D444C08"/>
    <w:rsid w:val="2D44BB40"/>
    <w:rsid w:val="2D453ECE"/>
    <w:rsid w:val="2D4CBEF5"/>
    <w:rsid w:val="2D4F0AC3"/>
    <w:rsid w:val="2D51F886"/>
    <w:rsid w:val="2D556DBC"/>
    <w:rsid w:val="2D592500"/>
    <w:rsid w:val="2D5FD5C0"/>
    <w:rsid w:val="2D61A5BD"/>
    <w:rsid w:val="2D64587D"/>
    <w:rsid w:val="2D66EF3A"/>
    <w:rsid w:val="2D6A1069"/>
    <w:rsid w:val="2D6AF759"/>
    <w:rsid w:val="2D715703"/>
    <w:rsid w:val="2D728434"/>
    <w:rsid w:val="2D728A78"/>
    <w:rsid w:val="2D75B1AB"/>
    <w:rsid w:val="2D7F96B2"/>
    <w:rsid w:val="2D80D2B7"/>
    <w:rsid w:val="2D86F45B"/>
    <w:rsid w:val="2D931485"/>
    <w:rsid w:val="2D9640AC"/>
    <w:rsid w:val="2D9A4239"/>
    <w:rsid w:val="2D9CAA76"/>
    <w:rsid w:val="2D9EB6EF"/>
    <w:rsid w:val="2DA04C3E"/>
    <w:rsid w:val="2DA15467"/>
    <w:rsid w:val="2DA1C481"/>
    <w:rsid w:val="2DA4AC0B"/>
    <w:rsid w:val="2DA7B635"/>
    <w:rsid w:val="2DAF4DAC"/>
    <w:rsid w:val="2DB4C4F6"/>
    <w:rsid w:val="2DBE65D7"/>
    <w:rsid w:val="2DC199DD"/>
    <w:rsid w:val="2DC49886"/>
    <w:rsid w:val="2DC64D60"/>
    <w:rsid w:val="2DC6A976"/>
    <w:rsid w:val="2DC8B9C0"/>
    <w:rsid w:val="2DCEAA42"/>
    <w:rsid w:val="2DD10198"/>
    <w:rsid w:val="2DD18E47"/>
    <w:rsid w:val="2DD8F34A"/>
    <w:rsid w:val="2DDCCACD"/>
    <w:rsid w:val="2DDF1FDA"/>
    <w:rsid w:val="2DE2C0E0"/>
    <w:rsid w:val="2DE4EF15"/>
    <w:rsid w:val="2DEB410F"/>
    <w:rsid w:val="2DF0F375"/>
    <w:rsid w:val="2DF39BB4"/>
    <w:rsid w:val="2DF461D1"/>
    <w:rsid w:val="2E04EB0D"/>
    <w:rsid w:val="2E067EFB"/>
    <w:rsid w:val="2E07824A"/>
    <w:rsid w:val="2E07868D"/>
    <w:rsid w:val="2E087A51"/>
    <w:rsid w:val="2E0CD8AE"/>
    <w:rsid w:val="2E0FEEDA"/>
    <w:rsid w:val="2E17142E"/>
    <w:rsid w:val="2E1C2F18"/>
    <w:rsid w:val="2E1E9A17"/>
    <w:rsid w:val="2E2275A1"/>
    <w:rsid w:val="2E246EAD"/>
    <w:rsid w:val="2E2A3283"/>
    <w:rsid w:val="2E34B0D0"/>
    <w:rsid w:val="2E3806D0"/>
    <w:rsid w:val="2E3ABDA7"/>
    <w:rsid w:val="2E3C3692"/>
    <w:rsid w:val="2E3DC171"/>
    <w:rsid w:val="2E46755C"/>
    <w:rsid w:val="2E4711A1"/>
    <w:rsid w:val="2E4A4B65"/>
    <w:rsid w:val="2E4C4A69"/>
    <w:rsid w:val="2E50A28A"/>
    <w:rsid w:val="2E515E50"/>
    <w:rsid w:val="2E51C471"/>
    <w:rsid w:val="2E616CC2"/>
    <w:rsid w:val="2E61D513"/>
    <w:rsid w:val="2E67870F"/>
    <w:rsid w:val="2E70753D"/>
    <w:rsid w:val="2E768F48"/>
    <w:rsid w:val="2E783D20"/>
    <w:rsid w:val="2E7D153B"/>
    <w:rsid w:val="2E7EF9C5"/>
    <w:rsid w:val="2E7FF3D6"/>
    <w:rsid w:val="2E8371AF"/>
    <w:rsid w:val="2E8A3F81"/>
    <w:rsid w:val="2E8B8C12"/>
    <w:rsid w:val="2E9078FD"/>
    <w:rsid w:val="2E9B3DFF"/>
    <w:rsid w:val="2E9BD39E"/>
    <w:rsid w:val="2E9F53B8"/>
    <w:rsid w:val="2EA1070C"/>
    <w:rsid w:val="2EA4EBDC"/>
    <w:rsid w:val="2EA50421"/>
    <w:rsid w:val="2EA541BA"/>
    <w:rsid w:val="2EA77600"/>
    <w:rsid w:val="2EAF29E0"/>
    <w:rsid w:val="2EB072F0"/>
    <w:rsid w:val="2EB2ADCC"/>
    <w:rsid w:val="2EBF221B"/>
    <w:rsid w:val="2EC24AC8"/>
    <w:rsid w:val="2EC454F1"/>
    <w:rsid w:val="2ECC0684"/>
    <w:rsid w:val="2ECE881D"/>
    <w:rsid w:val="2ECF6773"/>
    <w:rsid w:val="2ED05D1A"/>
    <w:rsid w:val="2ED19985"/>
    <w:rsid w:val="2ED2B402"/>
    <w:rsid w:val="2ED40D7F"/>
    <w:rsid w:val="2EDB7EB8"/>
    <w:rsid w:val="2EDBD42E"/>
    <w:rsid w:val="2EDF2AFC"/>
    <w:rsid w:val="2EE21F2D"/>
    <w:rsid w:val="2EEA8F32"/>
    <w:rsid w:val="2EEE8A7A"/>
    <w:rsid w:val="2EEEB02A"/>
    <w:rsid w:val="2EEF14A3"/>
    <w:rsid w:val="2EF01733"/>
    <w:rsid w:val="2EF23B93"/>
    <w:rsid w:val="2EF864FF"/>
    <w:rsid w:val="2EF8EFAF"/>
    <w:rsid w:val="2EFA25CE"/>
    <w:rsid w:val="2F00F911"/>
    <w:rsid w:val="2F021B47"/>
    <w:rsid w:val="2F0300BE"/>
    <w:rsid w:val="2F0BB361"/>
    <w:rsid w:val="2F0C6209"/>
    <w:rsid w:val="2F11AF39"/>
    <w:rsid w:val="2F14CBE3"/>
    <w:rsid w:val="2F19A1C9"/>
    <w:rsid w:val="2F1D0F43"/>
    <w:rsid w:val="2F2C300B"/>
    <w:rsid w:val="2F2F31CB"/>
    <w:rsid w:val="2F2FAEB3"/>
    <w:rsid w:val="2F3003ED"/>
    <w:rsid w:val="2F3EDB3F"/>
    <w:rsid w:val="2F46AD57"/>
    <w:rsid w:val="2F49278E"/>
    <w:rsid w:val="2F52E6D0"/>
    <w:rsid w:val="2F59C50B"/>
    <w:rsid w:val="2F691288"/>
    <w:rsid w:val="2F6CC2CA"/>
    <w:rsid w:val="2F6F6D12"/>
    <w:rsid w:val="2F71D22E"/>
    <w:rsid w:val="2F7486E1"/>
    <w:rsid w:val="2F7A2A97"/>
    <w:rsid w:val="2F7D1EDE"/>
    <w:rsid w:val="2F896A8F"/>
    <w:rsid w:val="2F8A9CD4"/>
    <w:rsid w:val="2F8AE6CC"/>
    <w:rsid w:val="2F8F63E5"/>
    <w:rsid w:val="2F928949"/>
    <w:rsid w:val="2F95F68A"/>
    <w:rsid w:val="2F9664C7"/>
    <w:rsid w:val="2F9B8522"/>
    <w:rsid w:val="2FA57844"/>
    <w:rsid w:val="2FA7AEA6"/>
    <w:rsid w:val="2FA8F7F6"/>
    <w:rsid w:val="2FACD186"/>
    <w:rsid w:val="2FB146CC"/>
    <w:rsid w:val="2FB254D8"/>
    <w:rsid w:val="2FB2914D"/>
    <w:rsid w:val="2FB2EB3B"/>
    <w:rsid w:val="2FB80FB8"/>
    <w:rsid w:val="2FB885CE"/>
    <w:rsid w:val="2FBBBD65"/>
    <w:rsid w:val="2FBC8036"/>
    <w:rsid w:val="2FBD0F95"/>
    <w:rsid w:val="2FC3D1A9"/>
    <w:rsid w:val="2FC52B33"/>
    <w:rsid w:val="2FC54C8B"/>
    <w:rsid w:val="2FCA6C17"/>
    <w:rsid w:val="2FD057CD"/>
    <w:rsid w:val="2FD0B7B1"/>
    <w:rsid w:val="2FD14D49"/>
    <w:rsid w:val="2FD5407B"/>
    <w:rsid w:val="2FD60BA3"/>
    <w:rsid w:val="2FD9FF87"/>
    <w:rsid w:val="2FDA6E73"/>
    <w:rsid w:val="2FDD14DD"/>
    <w:rsid w:val="2FDDE0AB"/>
    <w:rsid w:val="2FDF1EB2"/>
    <w:rsid w:val="2FDF9249"/>
    <w:rsid w:val="2FE20901"/>
    <w:rsid w:val="2FE30953"/>
    <w:rsid w:val="2FED3943"/>
    <w:rsid w:val="2FED4EFC"/>
    <w:rsid w:val="2FEF3402"/>
    <w:rsid w:val="2FF039E2"/>
    <w:rsid w:val="2FF75B1E"/>
    <w:rsid w:val="2FF97C8F"/>
    <w:rsid w:val="3000371F"/>
    <w:rsid w:val="3007602A"/>
    <w:rsid w:val="300817DC"/>
    <w:rsid w:val="3008C38A"/>
    <w:rsid w:val="300C2CA9"/>
    <w:rsid w:val="300F35FE"/>
    <w:rsid w:val="300F68F8"/>
    <w:rsid w:val="30111FF6"/>
    <w:rsid w:val="3013116E"/>
    <w:rsid w:val="30145906"/>
    <w:rsid w:val="3014A1F7"/>
    <w:rsid w:val="30185A78"/>
    <w:rsid w:val="3019A3AB"/>
    <w:rsid w:val="301AA02E"/>
    <w:rsid w:val="301C8B26"/>
    <w:rsid w:val="301DE89C"/>
    <w:rsid w:val="3021FC6B"/>
    <w:rsid w:val="30271D94"/>
    <w:rsid w:val="3027A02A"/>
    <w:rsid w:val="30292A45"/>
    <w:rsid w:val="302A86EB"/>
    <w:rsid w:val="302A95FE"/>
    <w:rsid w:val="302F46F9"/>
    <w:rsid w:val="3033AF56"/>
    <w:rsid w:val="303AE2A5"/>
    <w:rsid w:val="303B0E48"/>
    <w:rsid w:val="303DCAE0"/>
    <w:rsid w:val="303F7EE0"/>
    <w:rsid w:val="30400F45"/>
    <w:rsid w:val="30443E18"/>
    <w:rsid w:val="304811EE"/>
    <w:rsid w:val="304DFA8D"/>
    <w:rsid w:val="3053C452"/>
    <w:rsid w:val="3057AC52"/>
    <w:rsid w:val="305B3B20"/>
    <w:rsid w:val="305D5C4D"/>
    <w:rsid w:val="305F6E81"/>
    <w:rsid w:val="30614BC7"/>
    <w:rsid w:val="3064EB4E"/>
    <w:rsid w:val="3065794C"/>
    <w:rsid w:val="3065AAF9"/>
    <w:rsid w:val="306875B5"/>
    <w:rsid w:val="3068AA89"/>
    <w:rsid w:val="306BD82B"/>
    <w:rsid w:val="306DBD4F"/>
    <w:rsid w:val="30716504"/>
    <w:rsid w:val="307177B6"/>
    <w:rsid w:val="307294CC"/>
    <w:rsid w:val="3078BCE4"/>
    <w:rsid w:val="307ABD31"/>
    <w:rsid w:val="307C1784"/>
    <w:rsid w:val="307C6141"/>
    <w:rsid w:val="30867A0A"/>
    <w:rsid w:val="308749AB"/>
    <w:rsid w:val="30879A6F"/>
    <w:rsid w:val="30880C4F"/>
    <w:rsid w:val="3089D4B3"/>
    <w:rsid w:val="308CD055"/>
    <w:rsid w:val="308D6D3A"/>
    <w:rsid w:val="30923066"/>
    <w:rsid w:val="309389D3"/>
    <w:rsid w:val="30961698"/>
    <w:rsid w:val="309631F2"/>
    <w:rsid w:val="30A5D58C"/>
    <w:rsid w:val="30A8F107"/>
    <w:rsid w:val="30AB39FE"/>
    <w:rsid w:val="30ABDC16"/>
    <w:rsid w:val="30B61896"/>
    <w:rsid w:val="30B9C0D1"/>
    <w:rsid w:val="30C1D838"/>
    <w:rsid w:val="30C2F749"/>
    <w:rsid w:val="30C61096"/>
    <w:rsid w:val="30C91359"/>
    <w:rsid w:val="30D7FD0E"/>
    <w:rsid w:val="30D91157"/>
    <w:rsid w:val="30DF0E2C"/>
    <w:rsid w:val="30E2EF35"/>
    <w:rsid w:val="30E3FC2C"/>
    <w:rsid w:val="30E6851B"/>
    <w:rsid w:val="30E75EFD"/>
    <w:rsid w:val="30E9C94D"/>
    <w:rsid w:val="30EA2549"/>
    <w:rsid w:val="30EB3301"/>
    <w:rsid w:val="30EDB4F3"/>
    <w:rsid w:val="30F7DD6A"/>
    <w:rsid w:val="30FB8677"/>
    <w:rsid w:val="30FDBA81"/>
    <w:rsid w:val="3104C4F0"/>
    <w:rsid w:val="3105F08A"/>
    <w:rsid w:val="310958FD"/>
    <w:rsid w:val="310C4324"/>
    <w:rsid w:val="310DF2E5"/>
    <w:rsid w:val="310EBE70"/>
    <w:rsid w:val="31119EEF"/>
    <w:rsid w:val="311E3ADA"/>
    <w:rsid w:val="311F2B1C"/>
    <w:rsid w:val="3123DDDE"/>
    <w:rsid w:val="31247A1F"/>
    <w:rsid w:val="312549B8"/>
    <w:rsid w:val="31286BF2"/>
    <w:rsid w:val="3128926E"/>
    <w:rsid w:val="312ABF8D"/>
    <w:rsid w:val="312BD179"/>
    <w:rsid w:val="312E8289"/>
    <w:rsid w:val="3134590A"/>
    <w:rsid w:val="3137AC36"/>
    <w:rsid w:val="314379C7"/>
    <w:rsid w:val="31528C22"/>
    <w:rsid w:val="31548322"/>
    <w:rsid w:val="31550E69"/>
    <w:rsid w:val="315627A7"/>
    <w:rsid w:val="315E38C2"/>
    <w:rsid w:val="316262FB"/>
    <w:rsid w:val="3163E48D"/>
    <w:rsid w:val="31665127"/>
    <w:rsid w:val="316F8AB2"/>
    <w:rsid w:val="316FAEA3"/>
    <w:rsid w:val="3171E6BD"/>
    <w:rsid w:val="3172C31B"/>
    <w:rsid w:val="3172E13D"/>
    <w:rsid w:val="317F4326"/>
    <w:rsid w:val="3181CF71"/>
    <w:rsid w:val="3182D87D"/>
    <w:rsid w:val="318796E5"/>
    <w:rsid w:val="318EBAED"/>
    <w:rsid w:val="318F020F"/>
    <w:rsid w:val="3194FE12"/>
    <w:rsid w:val="31979E2F"/>
    <w:rsid w:val="319ADAE3"/>
    <w:rsid w:val="319C07EB"/>
    <w:rsid w:val="319DA9F0"/>
    <w:rsid w:val="319FDA9E"/>
    <w:rsid w:val="31A1273B"/>
    <w:rsid w:val="31A659AA"/>
    <w:rsid w:val="31AA3309"/>
    <w:rsid w:val="31AA47E3"/>
    <w:rsid w:val="31B10F17"/>
    <w:rsid w:val="31B15289"/>
    <w:rsid w:val="31B6EB15"/>
    <w:rsid w:val="31B7E50B"/>
    <w:rsid w:val="31B80EE6"/>
    <w:rsid w:val="31B99ED7"/>
    <w:rsid w:val="31BAC6CB"/>
    <w:rsid w:val="31BCB5B7"/>
    <w:rsid w:val="31BE20BA"/>
    <w:rsid w:val="31BF44DD"/>
    <w:rsid w:val="31C2B23B"/>
    <w:rsid w:val="31C482F9"/>
    <w:rsid w:val="31C50207"/>
    <w:rsid w:val="31C70519"/>
    <w:rsid w:val="31C7630D"/>
    <w:rsid w:val="31C818A1"/>
    <w:rsid w:val="31CA728C"/>
    <w:rsid w:val="31CE54B3"/>
    <w:rsid w:val="31CF60AE"/>
    <w:rsid w:val="31D701F7"/>
    <w:rsid w:val="31D7B719"/>
    <w:rsid w:val="31DEC48F"/>
    <w:rsid w:val="31E00FF5"/>
    <w:rsid w:val="31E819C1"/>
    <w:rsid w:val="31ECFE91"/>
    <w:rsid w:val="31F36774"/>
    <w:rsid w:val="31F56785"/>
    <w:rsid w:val="31F79661"/>
    <w:rsid w:val="31FA7739"/>
    <w:rsid w:val="31FAB87C"/>
    <w:rsid w:val="31FEAF83"/>
    <w:rsid w:val="32074AEC"/>
    <w:rsid w:val="32082549"/>
    <w:rsid w:val="320EF819"/>
    <w:rsid w:val="3211E07A"/>
    <w:rsid w:val="3215A008"/>
    <w:rsid w:val="321A7BA8"/>
    <w:rsid w:val="3220D81B"/>
    <w:rsid w:val="322D0AE1"/>
    <w:rsid w:val="323083D5"/>
    <w:rsid w:val="32336360"/>
    <w:rsid w:val="3233DB27"/>
    <w:rsid w:val="32387A60"/>
    <w:rsid w:val="323DFBF7"/>
    <w:rsid w:val="323FC00F"/>
    <w:rsid w:val="3240BC5A"/>
    <w:rsid w:val="3242D51A"/>
    <w:rsid w:val="3242D742"/>
    <w:rsid w:val="32442510"/>
    <w:rsid w:val="32457DD9"/>
    <w:rsid w:val="32475BD2"/>
    <w:rsid w:val="32484A97"/>
    <w:rsid w:val="32493084"/>
    <w:rsid w:val="32533703"/>
    <w:rsid w:val="3256E1C8"/>
    <w:rsid w:val="32570280"/>
    <w:rsid w:val="325941A5"/>
    <w:rsid w:val="3259FF6B"/>
    <w:rsid w:val="32606B3D"/>
    <w:rsid w:val="3262978C"/>
    <w:rsid w:val="3262B94F"/>
    <w:rsid w:val="3265CD1B"/>
    <w:rsid w:val="3266864E"/>
    <w:rsid w:val="326BAA02"/>
    <w:rsid w:val="326E34AA"/>
    <w:rsid w:val="327179A8"/>
    <w:rsid w:val="32771778"/>
    <w:rsid w:val="3279BF1C"/>
    <w:rsid w:val="327C4BF9"/>
    <w:rsid w:val="327F1689"/>
    <w:rsid w:val="327F71E9"/>
    <w:rsid w:val="32836442"/>
    <w:rsid w:val="32849B71"/>
    <w:rsid w:val="3284C7AC"/>
    <w:rsid w:val="329685B5"/>
    <w:rsid w:val="3296D863"/>
    <w:rsid w:val="3298B9A7"/>
    <w:rsid w:val="329BA437"/>
    <w:rsid w:val="329CDB38"/>
    <w:rsid w:val="329FF058"/>
    <w:rsid w:val="32A08E4B"/>
    <w:rsid w:val="32A4C52F"/>
    <w:rsid w:val="32A8E9D7"/>
    <w:rsid w:val="32AAA77D"/>
    <w:rsid w:val="32B13D7E"/>
    <w:rsid w:val="32B62FE9"/>
    <w:rsid w:val="32BABF96"/>
    <w:rsid w:val="32BC144A"/>
    <w:rsid w:val="32BEB8AE"/>
    <w:rsid w:val="32C2A250"/>
    <w:rsid w:val="32C2DE9C"/>
    <w:rsid w:val="32C4F94E"/>
    <w:rsid w:val="32C91BA6"/>
    <w:rsid w:val="32C9BC51"/>
    <w:rsid w:val="32CD641F"/>
    <w:rsid w:val="32CF6938"/>
    <w:rsid w:val="32DB5A4C"/>
    <w:rsid w:val="32E022C2"/>
    <w:rsid w:val="32E26CF6"/>
    <w:rsid w:val="32EA88C2"/>
    <w:rsid w:val="32EC5D23"/>
    <w:rsid w:val="32F35286"/>
    <w:rsid w:val="32F4A31E"/>
    <w:rsid w:val="32F59358"/>
    <w:rsid w:val="32FAB4C6"/>
    <w:rsid w:val="32FAD51B"/>
    <w:rsid w:val="32FD8847"/>
    <w:rsid w:val="3303B22E"/>
    <w:rsid w:val="330792EC"/>
    <w:rsid w:val="330A335C"/>
    <w:rsid w:val="330CE13D"/>
    <w:rsid w:val="330FE9AD"/>
    <w:rsid w:val="3311FBB6"/>
    <w:rsid w:val="33149B6F"/>
    <w:rsid w:val="33188010"/>
    <w:rsid w:val="331BA285"/>
    <w:rsid w:val="33206BFB"/>
    <w:rsid w:val="3325B285"/>
    <w:rsid w:val="3326A859"/>
    <w:rsid w:val="33286B78"/>
    <w:rsid w:val="3332B479"/>
    <w:rsid w:val="33404D6B"/>
    <w:rsid w:val="334280A0"/>
    <w:rsid w:val="3344D523"/>
    <w:rsid w:val="3345B3F2"/>
    <w:rsid w:val="33460405"/>
    <w:rsid w:val="3347C4EC"/>
    <w:rsid w:val="33485D15"/>
    <w:rsid w:val="334D8DB4"/>
    <w:rsid w:val="334DD7CE"/>
    <w:rsid w:val="335C4FD6"/>
    <w:rsid w:val="335FBA36"/>
    <w:rsid w:val="33665C68"/>
    <w:rsid w:val="3366C193"/>
    <w:rsid w:val="3367BB17"/>
    <w:rsid w:val="3367C610"/>
    <w:rsid w:val="3372491E"/>
    <w:rsid w:val="3376B196"/>
    <w:rsid w:val="337707CB"/>
    <w:rsid w:val="33791849"/>
    <w:rsid w:val="337DEB4F"/>
    <w:rsid w:val="337FB5AF"/>
    <w:rsid w:val="3387C07F"/>
    <w:rsid w:val="339256C4"/>
    <w:rsid w:val="33970E2D"/>
    <w:rsid w:val="339BCAB3"/>
    <w:rsid w:val="33A2C534"/>
    <w:rsid w:val="33A51ED3"/>
    <w:rsid w:val="33A82095"/>
    <w:rsid w:val="33A9301F"/>
    <w:rsid w:val="33AB01AE"/>
    <w:rsid w:val="33B552D3"/>
    <w:rsid w:val="33BD562A"/>
    <w:rsid w:val="33C1DAF4"/>
    <w:rsid w:val="33C7201E"/>
    <w:rsid w:val="33CC681D"/>
    <w:rsid w:val="33D191B1"/>
    <w:rsid w:val="33D9813F"/>
    <w:rsid w:val="33DC2B76"/>
    <w:rsid w:val="33DD768A"/>
    <w:rsid w:val="33DDCA2B"/>
    <w:rsid w:val="33E4192A"/>
    <w:rsid w:val="33E779E1"/>
    <w:rsid w:val="33EBAF8E"/>
    <w:rsid w:val="33EDC470"/>
    <w:rsid w:val="33F0A1B9"/>
    <w:rsid w:val="33F2AE90"/>
    <w:rsid w:val="33F3EF9E"/>
    <w:rsid w:val="33F8A2ED"/>
    <w:rsid w:val="33FC645D"/>
    <w:rsid w:val="3401DA3D"/>
    <w:rsid w:val="34045BD7"/>
    <w:rsid w:val="34061A6E"/>
    <w:rsid w:val="340A963F"/>
    <w:rsid w:val="340DB64D"/>
    <w:rsid w:val="3410E832"/>
    <w:rsid w:val="34115359"/>
    <w:rsid w:val="341E9405"/>
    <w:rsid w:val="341F333F"/>
    <w:rsid w:val="34208C0F"/>
    <w:rsid w:val="3421CAD5"/>
    <w:rsid w:val="342317C3"/>
    <w:rsid w:val="342739C6"/>
    <w:rsid w:val="3428049C"/>
    <w:rsid w:val="342B93EF"/>
    <w:rsid w:val="342E8B98"/>
    <w:rsid w:val="34301221"/>
    <w:rsid w:val="34340846"/>
    <w:rsid w:val="34346D0A"/>
    <w:rsid w:val="343B9ABD"/>
    <w:rsid w:val="34405D90"/>
    <w:rsid w:val="3444D031"/>
    <w:rsid w:val="344503C4"/>
    <w:rsid w:val="344F0E4F"/>
    <w:rsid w:val="3452AD91"/>
    <w:rsid w:val="345502DB"/>
    <w:rsid w:val="34582705"/>
    <w:rsid w:val="3459D278"/>
    <w:rsid w:val="3459D4EB"/>
    <w:rsid w:val="34600A76"/>
    <w:rsid w:val="346983B8"/>
    <w:rsid w:val="346DB9EC"/>
    <w:rsid w:val="346F1065"/>
    <w:rsid w:val="346FE810"/>
    <w:rsid w:val="3470F5E6"/>
    <w:rsid w:val="347C128A"/>
    <w:rsid w:val="3484C2E4"/>
    <w:rsid w:val="34878E90"/>
    <w:rsid w:val="34914AED"/>
    <w:rsid w:val="349D6FA1"/>
    <w:rsid w:val="34A089FB"/>
    <w:rsid w:val="34A5ECB2"/>
    <w:rsid w:val="34A8B19E"/>
    <w:rsid w:val="34B0C51C"/>
    <w:rsid w:val="34B18365"/>
    <w:rsid w:val="34B2EFFA"/>
    <w:rsid w:val="34B39EFF"/>
    <w:rsid w:val="34B6B071"/>
    <w:rsid w:val="34BE15EC"/>
    <w:rsid w:val="34BE41D1"/>
    <w:rsid w:val="34C29CCA"/>
    <w:rsid w:val="34C37B93"/>
    <w:rsid w:val="34C494D4"/>
    <w:rsid w:val="34C7F64E"/>
    <w:rsid w:val="34C8EDCD"/>
    <w:rsid w:val="34CBC04D"/>
    <w:rsid w:val="34CE14C2"/>
    <w:rsid w:val="34CEB19D"/>
    <w:rsid w:val="34D65233"/>
    <w:rsid w:val="34D8FBCD"/>
    <w:rsid w:val="34DC43C4"/>
    <w:rsid w:val="34DEAF12"/>
    <w:rsid w:val="34DEC07C"/>
    <w:rsid w:val="34E3972A"/>
    <w:rsid w:val="34E5233D"/>
    <w:rsid w:val="34E865A4"/>
    <w:rsid w:val="34E8AC60"/>
    <w:rsid w:val="34EAFF57"/>
    <w:rsid w:val="34EE7EE7"/>
    <w:rsid w:val="34F0A552"/>
    <w:rsid w:val="34F17602"/>
    <w:rsid w:val="34F8FDF1"/>
    <w:rsid w:val="34FC67BA"/>
    <w:rsid w:val="34FD574B"/>
    <w:rsid w:val="35012F35"/>
    <w:rsid w:val="3505B765"/>
    <w:rsid w:val="350A04CC"/>
    <w:rsid w:val="350C321B"/>
    <w:rsid w:val="350CFF03"/>
    <w:rsid w:val="3514688D"/>
    <w:rsid w:val="351B9020"/>
    <w:rsid w:val="351FD013"/>
    <w:rsid w:val="3522E636"/>
    <w:rsid w:val="352541EA"/>
    <w:rsid w:val="3526C53B"/>
    <w:rsid w:val="35274B7D"/>
    <w:rsid w:val="352AB6DD"/>
    <w:rsid w:val="352DD1AE"/>
    <w:rsid w:val="352E629C"/>
    <w:rsid w:val="353021BD"/>
    <w:rsid w:val="3531034A"/>
    <w:rsid w:val="35335CBB"/>
    <w:rsid w:val="35366FDC"/>
    <w:rsid w:val="353AE704"/>
    <w:rsid w:val="35400C62"/>
    <w:rsid w:val="35472986"/>
    <w:rsid w:val="354ECD6A"/>
    <w:rsid w:val="354FAD61"/>
    <w:rsid w:val="3550F32A"/>
    <w:rsid w:val="3552F6C7"/>
    <w:rsid w:val="35550D5E"/>
    <w:rsid w:val="35594150"/>
    <w:rsid w:val="3569DEB3"/>
    <w:rsid w:val="3570E7EC"/>
    <w:rsid w:val="3577429C"/>
    <w:rsid w:val="35834EAF"/>
    <w:rsid w:val="35859CC2"/>
    <w:rsid w:val="358D222E"/>
    <w:rsid w:val="358E0A62"/>
    <w:rsid w:val="359EEF50"/>
    <w:rsid w:val="35A5004D"/>
    <w:rsid w:val="35AA6BC3"/>
    <w:rsid w:val="35AADB72"/>
    <w:rsid w:val="35AB7E42"/>
    <w:rsid w:val="35B6795F"/>
    <w:rsid w:val="35B838E0"/>
    <w:rsid w:val="35BCEB2A"/>
    <w:rsid w:val="35C07BBC"/>
    <w:rsid w:val="35C27CEB"/>
    <w:rsid w:val="35C5423B"/>
    <w:rsid w:val="35CB8A88"/>
    <w:rsid w:val="35CBE7D5"/>
    <w:rsid w:val="35CC6B1C"/>
    <w:rsid w:val="35D0CEE0"/>
    <w:rsid w:val="35D20851"/>
    <w:rsid w:val="35D27F6F"/>
    <w:rsid w:val="35D3A2D5"/>
    <w:rsid w:val="35D3BD3A"/>
    <w:rsid w:val="35D413F7"/>
    <w:rsid w:val="35DD4942"/>
    <w:rsid w:val="35DDA21D"/>
    <w:rsid w:val="35E41B2B"/>
    <w:rsid w:val="35E869E8"/>
    <w:rsid w:val="35EAD7A4"/>
    <w:rsid w:val="35EE4710"/>
    <w:rsid w:val="35EE8663"/>
    <w:rsid w:val="35F535DD"/>
    <w:rsid w:val="35F592F4"/>
    <w:rsid w:val="36003ED2"/>
    <w:rsid w:val="36063C8C"/>
    <w:rsid w:val="36127061"/>
    <w:rsid w:val="36175A62"/>
    <w:rsid w:val="36186CDD"/>
    <w:rsid w:val="3628E1E6"/>
    <w:rsid w:val="3628F768"/>
    <w:rsid w:val="3629F209"/>
    <w:rsid w:val="362A9EED"/>
    <w:rsid w:val="362FA85A"/>
    <w:rsid w:val="36334595"/>
    <w:rsid w:val="36361582"/>
    <w:rsid w:val="363785E3"/>
    <w:rsid w:val="3639AD9B"/>
    <w:rsid w:val="363A5E79"/>
    <w:rsid w:val="36465260"/>
    <w:rsid w:val="364F9EFE"/>
    <w:rsid w:val="3650495D"/>
    <w:rsid w:val="36509838"/>
    <w:rsid w:val="36584800"/>
    <w:rsid w:val="36586FC6"/>
    <w:rsid w:val="36641C2F"/>
    <w:rsid w:val="3669446F"/>
    <w:rsid w:val="36696C14"/>
    <w:rsid w:val="366F3889"/>
    <w:rsid w:val="367293B8"/>
    <w:rsid w:val="3675F663"/>
    <w:rsid w:val="3676A929"/>
    <w:rsid w:val="3677EADC"/>
    <w:rsid w:val="367AF0B6"/>
    <w:rsid w:val="367DDDE7"/>
    <w:rsid w:val="367EA273"/>
    <w:rsid w:val="369AEF0F"/>
    <w:rsid w:val="369FB593"/>
    <w:rsid w:val="36A6D6C7"/>
    <w:rsid w:val="36A7F506"/>
    <w:rsid w:val="36AED27C"/>
    <w:rsid w:val="36AF01ED"/>
    <w:rsid w:val="36AF2553"/>
    <w:rsid w:val="36B4ABDB"/>
    <w:rsid w:val="36B5AB09"/>
    <w:rsid w:val="36B825A4"/>
    <w:rsid w:val="36BFBD1E"/>
    <w:rsid w:val="36C052FF"/>
    <w:rsid w:val="36C3920A"/>
    <w:rsid w:val="36C6B6F6"/>
    <w:rsid w:val="36CC9B38"/>
    <w:rsid w:val="36D1359D"/>
    <w:rsid w:val="36D21A5C"/>
    <w:rsid w:val="36DB2264"/>
    <w:rsid w:val="36DB54DD"/>
    <w:rsid w:val="36E8E5AE"/>
    <w:rsid w:val="36EC3107"/>
    <w:rsid w:val="36F15A21"/>
    <w:rsid w:val="36F247D0"/>
    <w:rsid w:val="36F39D19"/>
    <w:rsid w:val="36FEA5B6"/>
    <w:rsid w:val="36FEB8B8"/>
    <w:rsid w:val="370054B1"/>
    <w:rsid w:val="37019559"/>
    <w:rsid w:val="37062E23"/>
    <w:rsid w:val="370712DE"/>
    <w:rsid w:val="37073865"/>
    <w:rsid w:val="370A70A5"/>
    <w:rsid w:val="37102D90"/>
    <w:rsid w:val="3718398B"/>
    <w:rsid w:val="371E2C0C"/>
    <w:rsid w:val="37216D23"/>
    <w:rsid w:val="372246B0"/>
    <w:rsid w:val="3723CF20"/>
    <w:rsid w:val="3724F06C"/>
    <w:rsid w:val="372B4F5F"/>
    <w:rsid w:val="372DC5B4"/>
    <w:rsid w:val="3733DA93"/>
    <w:rsid w:val="373A161A"/>
    <w:rsid w:val="3744AC0A"/>
    <w:rsid w:val="3745543F"/>
    <w:rsid w:val="3746A7AC"/>
    <w:rsid w:val="3748FA9D"/>
    <w:rsid w:val="374BAFA4"/>
    <w:rsid w:val="374BDB0C"/>
    <w:rsid w:val="375123F2"/>
    <w:rsid w:val="3754C1D7"/>
    <w:rsid w:val="375CE0B1"/>
    <w:rsid w:val="37674C52"/>
    <w:rsid w:val="37734B84"/>
    <w:rsid w:val="3778CFCB"/>
    <w:rsid w:val="377B9FEA"/>
    <w:rsid w:val="377EEE96"/>
    <w:rsid w:val="3784E849"/>
    <w:rsid w:val="378CA850"/>
    <w:rsid w:val="378D818A"/>
    <w:rsid w:val="37947560"/>
    <w:rsid w:val="379556FA"/>
    <w:rsid w:val="3796199E"/>
    <w:rsid w:val="379CF370"/>
    <w:rsid w:val="37A1DE01"/>
    <w:rsid w:val="37A28B6B"/>
    <w:rsid w:val="37A78630"/>
    <w:rsid w:val="37AFAED1"/>
    <w:rsid w:val="37B136FB"/>
    <w:rsid w:val="37BB4AE1"/>
    <w:rsid w:val="37BDBB9E"/>
    <w:rsid w:val="37BF27BF"/>
    <w:rsid w:val="37BF5D16"/>
    <w:rsid w:val="37C03E53"/>
    <w:rsid w:val="37C66932"/>
    <w:rsid w:val="37CE0972"/>
    <w:rsid w:val="37D0791F"/>
    <w:rsid w:val="37D17CDA"/>
    <w:rsid w:val="37DBBB81"/>
    <w:rsid w:val="37DD4144"/>
    <w:rsid w:val="37E3BFF4"/>
    <w:rsid w:val="37E5F783"/>
    <w:rsid w:val="37EB354B"/>
    <w:rsid w:val="37EFFC60"/>
    <w:rsid w:val="37F6E759"/>
    <w:rsid w:val="37F74361"/>
    <w:rsid w:val="37FAD2D9"/>
    <w:rsid w:val="3805EDBD"/>
    <w:rsid w:val="3808466C"/>
    <w:rsid w:val="380876B8"/>
    <w:rsid w:val="380A23F8"/>
    <w:rsid w:val="380ACA99"/>
    <w:rsid w:val="380B7EC9"/>
    <w:rsid w:val="38118EFD"/>
    <w:rsid w:val="3819B7BF"/>
    <w:rsid w:val="381DFD1B"/>
    <w:rsid w:val="38218BF7"/>
    <w:rsid w:val="3826059E"/>
    <w:rsid w:val="3827BB8F"/>
    <w:rsid w:val="3833AE71"/>
    <w:rsid w:val="383540E0"/>
    <w:rsid w:val="3838417F"/>
    <w:rsid w:val="38434B67"/>
    <w:rsid w:val="3847BCB8"/>
    <w:rsid w:val="38486B6E"/>
    <w:rsid w:val="3849987A"/>
    <w:rsid w:val="3849FF33"/>
    <w:rsid w:val="384B605E"/>
    <w:rsid w:val="384EBD53"/>
    <w:rsid w:val="3857B547"/>
    <w:rsid w:val="38637B0D"/>
    <w:rsid w:val="386695AC"/>
    <w:rsid w:val="3866E880"/>
    <w:rsid w:val="387075BC"/>
    <w:rsid w:val="38764E52"/>
    <w:rsid w:val="38784D88"/>
    <w:rsid w:val="387A4CE4"/>
    <w:rsid w:val="387AAC14"/>
    <w:rsid w:val="387B4418"/>
    <w:rsid w:val="387CF172"/>
    <w:rsid w:val="387DC0F9"/>
    <w:rsid w:val="387DC325"/>
    <w:rsid w:val="38870785"/>
    <w:rsid w:val="388853E0"/>
    <w:rsid w:val="3895C648"/>
    <w:rsid w:val="389BFE5B"/>
    <w:rsid w:val="389DA59E"/>
    <w:rsid w:val="38A77085"/>
    <w:rsid w:val="38A9A7E8"/>
    <w:rsid w:val="38AD35C0"/>
    <w:rsid w:val="38AE391F"/>
    <w:rsid w:val="38B5E8FE"/>
    <w:rsid w:val="38B9EBE6"/>
    <w:rsid w:val="38BF9C3B"/>
    <w:rsid w:val="38C0172B"/>
    <w:rsid w:val="38C07024"/>
    <w:rsid w:val="38CBF150"/>
    <w:rsid w:val="38CD2347"/>
    <w:rsid w:val="38CE5FAA"/>
    <w:rsid w:val="38CEDA75"/>
    <w:rsid w:val="38D1B0B1"/>
    <w:rsid w:val="38D5D83C"/>
    <w:rsid w:val="38D5EA1D"/>
    <w:rsid w:val="38D6B782"/>
    <w:rsid w:val="38D92710"/>
    <w:rsid w:val="38DF528B"/>
    <w:rsid w:val="38E002A9"/>
    <w:rsid w:val="38E07195"/>
    <w:rsid w:val="38E20B9F"/>
    <w:rsid w:val="38E87240"/>
    <w:rsid w:val="38F4BE1E"/>
    <w:rsid w:val="38F818DA"/>
    <w:rsid w:val="38FAF5A3"/>
    <w:rsid w:val="38FDEDFF"/>
    <w:rsid w:val="38FE1637"/>
    <w:rsid w:val="390D9370"/>
    <w:rsid w:val="390ED12B"/>
    <w:rsid w:val="39145974"/>
    <w:rsid w:val="39156B46"/>
    <w:rsid w:val="39162BF0"/>
    <w:rsid w:val="3919ECC0"/>
    <w:rsid w:val="391D3712"/>
    <w:rsid w:val="39202B73"/>
    <w:rsid w:val="392DB37A"/>
    <w:rsid w:val="3934F6C0"/>
    <w:rsid w:val="3935B15B"/>
    <w:rsid w:val="393DEA12"/>
    <w:rsid w:val="393ED20E"/>
    <w:rsid w:val="39409EA2"/>
    <w:rsid w:val="3942D505"/>
    <w:rsid w:val="39431CF8"/>
    <w:rsid w:val="3944D91F"/>
    <w:rsid w:val="39487F27"/>
    <w:rsid w:val="3949F0A2"/>
    <w:rsid w:val="394C14D4"/>
    <w:rsid w:val="394C1C4C"/>
    <w:rsid w:val="39564163"/>
    <w:rsid w:val="3956F875"/>
    <w:rsid w:val="395DB209"/>
    <w:rsid w:val="395E6265"/>
    <w:rsid w:val="39605092"/>
    <w:rsid w:val="3961E8B9"/>
    <w:rsid w:val="3964CE45"/>
    <w:rsid w:val="396A0C32"/>
    <w:rsid w:val="396F61C4"/>
    <w:rsid w:val="397060BA"/>
    <w:rsid w:val="397071FF"/>
    <w:rsid w:val="397408ED"/>
    <w:rsid w:val="39743297"/>
    <w:rsid w:val="39768467"/>
    <w:rsid w:val="3976F095"/>
    <w:rsid w:val="397A2EFE"/>
    <w:rsid w:val="397D239B"/>
    <w:rsid w:val="397F2B31"/>
    <w:rsid w:val="3990B6C3"/>
    <w:rsid w:val="39959E99"/>
    <w:rsid w:val="3999E8F0"/>
    <w:rsid w:val="399A67E7"/>
    <w:rsid w:val="399B7243"/>
    <w:rsid w:val="399C8CB9"/>
    <w:rsid w:val="39A46957"/>
    <w:rsid w:val="39A5DA10"/>
    <w:rsid w:val="39A7E21C"/>
    <w:rsid w:val="39A854CF"/>
    <w:rsid w:val="39A8FD84"/>
    <w:rsid w:val="39ACFBCD"/>
    <w:rsid w:val="39B6EB8F"/>
    <w:rsid w:val="39C1047F"/>
    <w:rsid w:val="39C21DAF"/>
    <w:rsid w:val="39C35492"/>
    <w:rsid w:val="39C5AAAA"/>
    <w:rsid w:val="39C772AB"/>
    <w:rsid w:val="39C7C673"/>
    <w:rsid w:val="39CA1DA9"/>
    <w:rsid w:val="39CABE99"/>
    <w:rsid w:val="39CC215F"/>
    <w:rsid w:val="39D140E7"/>
    <w:rsid w:val="39D3361F"/>
    <w:rsid w:val="39D8A989"/>
    <w:rsid w:val="39DB6129"/>
    <w:rsid w:val="39DCF213"/>
    <w:rsid w:val="39E2C549"/>
    <w:rsid w:val="39EAC330"/>
    <w:rsid w:val="39EC24CF"/>
    <w:rsid w:val="39ECF84E"/>
    <w:rsid w:val="39F0991A"/>
    <w:rsid w:val="39FCAC2A"/>
    <w:rsid w:val="39FE88B7"/>
    <w:rsid w:val="3A001DEF"/>
    <w:rsid w:val="3A0699BA"/>
    <w:rsid w:val="3A09A387"/>
    <w:rsid w:val="3A0D7316"/>
    <w:rsid w:val="3A0FDC29"/>
    <w:rsid w:val="3A13711B"/>
    <w:rsid w:val="3A15B1E0"/>
    <w:rsid w:val="3A1AE483"/>
    <w:rsid w:val="3A1C7951"/>
    <w:rsid w:val="3A1E675F"/>
    <w:rsid w:val="3A24A5B6"/>
    <w:rsid w:val="3A2A5449"/>
    <w:rsid w:val="3A2C0D48"/>
    <w:rsid w:val="3A314AC7"/>
    <w:rsid w:val="3A3174C4"/>
    <w:rsid w:val="3A3C5D02"/>
    <w:rsid w:val="3A3E6E97"/>
    <w:rsid w:val="3A408D3B"/>
    <w:rsid w:val="3A439300"/>
    <w:rsid w:val="3A441CA5"/>
    <w:rsid w:val="3A444AB1"/>
    <w:rsid w:val="3A47D06D"/>
    <w:rsid w:val="3A495F04"/>
    <w:rsid w:val="3A49F586"/>
    <w:rsid w:val="3A4B89CB"/>
    <w:rsid w:val="3A4D8D53"/>
    <w:rsid w:val="3A4FDE6B"/>
    <w:rsid w:val="3A51B6F0"/>
    <w:rsid w:val="3A51BB86"/>
    <w:rsid w:val="3A538AC4"/>
    <w:rsid w:val="3A57AC6F"/>
    <w:rsid w:val="3A58BF0D"/>
    <w:rsid w:val="3A5CC982"/>
    <w:rsid w:val="3A5E28AE"/>
    <w:rsid w:val="3A611F56"/>
    <w:rsid w:val="3A64B802"/>
    <w:rsid w:val="3A6D47F6"/>
    <w:rsid w:val="3A7855B5"/>
    <w:rsid w:val="3A793062"/>
    <w:rsid w:val="3A79C9F7"/>
    <w:rsid w:val="3A7B0290"/>
    <w:rsid w:val="3A8B952A"/>
    <w:rsid w:val="3A8E11B6"/>
    <w:rsid w:val="3A908B65"/>
    <w:rsid w:val="3A92BED7"/>
    <w:rsid w:val="3A943C43"/>
    <w:rsid w:val="3A9F34D2"/>
    <w:rsid w:val="3A9F4FCE"/>
    <w:rsid w:val="3AA03103"/>
    <w:rsid w:val="3AA85831"/>
    <w:rsid w:val="3AAB165C"/>
    <w:rsid w:val="3AAB5237"/>
    <w:rsid w:val="3AAF9D6F"/>
    <w:rsid w:val="3AB6CCB8"/>
    <w:rsid w:val="3AC0FA64"/>
    <w:rsid w:val="3AC13EEA"/>
    <w:rsid w:val="3AC41A7C"/>
    <w:rsid w:val="3AC536D6"/>
    <w:rsid w:val="3ACBCE08"/>
    <w:rsid w:val="3AD9433A"/>
    <w:rsid w:val="3ADB9556"/>
    <w:rsid w:val="3ADF5FD7"/>
    <w:rsid w:val="3AE07F0B"/>
    <w:rsid w:val="3AE35BA5"/>
    <w:rsid w:val="3AEB7009"/>
    <w:rsid w:val="3AEDAD68"/>
    <w:rsid w:val="3AEE1BA8"/>
    <w:rsid w:val="3AF26E64"/>
    <w:rsid w:val="3AFB557C"/>
    <w:rsid w:val="3B0394D8"/>
    <w:rsid w:val="3B06DF70"/>
    <w:rsid w:val="3B0D1EBE"/>
    <w:rsid w:val="3B1413FC"/>
    <w:rsid w:val="3B1BB1E8"/>
    <w:rsid w:val="3B1C1672"/>
    <w:rsid w:val="3B247780"/>
    <w:rsid w:val="3B28B62E"/>
    <w:rsid w:val="3B2FCCDD"/>
    <w:rsid w:val="3B30067B"/>
    <w:rsid w:val="3B33B111"/>
    <w:rsid w:val="3B3695D5"/>
    <w:rsid w:val="3B37DA0E"/>
    <w:rsid w:val="3B42EDCB"/>
    <w:rsid w:val="3B4323C1"/>
    <w:rsid w:val="3B457BD4"/>
    <w:rsid w:val="3B4653F5"/>
    <w:rsid w:val="3B4C964B"/>
    <w:rsid w:val="3B4CBDD1"/>
    <w:rsid w:val="3B52DEBF"/>
    <w:rsid w:val="3B57F84F"/>
    <w:rsid w:val="3B5A192F"/>
    <w:rsid w:val="3B5B856C"/>
    <w:rsid w:val="3B5CF97D"/>
    <w:rsid w:val="3B62428E"/>
    <w:rsid w:val="3B63ADDC"/>
    <w:rsid w:val="3B6C3494"/>
    <w:rsid w:val="3B713E69"/>
    <w:rsid w:val="3B741365"/>
    <w:rsid w:val="3B7416DD"/>
    <w:rsid w:val="3B7A7BB0"/>
    <w:rsid w:val="3B7D1020"/>
    <w:rsid w:val="3B7DA8F6"/>
    <w:rsid w:val="3B7E2192"/>
    <w:rsid w:val="3B7FD3EF"/>
    <w:rsid w:val="3B8648DB"/>
    <w:rsid w:val="3B87AAD2"/>
    <w:rsid w:val="3B8A15FD"/>
    <w:rsid w:val="3B8C2186"/>
    <w:rsid w:val="3B8D5731"/>
    <w:rsid w:val="3B92F122"/>
    <w:rsid w:val="3B96FAEF"/>
    <w:rsid w:val="3B9C7997"/>
    <w:rsid w:val="3BA6B12C"/>
    <w:rsid w:val="3BA79A15"/>
    <w:rsid w:val="3BAAFF70"/>
    <w:rsid w:val="3BB0E63F"/>
    <w:rsid w:val="3BB2318E"/>
    <w:rsid w:val="3BB7B52C"/>
    <w:rsid w:val="3BB9A813"/>
    <w:rsid w:val="3BBE905F"/>
    <w:rsid w:val="3BC16AC7"/>
    <w:rsid w:val="3BC40053"/>
    <w:rsid w:val="3BC7B121"/>
    <w:rsid w:val="3BCA7B82"/>
    <w:rsid w:val="3BCC112B"/>
    <w:rsid w:val="3BCE97E4"/>
    <w:rsid w:val="3BD20697"/>
    <w:rsid w:val="3BD3F5BC"/>
    <w:rsid w:val="3BD948E6"/>
    <w:rsid w:val="3BDCE68B"/>
    <w:rsid w:val="3BE03AE9"/>
    <w:rsid w:val="3BE03FEA"/>
    <w:rsid w:val="3BE118A4"/>
    <w:rsid w:val="3BE29677"/>
    <w:rsid w:val="3BEA4F26"/>
    <w:rsid w:val="3BEDB9F4"/>
    <w:rsid w:val="3BF0DE5D"/>
    <w:rsid w:val="3BF5785F"/>
    <w:rsid w:val="3BF89CC5"/>
    <w:rsid w:val="3BFC6041"/>
    <w:rsid w:val="3BFCFC0F"/>
    <w:rsid w:val="3BFEB957"/>
    <w:rsid w:val="3BFF14E0"/>
    <w:rsid w:val="3C00E1B1"/>
    <w:rsid w:val="3C041C0A"/>
    <w:rsid w:val="3C05ADFB"/>
    <w:rsid w:val="3C15ACFA"/>
    <w:rsid w:val="3C17A646"/>
    <w:rsid w:val="3C1D216F"/>
    <w:rsid w:val="3C206B95"/>
    <w:rsid w:val="3C2800EC"/>
    <w:rsid w:val="3C29001D"/>
    <w:rsid w:val="3C3031CF"/>
    <w:rsid w:val="3C30C9B1"/>
    <w:rsid w:val="3C3F6C1D"/>
    <w:rsid w:val="3C3FBE15"/>
    <w:rsid w:val="3C407EF8"/>
    <w:rsid w:val="3C4A398C"/>
    <w:rsid w:val="3C4C71F3"/>
    <w:rsid w:val="3C519ED0"/>
    <w:rsid w:val="3C51C204"/>
    <w:rsid w:val="3C533182"/>
    <w:rsid w:val="3C546219"/>
    <w:rsid w:val="3C5CD88B"/>
    <w:rsid w:val="3C5F85E5"/>
    <w:rsid w:val="3C6290EA"/>
    <w:rsid w:val="3C656130"/>
    <w:rsid w:val="3C68CBFD"/>
    <w:rsid w:val="3C69B298"/>
    <w:rsid w:val="3C6A6628"/>
    <w:rsid w:val="3C6E214F"/>
    <w:rsid w:val="3C72A27E"/>
    <w:rsid w:val="3C791387"/>
    <w:rsid w:val="3C796CED"/>
    <w:rsid w:val="3C7C9122"/>
    <w:rsid w:val="3C7E6442"/>
    <w:rsid w:val="3C7FFCB0"/>
    <w:rsid w:val="3C83F216"/>
    <w:rsid w:val="3C8A92E8"/>
    <w:rsid w:val="3C8EF375"/>
    <w:rsid w:val="3C9292C3"/>
    <w:rsid w:val="3CA13C2C"/>
    <w:rsid w:val="3CAA5A86"/>
    <w:rsid w:val="3CAA75EB"/>
    <w:rsid w:val="3CAAE1C0"/>
    <w:rsid w:val="3CAB0B6F"/>
    <w:rsid w:val="3CB685E9"/>
    <w:rsid w:val="3CBF0188"/>
    <w:rsid w:val="3CC00A9A"/>
    <w:rsid w:val="3CC3B3BD"/>
    <w:rsid w:val="3CD03914"/>
    <w:rsid w:val="3CD84E98"/>
    <w:rsid w:val="3CD8CD04"/>
    <w:rsid w:val="3CDDF74F"/>
    <w:rsid w:val="3CE1809D"/>
    <w:rsid w:val="3CE36922"/>
    <w:rsid w:val="3CE36FD5"/>
    <w:rsid w:val="3CEAE24E"/>
    <w:rsid w:val="3CEC6192"/>
    <w:rsid w:val="3CEF4DC4"/>
    <w:rsid w:val="3CF9C50C"/>
    <w:rsid w:val="3CFDA225"/>
    <w:rsid w:val="3D000B63"/>
    <w:rsid w:val="3D02E2F5"/>
    <w:rsid w:val="3D050780"/>
    <w:rsid w:val="3D09B220"/>
    <w:rsid w:val="3D0EA17F"/>
    <w:rsid w:val="3D10AE3E"/>
    <w:rsid w:val="3D164536"/>
    <w:rsid w:val="3D1872D9"/>
    <w:rsid w:val="3D1E2C49"/>
    <w:rsid w:val="3D21C60B"/>
    <w:rsid w:val="3D297255"/>
    <w:rsid w:val="3D2BB459"/>
    <w:rsid w:val="3D2D8A9C"/>
    <w:rsid w:val="3D39373C"/>
    <w:rsid w:val="3D3A3FA2"/>
    <w:rsid w:val="3D3A4435"/>
    <w:rsid w:val="3D3DD528"/>
    <w:rsid w:val="3D3F027A"/>
    <w:rsid w:val="3D3F8F74"/>
    <w:rsid w:val="3D48A75E"/>
    <w:rsid w:val="3D4AF336"/>
    <w:rsid w:val="3D4DAE87"/>
    <w:rsid w:val="3D51AB7F"/>
    <w:rsid w:val="3D54DE20"/>
    <w:rsid w:val="3D5AB17E"/>
    <w:rsid w:val="3D61AA96"/>
    <w:rsid w:val="3D6C8C5E"/>
    <w:rsid w:val="3D6DD689"/>
    <w:rsid w:val="3D6E71BC"/>
    <w:rsid w:val="3D732B8C"/>
    <w:rsid w:val="3D737AC5"/>
    <w:rsid w:val="3D748755"/>
    <w:rsid w:val="3D75FB4B"/>
    <w:rsid w:val="3D7C3B29"/>
    <w:rsid w:val="3D83EEDC"/>
    <w:rsid w:val="3D84C00B"/>
    <w:rsid w:val="3D86278C"/>
    <w:rsid w:val="3D88E9C4"/>
    <w:rsid w:val="3D891AA9"/>
    <w:rsid w:val="3D892FCC"/>
    <w:rsid w:val="3D8DC4A3"/>
    <w:rsid w:val="3D8EB16A"/>
    <w:rsid w:val="3D94504A"/>
    <w:rsid w:val="3D9839CE"/>
    <w:rsid w:val="3D9D6CE7"/>
    <w:rsid w:val="3D9DDC09"/>
    <w:rsid w:val="3DA569EA"/>
    <w:rsid w:val="3DB415B6"/>
    <w:rsid w:val="3DB57D17"/>
    <w:rsid w:val="3DB80879"/>
    <w:rsid w:val="3DB86870"/>
    <w:rsid w:val="3DB98261"/>
    <w:rsid w:val="3DBB4B6E"/>
    <w:rsid w:val="3DBD92E4"/>
    <w:rsid w:val="3DC55221"/>
    <w:rsid w:val="3DD0B360"/>
    <w:rsid w:val="3DD69CF9"/>
    <w:rsid w:val="3DD7F94B"/>
    <w:rsid w:val="3DDAAC6D"/>
    <w:rsid w:val="3DDC2C6F"/>
    <w:rsid w:val="3DDD4369"/>
    <w:rsid w:val="3DDDC9E5"/>
    <w:rsid w:val="3DE39FD7"/>
    <w:rsid w:val="3DE5F8D3"/>
    <w:rsid w:val="3DF16DC6"/>
    <w:rsid w:val="3DF26BE4"/>
    <w:rsid w:val="3DFFE1D4"/>
    <w:rsid w:val="3E03810C"/>
    <w:rsid w:val="3E055338"/>
    <w:rsid w:val="3E05FA60"/>
    <w:rsid w:val="3E063A73"/>
    <w:rsid w:val="3E0F2FDD"/>
    <w:rsid w:val="3E1431FF"/>
    <w:rsid w:val="3E182F38"/>
    <w:rsid w:val="3E18BBDD"/>
    <w:rsid w:val="3E18D9A3"/>
    <w:rsid w:val="3E1C0AEB"/>
    <w:rsid w:val="3E1C6F42"/>
    <w:rsid w:val="3E1ECF6E"/>
    <w:rsid w:val="3E22693F"/>
    <w:rsid w:val="3E24E57B"/>
    <w:rsid w:val="3E2759B3"/>
    <w:rsid w:val="3E39810F"/>
    <w:rsid w:val="3E3B47C4"/>
    <w:rsid w:val="3E43DBED"/>
    <w:rsid w:val="3E445FF4"/>
    <w:rsid w:val="3E49C51E"/>
    <w:rsid w:val="3E585C9A"/>
    <w:rsid w:val="3E58FEEB"/>
    <w:rsid w:val="3E64CB0D"/>
    <w:rsid w:val="3E653C90"/>
    <w:rsid w:val="3E67817F"/>
    <w:rsid w:val="3E68D7C4"/>
    <w:rsid w:val="3E6A9C07"/>
    <w:rsid w:val="3E6B3371"/>
    <w:rsid w:val="3E6C3A4C"/>
    <w:rsid w:val="3E6DADC4"/>
    <w:rsid w:val="3E7320CB"/>
    <w:rsid w:val="3E77B83C"/>
    <w:rsid w:val="3E80B602"/>
    <w:rsid w:val="3E8138C7"/>
    <w:rsid w:val="3E82B884"/>
    <w:rsid w:val="3E85221C"/>
    <w:rsid w:val="3E899B8B"/>
    <w:rsid w:val="3E8A5CB2"/>
    <w:rsid w:val="3E90967D"/>
    <w:rsid w:val="3E927C46"/>
    <w:rsid w:val="3E950977"/>
    <w:rsid w:val="3E9935E4"/>
    <w:rsid w:val="3E9B389F"/>
    <w:rsid w:val="3E9E36FE"/>
    <w:rsid w:val="3EA1F685"/>
    <w:rsid w:val="3EA45133"/>
    <w:rsid w:val="3EB2E5D8"/>
    <w:rsid w:val="3EC2FCA5"/>
    <w:rsid w:val="3EC7AA82"/>
    <w:rsid w:val="3EC9CFF3"/>
    <w:rsid w:val="3ECD91B2"/>
    <w:rsid w:val="3ECF4A85"/>
    <w:rsid w:val="3ED195C5"/>
    <w:rsid w:val="3ED417FA"/>
    <w:rsid w:val="3ED7D729"/>
    <w:rsid w:val="3EDC8031"/>
    <w:rsid w:val="3EDDD9EB"/>
    <w:rsid w:val="3EDE4AA5"/>
    <w:rsid w:val="3EE0D219"/>
    <w:rsid w:val="3EE124D0"/>
    <w:rsid w:val="3EE58EDB"/>
    <w:rsid w:val="3EE6E4FB"/>
    <w:rsid w:val="3EECA9E3"/>
    <w:rsid w:val="3EEF143F"/>
    <w:rsid w:val="3EF10286"/>
    <w:rsid w:val="3EF2299D"/>
    <w:rsid w:val="3EF2450F"/>
    <w:rsid w:val="3EF245F9"/>
    <w:rsid w:val="3EF917D9"/>
    <w:rsid w:val="3EFC43DF"/>
    <w:rsid w:val="3EFD1599"/>
    <w:rsid w:val="3EFF4276"/>
    <w:rsid w:val="3F048FA7"/>
    <w:rsid w:val="3F08D339"/>
    <w:rsid w:val="3F09B9DA"/>
    <w:rsid w:val="3F0E6C62"/>
    <w:rsid w:val="3F12F88E"/>
    <w:rsid w:val="3F198B1B"/>
    <w:rsid w:val="3F1F5A16"/>
    <w:rsid w:val="3F24DFBE"/>
    <w:rsid w:val="3F2665D3"/>
    <w:rsid w:val="3F267015"/>
    <w:rsid w:val="3F2B828D"/>
    <w:rsid w:val="3F337D1B"/>
    <w:rsid w:val="3F38A645"/>
    <w:rsid w:val="3F3AE38B"/>
    <w:rsid w:val="3F3C7E12"/>
    <w:rsid w:val="3F3E15BB"/>
    <w:rsid w:val="3F412683"/>
    <w:rsid w:val="3F44465D"/>
    <w:rsid w:val="3F44C803"/>
    <w:rsid w:val="3F462CE1"/>
    <w:rsid w:val="3F4C3976"/>
    <w:rsid w:val="3F5177C3"/>
    <w:rsid w:val="3F52C6EA"/>
    <w:rsid w:val="3F567AE9"/>
    <w:rsid w:val="3F5E56A4"/>
    <w:rsid w:val="3F6C8C9E"/>
    <w:rsid w:val="3F6DBAC9"/>
    <w:rsid w:val="3F6E35FA"/>
    <w:rsid w:val="3F6FE20B"/>
    <w:rsid w:val="3F74861A"/>
    <w:rsid w:val="3F74C76B"/>
    <w:rsid w:val="3F75FE5B"/>
    <w:rsid w:val="3F7842F7"/>
    <w:rsid w:val="3F792FC0"/>
    <w:rsid w:val="3F82C23D"/>
    <w:rsid w:val="3F872374"/>
    <w:rsid w:val="3F89DB9C"/>
    <w:rsid w:val="3F8C8A75"/>
    <w:rsid w:val="3F8F3C93"/>
    <w:rsid w:val="3F8F5BD9"/>
    <w:rsid w:val="3F8F64C2"/>
    <w:rsid w:val="3F903C91"/>
    <w:rsid w:val="3F906D0E"/>
    <w:rsid w:val="3F93A8FF"/>
    <w:rsid w:val="3F9B5CDC"/>
    <w:rsid w:val="3F9BDA99"/>
    <w:rsid w:val="3F9CEE97"/>
    <w:rsid w:val="3FA56B9F"/>
    <w:rsid w:val="3FADD637"/>
    <w:rsid w:val="3FAEB509"/>
    <w:rsid w:val="3FB0B15A"/>
    <w:rsid w:val="3FB7A1F5"/>
    <w:rsid w:val="3FBAE9CF"/>
    <w:rsid w:val="3FBF5802"/>
    <w:rsid w:val="3FBF8FD5"/>
    <w:rsid w:val="3FCEFF2F"/>
    <w:rsid w:val="3FCF5271"/>
    <w:rsid w:val="3FD5971B"/>
    <w:rsid w:val="3FD67E39"/>
    <w:rsid w:val="3FDA380B"/>
    <w:rsid w:val="3FDBE605"/>
    <w:rsid w:val="3FE48089"/>
    <w:rsid w:val="3FE4D2EC"/>
    <w:rsid w:val="3FE7A00A"/>
    <w:rsid w:val="3FEB57A3"/>
    <w:rsid w:val="3FEC9FE8"/>
    <w:rsid w:val="3FEF68C8"/>
    <w:rsid w:val="3FF55475"/>
    <w:rsid w:val="3FF9ACE3"/>
    <w:rsid w:val="3FFF0F55"/>
    <w:rsid w:val="3FFF34FA"/>
    <w:rsid w:val="3FFF5996"/>
    <w:rsid w:val="4005F26E"/>
    <w:rsid w:val="4007CD14"/>
    <w:rsid w:val="400FC00D"/>
    <w:rsid w:val="40176940"/>
    <w:rsid w:val="401A371C"/>
    <w:rsid w:val="401D1A14"/>
    <w:rsid w:val="4022260E"/>
    <w:rsid w:val="40255AE2"/>
    <w:rsid w:val="4027BF5D"/>
    <w:rsid w:val="4029F27F"/>
    <w:rsid w:val="402AE0AE"/>
    <w:rsid w:val="402D93F1"/>
    <w:rsid w:val="4036CA10"/>
    <w:rsid w:val="40437BF0"/>
    <w:rsid w:val="40520258"/>
    <w:rsid w:val="4056D3D4"/>
    <w:rsid w:val="406C280E"/>
    <w:rsid w:val="406C4137"/>
    <w:rsid w:val="4071E859"/>
    <w:rsid w:val="4071F1EC"/>
    <w:rsid w:val="407232C1"/>
    <w:rsid w:val="4082F1E2"/>
    <w:rsid w:val="408493B9"/>
    <w:rsid w:val="4085DC79"/>
    <w:rsid w:val="408B2982"/>
    <w:rsid w:val="408DAEA4"/>
    <w:rsid w:val="408E9458"/>
    <w:rsid w:val="408F5228"/>
    <w:rsid w:val="408FD8DD"/>
    <w:rsid w:val="4091FCF7"/>
    <w:rsid w:val="4095090E"/>
    <w:rsid w:val="409B3527"/>
    <w:rsid w:val="409BCF8C"/>
    <w:rsid w:val="409EB587"/>
    <w:rsid w:val="409F4921"/>
    <w:rsid w:val="40A03688"/>
    <w:rsid w:val="40A13992"/>
    <w:rsid w:val="40A4E37B"/>
    <w:rsid w:val="40A6546C"/>
    <w:rsid w:val="40A65E8C"/>
    <w:rsid w:val="40A7415A"/>
    <w:rsid w:val="40AA69BC"/>
    <w:rsid w:val="40AF1047"/>
    <w:rsid w:val="40AFBD4A"/>
    <w:rsid w:val="40C3CC42"/>
    <w:rsid w:val="40C78FB3"/>
    <w:rsid w:val="40CCEFE6"/>
    <w:rsid w:val="40D00138"/>
    <w:rsid w:val="40D1ABA2"/>
    <w:rsid w:val="40DB1450"/>
    <w:rsid w:val="40DC161C"/>
    <w:rsid w:val="40DD4496"/>
    <w:rsid w:val="40E08C6C"/>
    <w:rsid w:val="40E9ACFF"/>
    <w:rsid w:val="40EBC10C"/>
    <w:rsid w:val="40EE0DA7"/>
    <w:rsid w:val="40EF535B"/>
    <w:rsid w:val="40F7D34A"/>
    <w:rsid w:val="40FC6C77"/>
    <w:rsid w:val="40FCDDB1"/>
    <w:rsid w:val="4104217A"/>
    <w:rsid w:val="41053EAD"/>
    <w:rsid w:val="4106AA0E"/>
    <w:rsid w:val="4109F076"/>
    <w:rsid w:val="410A303D"/>
    <w:rsid w:val="410BA05A"/>
    <w:rsid w:val="411407DF"/>
    <w:rsid w:val="411413FA"/>
    <w:rsid w:val="4116331A"/>
    <w:rsid w:val="411802EA"/>
    <w:rsid w:val="41180850"/>
    <w:rsid w:val="411F8D78"/>
    <w:rsid w:val="412311FF"/>
    <w:rsid w:val="4124214E"/>
    <w:rsid w:val="41242DF1"/>
    <w:rsid w:val="412782D6"/>
    <w:rsid w:val="412B7EF5"/>
    <w:rsid w:val="4139313E"/>
    <w:rsid w:val="41479A8C"/>
    <w:rsid w:val="41557303"/>
    <w:rsid w:val="415A7885"/>
    <w:rsid w:val="415CE5A0"/>
    <w:rsid w:val="415E3BA9"/>
    <w:rsid w:val="415F319D"/>
    <w:rsid w:val="416CD2B5"/>
    <w:rsid w:val="41750D68"/>
    <w:rsid w:val="4177A4B5"/>
    <w:rsid w:val="418264E9"/>
    <w:rsid w:val="4182804A"/>
    <w:rsid w:val="4186144C"/>
    <w:rsid w:val="4186C5EB"/>
    <w:rsid w:val="4189416D"/>
    <w:rsid w:val="418F6CAD"/>
    <w:rsid w:val="419414DA"/>
    <w:rsid w:val="4196BC33"/>
    <w:rsid w:val="4196D2B1"/>
    <w:rsid w:val="419C61F2"/>
    <w:rsid w:val="41A1ED84"/>
    <w:rsid w:val="41A6DD9D"/>
    <w:rsid w:val="41AC21A4"/>
    <w:rsid w:val="41AE8376"/>
    <w:rsid w:val="41B56B0D"/>
    <w:rsid w:val="41BF8111"/>
    <w:rsid w:val="41C38396"/>
    <w:rsid w:val="41C44798"/>
    <w:rsid w:val="41C831AC"/>
    <w:rsid w:val="41C8CB78"/>
    <w:rsid w:val="41C8D348"/>
    <w:rsid w:val="41CB75C5"/>
    <w:rsid w:val="41D78F03"/>
    <w:rsid w:val="41E01D0C"/>
    <w:rsid w:val="41E68A5B"/>
    <w:rsid w:val="41E9D9A6"/>
    <w:rsid w:val="41F20BF3"/>
    <w:rsid w:val="41F4589E"/>
    <w:rsid w:val="41F5D623"/>
    <w:rsid w:val="41F6EEB0"/>
    <w:rsid w:val="41FABBA2"/>
    <w:rsid w:val="41FDA8D1"/>
    <w:rsid w:val="42086CE1"/>
    <w:rsid w:val="420CA3DC"/>
    <w:rsid w:val="420DBFBC"/>
    <w:rsid w:val="4210D2BB"/>
    <w:rsid w:val="4213B816"/>
    <w:rsid w:val="42141AFE"/>
    <w:rsid w:val="421A8237"/>
    <w:rsid w:val="4221051F"/>
    <w:rsid w:val="4221F727"/>
    <w:rsid w:val="422396E1"/>
    <w:rsid w:val="42248BDD"/>
    <w:rsid w:val="42265422"/>
    <w:rsid w:val="422BE81E"/>
    <w:rsid w:val="423E63A9"/>
    <w:rsid w:val="4240A110"/>
    <w:rsid w:val="42486EFA"/>
    <w:rsid w:val="4248ECBD"/>
    <w:rsid w:val="424A0E7D"/>
    <w:rsid w:val="424A1A4A"/>
    <w:rsid w:val="424A743B"/>
    <w:rsid w:val="424C51BD"/>
    <w:rsid w:val="424DF8C8"/>
    <w:rsid w:val="425549B1"/>
    <w:rsid w:val="4256FAD8"/>
    <w:rsid w:val="425BB692"/>
    <w:rsid w:val="425C391B"/>
    <w:rsid w:val="4262EF6F"/>
    <w:rsid w:val="4268375F"/>
    <w:rsid w:val="427489F2"/>
    <w:rsid w:val="427D6FEA"/>
    <w:rsid w:val="427DC2C6"/>
    <w:rsid w:val="4289AF0A"/>
    <w:rsid w:val="4290C761"/>
    <w:rsid w:val="4296C303"/>
    <w:rsid w:val="4297B10B"/>
    <w:rsid w:val="429E3BAD"/>
    <w:rsid w:val="42A18978"/>
    <w:rsid w:val="42A1AF3C"/>
    <w:rsid w:val="42AA202A"/>
    <w:rsid w:val="42AB6691"/>
    <w:rsid w:val="42AEC12A"/>
    <w:rsid w:val="42B08401"/>
    <w:rsid w:val="42BA4199"/>
    <w:rsid w:val="42BBB35D"/>
    <w:rsid w:val="42BD0B57"/>
    <w:rsid w:val="42C17B74"/>
    <w:rsid w:val="42C3A7D5"/>
    <w:rsid w:val="42D1B316"/>
    <w:rsid w:val="42D2CFB8"/>
    <w:rsid w:val="42D71960"/>
    <w:rsid w:val="42DE8213"/>
    <w:rsid w:val="42E1D29A"/>
    <w:rsid w:val="42E34F7C"/>
    <w:rsid w:val="42E78B99"/>
    <w:rsid w:val="42E87D04"/>
    <w:rsid w:val="42EC68FF"/>
    <w:rsid w:val="42F0ABC6"/>
    <w:rsid w:val="42F3E46B"/>
    <w:rsid w:val="42F3F0F0"/>
    <w:rsid w:val="42F50DDE"/>
    <w:rsid w:val="42F62143"/>
    <w:rsid w:val="42F7768E"/>
    <w:rsid w:val="42F96E3E"/>
    <w:rsid w:val="430074D8"/>
    <w:rsid w:val="430582F3"/>
    <w:rsid w:val="43089480"/>
    <w:rsid w:val="430DD064"/>
    <w:rsid w:val="4316D254"/>
    <w:rsid w:val="4318C319"/>
    <w:rsid w:val="431BDC88"/>
    <w:rsid w:val="4320A01C"/>
    <w:rsid w:val="43259437"/>
    <w:rsid w:val="432A9FE4"/>
    <w:rsid w:val="432E144A"/>
    <w:rsid w:val="43302E10"/>
    <w:rsid w:val="433BD527"/>
    <w:rsid w:val="433D014A"/>
    <w:rsid w:val="433DC486"/>
    <w:rsid w:val="433EEFEC"/>
    <w:rsid w:val="433FD952"/>
    <w:rsid w:val="43548082"/>
    <w:rsid w:val="4356610D"/>
    <w:rsid w:val="435786FB"/>
    <w:rsid w:val="43578C66"/>
    <w:rsid w:val="435A62B9"/>
    <w:rsid w:val="435BCD46"/>
    <w:rsid w:val="435C9BE7"/>
    <w:rsid w:val="435CA3D9"/>
    <w:rsid w:val="435DA420"/>
    <w:rsid w:val="4374C7E2"/>
    <w:rsid w:val="4378C7CE"/>
    <w:rsid w:val="438020BE"/>
    <w:rsid w:val="438127B8"/>
    <w:rsid w:val="4381BFB3"/>
    <w:rsid w:val="438CBA90"/>
    <w:rsid w:val="438E1D41"/>
    <w:rsid w:val="438E4C4B"/>
    <w:rsid w:val="438EACDC"/>
    <w:rsid w:val="439194E5"/>
    <w:rsid w:val="4392684F"/>
    <w:rsid w:val="4392E52A"/>
    <w:rsid w:val="43946F99"/>
    <w:rsid w:val="4394C8D1"/>
    <w:rsid w:val="4396B9A0"/>
    <w:rsid w:val="439A8EA5"/>
    <w:rsid w:val="43A263C4"/>
    <w:rsid w:val="43A50DD3"/>
    <w:rsid w:val="43A63058"/>
    <w:rsid w:val="43A76999"/>
    <w:rsid w:val="43AC1BF1"/>
    <w:rsid w:val="43AD8EAC"/>
    <w:rsid w:val="43AEFEAD"/>
    <w:rsid w:val="43AFE7AC"/>
    <w:rsid w:val="43B2AA45"/>
    <w:rsid w:val="43B6F176"/>
    <w:rsid w:val="43B7EF67"/>
    <w:rsid w:val="43B7F9E4"/>
    <w:rsid w:val="43BCC6FD"/>
    <w:rsid w:val="43BF392F"/>
    <w:rsid w:val="43C4AB99"/>
    <w:rsid w:val="43C60476"/>
    <w:rsid w:val="43C941DA"/>
    <w:rsid w:val="43CA97D7"/>
    <w:rsid w:val="43CB1F1C"/>
    <w:rsid w:val="43CD0E9C"/>
    <w:rsid w:val="43D18C5C"/>
    <w:rsid w:val="43DBCA0F"/>
    <w:rsid w:val="43DC7ED5"/>
    <w:rsid w:val="43E3CCCF"/>
    <w:rsid w:val="43E51F22"/>
    <w:rsid w:val="43E71113"/>
    <w:rsid w:val="43E93B7D"/>
    <w:rsid w:val="43E9F1FB"/>
    <w:rsid w:val="43EB5BD2"/>
    <w:rsid w:val="43F95EAA"/>
    <w:rsid w:val="43FDA259"/>
    <w:rsid w:val="44023F78"/>
    <w:rsid w:val="44086FC5"/>
    <w:rsid w:val="440A2855"/>
    <w:rsid w:val="440B6EEC"/>
    <w:rsid w:val="440C9444"/>
    <w:rsid w:val="441709F7"/>
    <w:rsid w:val="4417BAC6"/>
    <w:rsid w:val="44192A3B"/>
    <w:rsid w:val="441F1939"/>
    <w:rsid w:val="442069A9"/>
    <w:rsid w:val="442A7B74"/>
    <w:rsid w:val="442BF1CF"/>
    <w:rsid w:val="442C48C7"/>
    <w:rsid w:val="44337972"/>
    <w:rsid w:val="44359FDE"/>
    <w:rsid w:val="4447A2DE"/>
    <w:rsid w:val="44480212"/>
    <w:rsid w:val="4448AA10"/>
    <w:rsid w:val="445183D2"/>
    <w:rsid w:val="44546B0F"/>
    <w:rsid w:val="44580023"/>
    <w:rsid w:val="446B8FF7"/>
    <w:rsid w:val="446DAD7E"/>
    <w:rsid w:val="44707A96"/>
    <w:rsid w:val="4475AF5F"/>
    <w:rsid w:val="4479A7A8"/>
    <w:rsid w:val="447BAB02"/>
    <w:rsid w:val="447D59B3"/>
    <w:rsid w:val="447E1247"/>
    <w:rsid w:val="447E49D2"/>
    <w:rsid w:val="44829B7E"/>
    <w:rsid w:val="4485A2F8"/>
    <w:rsid w:val="4485C309"/>
    <w:rsid w:val="4487F392"/>
    <w:rsid w:val="448AD54C"/>
    <w:rsid w:val="448DB499"/>
    <w:rsid w:val="448E6FE0"/>
    <w:rsid w:val="448F6C94"/>
    <w:rsid w:val="4491C15F"/>
    <w:rsid w:val="4493F1AC"/>
    <w:rsid w:val="449640EA"/>
    <w:rsid w:val="4497678C"/>
    <w:rsid w:val="449B57BA"/>
    <w:rsid w:val="44A1D33A"/>
    <w:rsid w:val="44A2E22C"/>
    <w:rsid w:val="44AE82FB"/>
    <w:rsid w:val="44B2C7A5"/>
    <w:rsid w:val="44B68182"/>
    <w:rsid w:val="44B88048"/>
    <w:rsid w:val="44C24730"/>
    <w:rsid w:val="44C62C61"/>
    <w:rsid w:val="44C81AA0"/>
    <w:rsid w:val="44C83491"/>
    <w:rsid w:val="44CEDBAF"/>
    <w:rsid w:val="44D51E85"/>
    <w:rsid w:val="44D6069D"/>
    <w:rsid w:val="44DB8BA0"/>
    <w:rsid w:val="44DF1A58"/>
    <w:rsid w:val="44E7B6F2"/>
    <w:rsid w:val="44EA432E"/>
    <w:rsid w:val="44F2AB60"/>
    <w:rsid w:val="44F3BBBB"/>
    <w:rsid w:val="44F5EF39"/>
    <w:rsid w:val="44FCF53E"/>
    <w:rsid w:val="44FDF05F"/>
    <w:rsid w:val="450B157F"/>
    <w:rsid w:val="450D1FD0"/>
    <w:rsid w:val="451537B2"/>
    <w:rsid w:val="45160E8C"/>
    <w:rsid w:val="45197996"/>
    <w:rsid w:val="451EAD29"/>
    <w:rsid w:val="452D05F2"/>
    <w:rsid w:val="4530641B"/>
    <w:rsid w:val="45322E3C"/>
    <w:rsid w:val="45333F47"/>
    <w:rsid w:val="4533518A"/>
    <w:rsid w:val="4536E981"/>
    <w:rsid w:val="4537148D"/>
    <w:rsid w:val="4537DE29"/>
    <w:rsid w:val="45418A15"/>
    <w:rsid w:val="454AE3E2"/>
    <w:rsid w:val="454AE715"/>
    <w:rsid w:val="45511A1D"/>
    <w:rsid w:val="4554A2AB"/>
    <w:rsid w:val="4556B236"/>
    <w:rsid w:val="455C31DD"/>
    <w:rsid w:val="455EE63B"/>
    <w:rsid w:val="45607E0A"/>
    <w:rsid w:val="4564BC83"/>
    <w:rsid w:val="456601B1"/>
    <w:rsid w:val="4569335A"/>
    <w:rsid w:val="456CA7F9"/>
    <w:rsid w:val="456D671E"/>
    <w:rsid w:val="456DC587"/>
    <w:rsid w:val="4571CCBE"/>
    <w:rsid w:val="45724F2A"/>
    <w:rsid w:val="4577691C"/>
    <w:rsid w:val="4577728E"/>
    <w:rsid w:val="4578EC13"/>
    <w:rsid w:val="457902D9"/>
    <w:rsid w:val="457C3BA1"/>
    <w:rsid w:val="458BCA39"/>
    <w:rsid w:val="458F6C90"/>
    <w:rsid w:val="4591C13E"/>
    <w:rsid w:val="4591C2E9"/>
    <w:rsid w:val="4592DF03"/>
    <w:rsid w:val="4597F4F0"/>
    <w:rsid w:val="4598C006"/>
    <w:rsid w:val="459941E9"/>
    <w:rsid w:val="459B12AC"/>
    <w:rsid w:val="459DBD96"/>
    <w:rsid w:val="45A1F2AD"/>
    <w:rsid w:val="45A349E7"/>
    <w:rsid w:val="45A71E21"/>
    <w:rsid w:val="45AA8FA6"/>
    <w:rsid w:val="45AC9CEE"/>
    <w:rsid w:val="45AF046A"/>
    <w:rsid w:val="45B2985B"/>
    <w:rsid w:val="45B2B19F"/>
    <w:rsid w:val="45B7D7EE"/>
    <w:rsid w:val="45BB5F15"/>
    <w:rsid w:val="45BCD55F"/>
    <w:rsid w:val="45BE3BE3"/>
    <w:rsid w:val="45BE9265"/>
    <w:rsid w:val="45C281A8"/>
    <w:rsid w:val="45C51B3F"/>
    <w:rsid w:val="45CD5139"/>
    <w:rsid w:val="45CD739F"/>
    <w:rsid w:val="45D24DE0"/>
    <w:rsid w:val="45D6DE57"/>
    <w:rsid w:val="45D92F97"/>
    <w:rsid w:val="45DDA160"/>
    <w:rsid w:val="45DFD957"/>
    <w:rsid w:val="45E49F2B"/>
    <w:rsid w:val="45E9C9C1"/>
    <w:rsid w:val="45EB04E0"/>
    <w:rsid w:val="45EB3BA0"/>
    <w:rsid w:val="45EBB95C"/>
    <w:rsid w:val="45F0CA40"/>
    <w:rsid w:val="45F4510C"/>
    <w:rsid w:val="45F8C8BD"/>
    <w:rsid w:val="45F96F71"/>
    <w:rsid w:val="45FBF4A5"/>
    <w:rsid w:val="45FD8159"/>
    <w:rsid w:val="45FE56C2"/>
    <w:rsid w:val="45FE7505"/>
    <w:rsid w:val="45FEFA9E"/>
    <w:rsid w:val="4603240E"/>
    <w:rsid w:val="4604F124"/>
    <w:rsid w:val="46063344"/>
    <w:rsid w:val="4606F342"/>
    <w:rsid w:val="460F26CB"/>
    <w:rsid w:val="4612C744"/>
    <w:rsid w:val="4615A564"/>
    <w:rsid w:val="461AE86B"/>
    <w:rsid w:val="461ECBDF"/>
    <w:rsid w:val="46241D4F"/>
    <w:rsid w:val="462D752D"/>
    <w:rsid w:val="462D84CA"/>
    <w:rsid w:val="4631212B"/>
    <w:rsid w:val="4633C58D"/>
    <w:rsid w:val="4635559E"/>
    <w:rsid w:val="463D25D2"/>
    <w:rsid w:val="463D60AF"/>
    <w:rsid w:val="463F5ADC"/>
    <w:rsid w:val="46404EDB"/>
    <w:rsid w:val="46424637"/>
    <w:rsid w:val="4644A9B6"/>
    <w:rsid w:val="4647AE90"/>
    <w:rsid w:val="4649948E"/>
    <w:rsid w:val="464B6558"/>
    <w:rsid w:val="464BA6C5"/>
    <w:rsid w:val="4651B084"/>
    <w:rsid w:val="4653A300"/>
    <w:rsid w:val="465A5076"/>
    <w:rsid w:val="465E7824"/>
    <w:rsid w:val="465ECEAF"/>
    <w:rsid w:val="4662F0C1"/>
    <w:rsid w:val="4663E431"/>
    <w:rsid w:val="4666D8A6"/>
    <w:rsid w:val="466A1D4C"/>
    <w:rsid w:val="466A9290"/>
    <w:rsid w:val="466AA1DC"/>
    <w:rsid w:val="466BBF26"/>
    <w:rsid w:val="4671E0B2"/>
    <w:rsid w:val="467339C5"/>
    <w:rsid w:val="4673C0FE"/>
    <w:rsid w:val="46755EA7"/>
    <w:rsid w:val="467955CC"/>
    <w:rsid w:val="467D9E7D"/>
    <w:rsid w:val="467DAA5C"/>
    <w:rsid w:val="4680B96A"/>
    <w:rsid w:val="468994E2"/>
    <w:rsid w:val="468B10DB"/>
    <w:rsid w:val="4699BBEB"/>
    <w:rsid w:val="469D38C5"/>
    <w:rsid w:val="46A4A9EC"/>
    <w:rsid w:val="46A55DAE"/>
    <w:rsid w:val="46A62EB7"/>
    <w:rsid w:val="46AB135F"/>
    <w:rsid w:val="46AB43E6"/>
    <w:rsid w:val="46B31C0C"/>
    <w:rsid w:val="46B56CC3"/>
    <w:rsid w:val="46B7EE00"/>
    <w:rsid w:val="46BBE4C1"/>
    <w:rsid w:val="46C19F20"/>
    <w:rsid w:val="46C2AD80"/>
    <w:rsid w:val="46CB5177"/>
    <w:rsid w:val="46D2EA8C"/>
    <w:rsid w:val="46D33EB1"/>
    <w:rsid w:val="46D4D386"/>
    <w:rsid w:val="46D73321"/>
    <w:rsid w:val="46D887E1"/>
    <w:rsid w:val="46E051C1"/>
    <w:rsid w:val="46E1D522"/>
    <w:rsid w:val="46EC097D"/>
    <w:rsid w:val="46EE83A7"/>
    <w:rsid w:val="46F6876C"/>
    <w:rsid w:val="46FBC020"/>
    <w:rsid w:val="47095DE1"/>
    <w:rsid w:val="470A6C89"/>
    <w:rsid w:val="4710B123"/>
    <w:rsid w:val="47141E57"/>
    <w:rsid w:val="47148605"/>
    <w:rsid w:val="47167540"/>
    <w:rsid w:val="471860B6"/>
    <w:rsid w:val="471B282D"/>
    <w:rsid w:val="471BCCC0"/>
    <w:rsid w:val="471D2305"/>
    <w:rsid w:val="471DE453"/>
    <w:rsid w:val="4724B825"/>
    <w:rsid w:val="472562F4"/>
    <w:rsid w:val="472BEDE0"/>
    <w:rsid w:val="472D75D8"/>
    <w:rsid w:val="47313060"/>
    <w:rsid w:val="473333F8"/>
    <w:rsid w:val="47348B83"/>
    <w:rsid w:val="473EE2F7"/>
    <w:rsid w:val="47406363"/>
    <w:rsid w:val="47410387"/>
    <w:rsid w:val="47445D2D"/>
    <w:rsid w:val="474A37B5"/>
    <w:rsid w:val="474EF919"/>
    <w:rsid w:val="4757A057"/>
    <w:rsid w:val="4766B153"/>
    <w:rsid w:val="476AF669"/>
    <w:rsid w:val="4776897B"/>
    <w:rsid w:val="47799FE4"/>
    <w:rsid w:val="4779A1F7"/>
    <w:rsid w:val="477A3BAD"/>
    <w:rsid w:val="477C5653"/>
    <w:rsid w:val="477E28D2"/>
    <w:rsid w:val="477F37B5"/>
    <w:rsid w:val="477FF844"/>
    <w:rsid w:val="47809D90"/>
    <w:rsid w:val="47846A8A"/>
    <w:rsid w:val="478AF149"/>
    <w:rsid w:val="478D9783"/>
    <w:rsid w:val="4793B449"/>
    <w:rsid w:val="47946658"/>
    <w:rsid w:val="4794A5AA"/>
    <w:rsid w:val="47976C71"/>
    <w:rsid w:val="479845A3"/>
    <w:rsid w:val="4798E0DF"/>
    <w:rsid w:val="4798E849"/>
    <w:rsid w:val="479B98D5"/>
    <w:rsid w:val="479BCE1E"/>
    <w:rsid w:val="47A14D9F"/>
    <w:rsid w:val="47A59F18"/>
    <w:rsid w:val="47AAD257"/>
    <w:rsid w:val="47AD7230"/>
    <w:rsid w:val="47AED31A"/>
    <w:rsid w:val="47B01F89"/>
    <w:rsid w:val="47B1B4DA"/>
    <w:rsid w:val="47B24EFF"/>
    <w:rsid w:val="47BD89E2"/>
    <w:rsid w:val="47BF6508"/>
    <w:rsid w:val="47C3BA45"/>
    <w:rsid w:val="47CB2456"/>
    <w:rsid w:val="47D0CF96"/>
    <w:rsid w:val="47D486C4"/>
    <w:rsid w:val="47D69CEE"/>
    <w:rsid w:val="47D766E3"/>
    <w:rsid w:val="47D77E0A"/>
    <w:rsid w:val="47D93776"/>
    <w:rsid w:val="47DA3F7F"/>
    <w:rsid w:val="47DA61DA"/>
    <w:rsid w:val="47DB081E"/>
    <w:rsid w:val="47DC0F72"/>
    <w:rsid w:val="47DE5381"/>
    <w:rsid w:val="47DF681D"/>
    <w:rsid w:val="47E0B08F"/>
    <w:rsid w:val="47E19B3A"/>
    <w:rsid w:val="47E1DFD8"/>
    <w:rsid w:val="47E9AC83"/>
    <w:rsid w:val="47F0C730"/>
    <w:rsid w:val="47F5CF57"/>
    <w:rsid w:val="47F69741"/>
    <w:rsid w:val="47FDD1E0"/>
    <w:rsid w:val="48071F34"/>
    <w:rsid w:val="480827D9"/>
    <w:rsid w:val="480AC4DD"/>
    <w:rsid w:val="481361BE"/>
    <w:rsid w:val="4814E32E"/>
    <w:rsid w:val="48188C46"/>
    <w:rsid w:val="481E27C2"/>
    <w:rsid w:val="481ECB98"/>
    <w:rsid w:val="481EFDD7"/>
    <w:rsid w:val="4824B85B"/>
    <w:rsid w:val="4825204C"/>
    <w:rsid w:val="4826160D"/>
    <w:rsid w:val="4828B398"/>
    <w:rsid w:val="482A7F9F"/>
    <w:rsid w:val="482D9CB2"/>
    <w:rsid w:val="48304D47"/>
    <w:rsid w:val="4835C7FA"/>
    <w:rsid w:val="483A3F00"/>
    <w:rsid w:val="483F6607"/>
    <w:rsid w:val="4844A755"/>
    <w:rsid w:val="485384AA"/>
    <w:rsid w:val="48585A61"/>
    <w:rsid w:val="485DD5BB"/>
    <w:rsid w:val="485F3D83"/>
    <w:rsid w:val="4870E542"/>
    <w:rsid w:val="487BAA6B"/>
    <w:rsid w:val="487F5EFD"/>
    <w:rsid w:val="488CD59B"/>
    <w:rsid w:val="488DE0E0"/>
    <w:rsid w:val="4899AD0B"/>
    <w:rsid w:val="4899B3CF"/>
    <w:rsid w:val="489A2DD9"/>
    <w:rsid w:val="489F8611"/>
    <w:rsid w:val="48A03676"/>
    <w:rsid w:val="48A065EF"/>
    <w:rsid w:val="48A0EC6E"/>
    <w:rsid w:val="48A5FAD2"/>
    <w:rsid w:val="48A87107"/>
    <w:rsid w:val="48A8E28C"/>
    <w:rsid w:val="48AE37FB"/>
    <w:rsid w:val="48BDFF2B"/>
    <w:rsid w:val="48C7D3C1"/>
    <w:rsid w:val="48CC696C"/>
    <w:rsid w:val="48D0BB2E"/>
    <w:rsid w:val="48D883B6"/>
    <w:rsid w:val="48D8BACE"/>
    <w:rsid w:val="48DA4076"/>
    <w:rsid w:val="48DFA015"/>
    <w:rsid w:val="48E0402B"/>
    <w:rsid w:val="48E0BAF8"/>
    <w:rsid w:val="48E1FA3B"/>
    <w:rsid w:val="48E40D75"/>
    <w:rsid w:val="48E649C1"/>
    <w:rsid w:val="48E6524D"/>
    <w:rsid w:val="48E6CBB1"/>
    <w:rsid w:val="48EC1081"/>
    <w:rsid w:val="48EF810B"/>
    <w:rsid w:val="48F05853"/>
    <w:rsid w:val="48F5B164"/>
    <w:rsid w:val="48FB9D37"/>
    <w:rsid w:val="49016CFD"/>
    <w:rsid w:val="49025528"/>
    <w:rsid w:val="49034518"/>
    <w:rsid w:val="49034888"/>
    <w:rsid w:val="490931AB"/>
    <w:rsid w:val="490BEDF5"/>
    <w:rsid w:val="4912DEA9"/>
    <w:rsid w:val="49144421"/>
    <w:rsid w:val="491B3EEA"/>
    <w:rsid w:val="491B5F7E"/>
    <w:rsid w:val="491BEA8D"/>
    <w:rsid w:val="492A4919"/>
    <w:rsid w:val="492CBA63"/>
    <w:rsid w:val="492F3143"/>
    <w:rsid w:val="4931C698"/>
    <w:rsid w:val="49344484"/>
    <w:rsid w:val="4938E720"/>
    <w:rsid w:val="49391243"/>
    <w:rsid w:val="493D955D"/>
    <w:rsid w:val="493F47A0"/>
    <w:rsid w:val="4943B43D"/>
    <w:rsid w:val="4944D9A9"/>
    <w:rsid w:val="494534FC"/>
    <w:rsid w:val="494C6382"/>
    <w:rsid w:val="494C7AFB"/>
    <w:rsid w:val="494DD2D4"/>
    <w:rsid w:val="494F0888"/>
    <w:rsid w:val="4955086F"/>
    <w:rsid w:val="4955633C"/>
    <w:rsid w:val="4955AEB7"/>
    <w:rsid w:val="49565E65"/>
    <w:rsid w:val="495F175C"/>
    <w:rsid w:val="495F4B90"/>
    <w:rsid w:val="4968AF2E"/>
    <w:rsid w:val="496A1F2F"/>
    <w:rsid w:val="496C1E9B"/>
    <w:rsid w:val="49760A86"/>
    <w:rsid w:val="497A267A"/>
    <w:rsid w:val="497A63CE"/>
    <w:rsid w:val="497A64E5"/>
    <w:rsid w:val="497C1DEF"/>
    <w:rsid w:val="497E8AB6"/>
    <w:rsid w:val="498411A2"/>
    <w:rsid w:val="4986623A"/>
    <w:rsid w:val="4986D204"/>
    <w:rsid w:val="4989543F"/>
    <w:rsid w:val="498AF573"/>
    <w:rsid w:val="498AFCD4"/>
    <w:rsid w:val="498B74A9"/>
    <w:rsid w:val="498D29D2"/>
    <w:rsid w:val="498E3653"/>
    <w:rsid w:val="4991FFED"/>
    <w:rsid w:val="4993F5DD"/>
    <w:rsid w:val="4996077C"/>
    <w:rsid w:val="499FFEDA"/>
    <w:rsid w:val="49A51FDD"/>
    <w:rsid w:val="49AA0FF2"/>
    <w:rsid w:val="49AADC7A"/>
    <w:rsid w:val="49B158E7"/>
    <w:rsid w:val="49B1F0CE"/>
    <w:rsid w:val="49B30363"/>
    <w:rsid w:val="49B5568F"/>
    <w:rsid w:val="49B898FE"/>
    <w:rsid w:val="49B8C9B0"/>
    <w:rsid w:val="49BADC90"/>
    <w:rsid w:val="49BEAD18"/>
    <w:rsid w:val="49BFFEC6"/>
    <w:rsid w:val="49C126BF"/>
    <w:rsid w:val="49C271B7"/>
    <w:rsid w:val="49C5F649"/>
    <w:rsid w:val="49D06B17"/>
    <w:rsid w:val="49D22EF7"/>
    <w:rsid w:val="49D67EF2"/>
    <w:rsid w:val="49D85841"/>
    <w:rsid w:val="49F4126D"/>
    <w:rsid w:val="49F458DF"/>
    <w:rsid w:val="49FFC126"/>
    <w:rsid w:val="4A01F32D"/>
    <w:rsid w:val="4A069E8B"/>
    <w:rsid w:val="4A092111"/>
    <w:rsid w:val="4A0932CF"/>
    <w:rsid w:val="4A0CA6A9"/>
    <w:rsid w:val="4A0D4E6B"/>
    <w:rsid w:val="4A0F08CF"/>
    <w:rsid w:val="4A0F5D68"/>
    <w:rsid w:val="4A14AB51"/>
    <w:rsid w:val="4A177FB3"/>
    <w:rsid w:val="4A189F35"/>
    <w:rsid w:val="4A18D135"/>
    <w:rsid w:val="4A192A65"/>
    <w:rsid w:val="4A195450"/>
    <w:rsid w:val="4A1B7303"/>
    <w:rsid w:val="4A1BF9FF"/>
    <w:rsid w:val="4A243FB5"/>
    <w:rsid w:val="4A2FD6EE"/>
    <w:rsid w:val="4A4332AA"/>
    <w:rsid w:val="4A45F677"/>
    <w:rsid w:val="4A48A006"/>
    <w:rsid w:val="4A4BBF86"/>
    <w:rsid w:val="4A4E4548"/>
    <w:rsid w:val="4A4F6C17"/>
    <w:rsid w:val="4A505FE3"/>
    <w:rsid w:val="4A510CF0"/>
    <w:rsid w:val="4A513EA2"/>
    <w:rsid w:val="4A51FB93"/>
    <w:rsid w:val="4A541175"/>
    <w:rsid w:val="4A566D84"/>
    <w:rsid w:val="4A5808F3"/>
    <w:rsid w:val="4A5A020E"/>
    <w:rsid w:val="4A63CFA8"/>
    <w:rsid w:val="4A65B333"/>
    <w:rsid w:val="4A68B456"/>
    <w:rsid w:val="4A6C2B44"/>
    <w:rsid w:val="4A73B716"/>
    <w:rsid w:val="4A770A68"/>
    <w:rsid w:val="4A7A41D2"/>
    <w:rsid w:val="4A7DF1A0"/>
    <w:rsid w:val="4A80CB51"/>
    <w:rsid w:val="4A853356"/>
    <w:rsid w:val="4A901D3F"/>
    <w:rsid w:val="4A906036"/>
    <w:rsid w:val="4A937434"/>
    <w:rsid w:val="4A94C1C8"/>
    <w:rsid w:val="4A950D09"/>
    <w:rsid w:val="4A95CE84"/>
    <w:rsid w:val="4A963271"/>
    <w:rsid w:val="4A9B36E3"/>
    <w:rsid w:val="4A9C9AE3"/>
    <w:rsid w:val="4AA70EAE"/>
    <w:rsid w:val="4AA7766B"/>
    <w:rsid w:val="4AAAD00F"/>
    <w:rsid w:val="4AAAE056"/>
    <w:rsid w:val="4AACD2C1"/>
    <w:rsid w:val="4AB08AC0"/>
    <w:rsid w:val="4ABA4B55"/>
    <w:rsid w:val="4AC162C9"/>
    <w:rsid w:val="4AC47FF6"/>
    <w:rsid w:val="4AC6AF28"/>
    <w:rsid w:val="4AC6E79F"/>
    <w:rsid w:val="4AC9B294"/>
    <w:rsid w:val="4ACE4619"/>
    <w:rsid w:val="4AD736E6"/>
    <w:rsid w:val="4ADF37E3"/>
    <w:rsid w:val="4ADFF0A9"/>
    <w:rsid w:val="4AE2A5EA"/>
    <w:rsid w:val="4AE4ABEC"/>
    <w:rsid w:val="4AE84465"/>
    <w:rsid w:val="4AE8B53A"/>
    <w:rsid w:val="4AEB2DF0"/>
    <w:rsid w:val="4AEC58B3"/>
    <w:rsid w:val="4AEFF3D9"/>
    <w:rsid w:val="4AF0873A"/>
    <w:rsid w:val="4AF5FA1E"/>
    <w:rsid w:val="4AF91F78"/>
    <w:rsid w:val="4AFC6288"/>
    <w:rsid w:val="4AFD0F99"/>
    <w:rsid w:val="4B034CAC"/>
    <w:rsid w:val="4B063091"/>
    <w:rsid w:val="4B0A9098"/>
    <w:rsid w:val="4B12B273"/>
    <w:rsid w:val="4B139294"/>
    <w:rsid w:val="4B1E8876"/>
    <w:rsid w:val="4B1EA112"/>
    <w:rsid w:val="4B21833A"/>
    <w:rsid w:val="4B230EA7"/>
    <w:rsid w:val="4B29BE56"/>
    <w:rsid w:val="4B2A9AB6"/>
    <w:rsid w:val="4B2D3975"/>
    <w:rsid w:val="4B2E4247"/>
    <w:rsid w:val="4B38AE9C"/>
    <w:rsid w:val="4B434DDB"/>
    <w:rsid w:val="4B4D125B"/>
    <w:rsid w:val="4B53BFF1"/>
    <w:rsid w:val="4B56BEA8"/>
    <w:rsid w:val="4B57B23D"/>
    <w:rsid w:val="4B59C75E"/>
    <w:rsid w:val="4B603B36"/>
    <w:rsid w:val="4B613D5D"/>
    <w:rsid w:val="4B62051E"/>
    <w:rsid w:val="4B62A682"/>
    <w:rsid w:val="4B647C5E"/>
    <w:rsid w:val="4B686FD7"/>
    <w:rsid w:val="4B6995D4"/>
    <w:rsid w:val="4B77B5AA"/>
    <w:rsid w:val="4B7999A0"/>
    <w:rsid w:val="4B7A9182"/>
    <w:rsid w:val="4B7C9936"/>
    <w:rsid w:val="4B7F50E0"/>
    <w:rsid w:val="4B840037"/>
    <w:rsid w:val="4B866F97"/>
    <w:rsid w:val="4B8E9066"/>
    <w:rsid w:val="4B92D327"/>
    <w:rsid w:val="4B9DA369"/>
    <w:rsid w:val="4BA1CA1F"/>
    <w:rsid w:val="4BA9C1A3"/>
    <w:rsid w:val="4BAA0087"/>
    <w:rsid w:val="4BB57058"/>
    <w:rsid w:val="4BB8AB3E"/>
    <w:rsid w:val="4BBA0968"/>
    <w:rsid w:val="4BBC2B2B"/>
    <w:rsid w:val="4BBE6C97"/>
    <w:rsid w:val="4BCAFAF3"/>
    <w:rsid w:val="4BCF36ED"/>
    <w:rsid w:val="4BD11B6F"/>
    <w:rsid w:val="4BD27D72"/>
    <w:rsid w:val="4BD9F016"/>
    <w:rsid w:val="4BDB2795"/>
    <w:rsid w:val="4BE8172A"/>
    <w:rsid w:val="4BED4050"/>
    <w:rsid w:val="4BF23C40"/>
    <w:rsid w:val="4BF6DFAE"/>
    <w:rsid w:val="4BF79B5A"/>
    <w:rsid w:val="4BFA94F5"/>
    <w:rsid w:val="4BFC1B91"/>
    <w:rsid w:val="4C0233D1"/>
    <w:rsid w:val="4C024B62"/>
    <w:rsid w:val="4C071EB7"/>
    <w:rsid w:val="4C097DD8"/>
    <w:rsid w:val="4C0D516F"/>
    <w:rsid w:val="4C0F0ACA"/>
    <w:rsid w:val="4C0F7434"/>
    <w:rsid w:val="4C109A4C"/>
    <w:rsid w:val="4C168C62"/>
    <w:rsid w:val="4C16DC27"/>
    <w:rsid w:val="4C1FFAF2"/>
    <w:rsid w:val="4C24530E"/>
    <w:rsid w:val="4C275C3A"/>
    <w:rsid w:val="4C2C0927"/>
    <w:rsid w:val="4C2E28F1"/>
    <w:rsid w:val="4C3CAAEA"/>
    <w:rsid w:val="4C3E81D7"/>
    <w:rsid w:val="4C43E224"/>
    <w:rsid w:val="4C466F7A"/>
    <w:rsid w:val="4C47FAE4"/>
    <w:rsid w:val="4C485197"/>
    <w:rsid w:val="4C526099"/>
    <w:rsid w:val="4C5C293F"/>
    <w:rsid w:val="4C6779F6"/>
    <w:rsid w:val="4C6B2312"/>
    <w:rsid w:val="4C6BFB15"/>
    <w:rsid w:val="4C725E47"/>
    <w:rsid w:val="4C75968F"/>
    <w:rsid w:val="4C7C2A0E"/>
    <w:rsid w:val="4C819820"/>
    <w:rsid w:val="4C81A69E"/>
    <w:rsid w:val="4C869AF8"/>
    <w:rsid w:val="4C86A27D"/>
    <w:rsid w:val="4C8BF15F"/>
    <w:rsid w:val="4C8DB93C"/>
    <w:rsid w:val="4C8E256D"/>
    <w:rsid w:val="4C8E2924"/>
    <w:rsid w:val="4C91CA7F"/>
    <w:rsid w:val="4C924A0D"/>
    <w:rsid w:val="4C9282A1"/>
    <w:rsid w:val="4C92EBB3"/>
    <w:rsid w:val="4C980985"/>
    <w:rsid w:val="4C9E3BC5"/>
    <w:rsid w:val="4CA10A5E"/>
    <w:rsid w:val="4CA292EF"/>
    <w:rsid w:val="4CA2C982"/>
    <w:rsid w:val="4CAC726E"/>
    <w:rsid w:val="4CADF42E"/>
    <w:rsid w:val="4CAF829F"/>
    <w:rsid w:val="4CB47751"/>
    <w:rsid w:val="4CBAE55A"/>
    <w:rsid w:val="4CC42E46"/>
    <w:rsid w:val="4CC6CB4E"/>
    <w:rsid w:val="4CCD24E6"/>
    <w:rsid w:val="4CD1C024"/>
    <w:rsid w:val="4CD29A0F"/>
    <w:rsid w:val="4CD47158"/>
    <w:rsid w:val="4CD6B2B0"/>
    <w:rsid w:val="4CD6FFFB"/>
    <w:rsid w:val="4CD77FC8"/>
    <w:rsid w:val="4CDEBB1C"/>
    <w:rsid w:val="4CDF4ABE"/>
    <w:rsid w:val="4CE425B5"/>
    <w:rsid w:val="4CE6DD73"/>
    <w:rsid w:val="4CEFDBDA"/>
    <w:rsid w:val="4CF14CF3"/>
    <w:rsid w:val="4CF21051"/>
    <w:rsid w:val="4CFDC16E"/>
    <w:rsid w:val="4CFE888E"/>
    <w:rsid w:val="4D03D0F4"/>
    <w:rsid w:val="4D0B75CF"/>
    <w:rsid w:val="4D0E95A2"/>
    <w:rsid w:val="4D0FBFA3"/>
    <w:rsid w:val="4D10C813"/>
    <w:rsid w:val="4D17BD2C"/>
    <w:rsid w:val="4D17D62C"/>
    <w:rsid w:val="4D193DD5"/>
    <w:rsid w:val="4D1C5129"/>
    <w:rsid w:val="4D25A63A"/>
    <w:rsid w:val="4D29070D"/>
    <w:rsid w:val="4D35D20B"/>
    <w:rsid w:val="4D378C85"/>
    <w:rsid w:val="4D38B357"/>
    <w:rsid w:val="4D39673B"/>
    <w:rsid w:val="4D3BBEE2"/>
    <w:rsid w:val="4D403C74"/>
    <w:rsid w:val="4D40A5D7"/>
    <w:rsid w:val="4D463319"/>
    <w:rsid w:val="4D4A3F3C"/>
    <w:rsid w:val="4D4EA355"/>
    <w:rsid w:val="4D4FB1EF"/>
    <w:rsid w:val="4D506E70"/>
    <w:rsid w:val="4D5B9196"/>
    <w:rsid w:val="4D5BE077"/>
    <w:rsid w:val="4D61BF51"/>
    <w:rsid w:val="4D63597F"/>
    <w:rsid w:val="4D638A75"/>
    <w:rsid w:val="4D63F732"/>
    <w:rsid w:val="4D66B62B"/>
    <w:rsid w:val="4D69D1ED"/>
    <w:rsid w:val="4D6C7F45"/>
    <w:rsid w:val="4D72CABC"/>
    <w:rsid w:val="4D73D37B"/>
    <w:rsid w:val="4D7A6BAD"/>
    <w:rsid w:val="4D7AF843"/>
    <w:rsid w:val="4D7DD4F8"/>
    <w:rsid w:val="4D7ED98F"/>
    <w:rsid w:val="4D803639"/>
    <w:rsid w:val="4D80921E"/>
    <w:rsid w:val="4D8584DC"/>
    <w:rsid w:val="4D872925"/>
    <w:rsid w:val="4D925493"/>
    <w:rsid w:val="4D945F30"/>
    <w:rsid w:val="4D965044"/>
    <w:rsid w:val="4D9AC566"/>
    <w:rsid w:val="4DA1ED82"/>
    <w:rsid w:val="4DA490EC"/>
    <w:rsid w:val="4DAAD65D"/>
    <w:rsid w:val="4DACEA0D"/>
    <w:rsid w:val="4DAD080F"/>
    <w:rsid w:val="4DAD3A1E"/>
    <w:rsid w:val="4DB20A41"/>
    <w:rsid w:val="4DB3B942"/>
    <w:rsid w:val="4DB8DE32"/>
    <w:rsid w:val="4DC705FA"/>
    <w:rsid w:val="4DC90368"/>
    <w:rsid w:val="4DC9B8AA"/>
    <w:rsid w:val="4DCA0D93"/>
    <w:rsid w:val="4DD3B793"/>
    <w:rsid w:val="4DD5B235"/>
    <w:rsid w:val="4DD9E714"/>
    <w:rsid w:val="4DDB0ED5"/>
    <w:rsid w:val="4DEAC588"/>
    <w:rsid w:val="4DF4A6C0"/>
    <w:rsid w:val="4DF50FFB"/>
    <w:rsid w:val="4DF60383"/>
    <w:rsid w:val="4E049761"/>
    <w:rsid w:val="4E0DB30E"/>
    <w:rsid w:val="4E0F1105"/>
    <w:rsid w:val="4E15D93D"/>
    <w:rsid w:val="4E1EEBD9"/>
    <w:rsid w:val="4E23398D"/>
    <w:rsid w:val="4E29BDF3"/>
    <w:rsid w:val="4E353144"/>
    <w:rsid w:val="4E393E46"/>
    <w:rsid w:val="4E39F9BC"/>
    <w:rsid w:val="4E3C26ED"/>
    <w:rsid w:val="4E421365"/>
    <w:rsid w:val="4E426648"/>
    <w:rsid w:val="4E43A611"/>
    <w:rsid w:val="4E44E566"/>
    <w:rsid w:val="4E4873FE"/>
    <w:rsid w:val="4E4B3BAF"/>
    <w:rsid w:val="4E4C3CCB"/>
    <w:rsid w:val="4E53BDE1"/>
    <w:rsid w:val="4E588A0B"/>
    <w:rsid w:val="4E59A117"/>
    <w:rsid w:val="4E5F9A2F"/>
    <w:rsid w:val="4E60769E"/>
    <w:rsid w:val="4E62DDF6"/>
    <w:rsid w:val="4E65F221"/>
    <w:rsid w:val="4E68247F"/>
    <w:rsid w:val="4E684DA6"/>
    <w:rsid w:val="4E6A52BB"/>
    <w:rsid w:val="4E6EE8D6"/>
    <w:rsid w:val="4E6F3533"/>
    <w:rsid w:val="4E70BCB2"/>
    <w:rsid w:val="4E70EC4F"/>
    <w:rsid w:val="4E71889E"/>
    <w:rsid w:val="4E79C32B"/>
    <w:rsid w:val="4E7ADBF3"/>
    <w:rsid w:val="4E81A55A"/>
    <w:rsid w:val="4E83F388"/>
    <w:rsid w:val="4E84069E"/>
    <w:rsid w:val="4E8A6F0A"/>
    <w:rsid w:val="4E8C1F7A"/>
    <w:rsid w:val="4E8CFC09"/>
    <w:rsid w:val="4E911CAE"/>
    <w:rsid w:val="4E92CFF9"/>
    <w:rsid w:val="4E9A3D07"/>
    <w:rsid w:val="4E9A57FB"/>
    <w:rsid w:val="4E9E5B6A"/>
    <w:rsid w:val="4EA60FC4"/>
    <w:rsid w:val="4EB2C9D9"/>
    <w:rsid w:val="4EB85462"/>
    <w:rsid w:val="4EBB489F"/>
    <w:rsid w:val="4EC7352E"/>
    <w:rsid w:val="4ECA15CE"/>
    <w:rsid w:val="4ECC1403"/>
    <w:rsid w:val="4ECE95BA"/>
    <w:rsid w:val="4ECF3D75"/>
    <w:rsid w:val="4ED739C3"/>
    <w:rsid w:val="4EDA93F3"/>
    <w:rsid w:val="4EE2A117"/>
    <w:rsid w:val="4EE43F92"/>
    <w:rsid w:val="4EE499DC"/>
    <w:rsid w:val="4EEF0A1E"/>
    <w:rsid w:val="4EF206A2"/>
    <w:rsid w:val="4EF24809"/>
    <w:rsid w:val="4EF2533F"/>
    <w:rsid w:val="4EF43792"/>
    <w:rsid w:val="4EF8581C"/>
    <w:rsid w:val="4EFB4260"/>
    <w:rsid w:val="4EFDFF07"/>
    <w:rsid w:val="4EFF66F2"/>
    <w:rsid w:val="4F030477"/>
    <w:rsid w:val="4F0A8A7D"/>
    <w:rsid w:val="4F0BD1AF"/>
    <w:rsid w:val="4F0D8468"/>
    <w:rsid w:val="4F0F2ED4"/>
    <w:rsid w:val="4F129251"/>
    <w:rsid w:val="4F15C3DC"/>
    <w:rsid w:val="4F15D263"/>
    <w:rsid w:val="4F16DD3B"/>
    <w:rsid w:val="4F173E86"/>
    <w:rsid w:val="4F19681A"/>
    <w:rsid w:val="4F1C08FB"/>
    <w:rsid w:val="4F1E4831"/>
    <w:rsid w:val="4F1F86DD"/>
    <w:rsid w:val="4F2631EC"/>
    <w:rsid w:val="4F28EB93"/>
    <w:rsid w:val="4F313A96"/>
    <w:rsid w:val="4F33CFB6"/>
    <w:rsid w:val="4F387FAF"/>
    <w:rsid w:val="4F4239EF"/>
    <w:rsid w:val="4F4331F7"/>
    <w:rsid w:val="4F495E79"/>
    <w:rsid w:val="4F504515"/>
    <w:rsid w:val="4F512993"/>
    <w:rsid w:val="4F51D0E3"/>
    <w:rsid w:val="4F56781F"/>
    <w:rsid w:val="4F572372"/>
    <w:rsid w:val="4F58249E"/>
    <w:rsid w:val="4F5A0AA6"/>
    <w:rsid w:val="4F5F2E6B"/>
    <w:rsid w:val="4F606EEB"/>
    <w:rsid w:val="4F62F8A8"/>
    <w:rsid w:val="4F65DDF4"/>
    <w:rsid w:val="4F740527"/>
    <w:rsid w:val="4F74E1BB"/>
    <w:rsid w:val="4F7C90E3"/>
    <w:rsid w:val="4F847794"/>
    <w:rsid w:val="4F8ACB62"/>
    <w:rsid w:val="4F8D0E97"/>
    <w:rsid w:val="4F8E13DC"/>
    <w:rsid w:val="4F951373"/>
    <w:rsid w:val="4F98B81F"/>
    <w:rsid w:val="4F98EB56"/>
    <w:rsid w:val="4F9994A4"/>
    <w:rsid w:val="4F9BD71F"/>
    <w:rsid w:val="4F9CE1C7"/>
    <w:rsid w:val="4FA2A551"/>
    <w:rsid w:val="4FAE36D9"/>
    <w:rsid w:val="4FB24D23"/>
    <w:rsid w:val="4FB68F88"/>
    <w:rsid w:val="4FC59012"/>
    <w:rsid w:val="4FCCF485"/>
    <w:rsid w:val="4FCD7C14"/>
    <w:rsid w:val="4FE35815"/>
    <w:rsid w:val="4FE3FADD"/>
    <w:rsid w:val="4FE652F9"/>
    <w:rsid w:val="4FED15DF"/>
    <w:rsid w:val="4FF1D37D"/>
    <w:rsid w:val="4FFA7608"/>
    <w:rsid w:val="4FFB3BCE"/>
    <w:rsid w:val="4FFC94AA"/>
    <w:rsid w:val="5000F965"/>
    <w:rsid w:val="50033BCE"/>
    <w:rsid w:val="50038B37"/>
    <w:rsid w:val="500A1AFF"/>
    <w:rsid w:val="500BCBFF"/>
    <w:rsid w:val="500CAE80"/>
    <w:rsid w:val="500CE482"/>
    <w:rsid w:val="500E8D8B"/>
    <w:rsid w:val="5012AD5E"/>
    <w:rsid w:val="5017EDFC"/>
    <w:rsid w:val="5018F725"/>
    <w:rsid w:val="501D1D48"/>
    <w:rsid w:val="501E153B"/>
    <w:rsid w:val="502082B6"/>
    <w:rsid w:val="5021084E"/>
    <w:rsid w:val="50214092"/>
    <w:rsid w:val="5021BC82"/>
    <w:rsid w:val="50226DC5"/>
    <w:rsid w:val="5025FF73"/>
    <w:rsid w:val="502729E7"/>
    <w:rsid w:val="50295B13"/>
    <w:rsid w:val="50296D5E"/>
    <w:rsid w:val="5030EB66"/>
    <w:rsid w:val="50317580"/>
    <w:rsid w:val="50325A75"/>
    <w:rsid w:val="50369688"/>
    <w:rsid w:val="5038052D"/>
    <w:rsid w:val="503A4943"/>
    <w:rsid w:val="50443203"/>
    <w:rsid w:val="5044CFD0"/>
    <w:rsid w:val="5044D747"/>
    <w:rsid w:val="50496615"/>
    <w:rsid w:val="50596C7B"/>
    <w:rsid w:val="505C21E3"/>
    <w:rsid w:val="505F43AB"/>
    <w:rsid w:val="5061FFCA"/>
    <w:rsid w:val="5062347F"/>
    <w:rsid w:val="506891BC"/>
    <w:rsid w:val="5069B495"/>
    <w:rsid w:val="506DE74C"/>
    <w:rsid w:val="50749237"/>
    <w:rsid w:val="5074994E"/>
    <w:rsid w:val="50766928"/>
    <w:rsid w:val="507CFB62"/>
    <w:rsid w:val="507E784F"/>
    <w:rsid w:val="507EA65E"/>
    <w:rsid w:val="50840CE4"/>
    <w:rsid w:val="5089785B"/>
    <w:rsid w:val="508A9AA2"/>
    <w:rsid w:val="508C48A2"/>
    <w:rsid w:val="508E500F"/>
    <w:rsid w:val="50926F3F"/>
    <w:rsid w:val="509505DE"/>
    <w:rsid w:val="509AC6B1"/>
    <w:rsid w:val="509F2171"/>
    <w:rsid w:val="509F4497"/>
    <w:rsid w:val="50A06D77"/>
    <w:rsid w:val="50A3DC65"/>
    <w:rsid w:val="50AA9250"/>
    <w:rsid w:val="50AB0F88"/>
    <w:rsid w:val="50AB42EA"/>
    <w:rsid w:val="50AF5591"/>
    <w:rsid w:val="50B175B1"/>
    <w:rsid w:val="50B50366"/>
    <w:rsid w:val="50B60DA2"/>
    <w:rsid w:val="50BA6497"/>
    <w:rsid w:val="50C1E89D"/>
    <w:rsid w:val="50C3836C"/>
    <w:rsid w:val="50C4D4D2"/>
    <w:rsid w:val="50CDC3FC"/>
    <w:rsid w:val="50CEDC91"/>
    <w:rsid w:val="50D06B4C"/>
    <w:rsid w:val="50D49170"/>
    <w:rsid w:val="50E2498B"/>
    <w:rsid w:val="50E7DDC0"/>
    <w:rsid w:val="50F145AD"/>
    <w:rsid w:val="50F8852C"/>
    <w:rsid w:val="50FBDBF9"/>
    <w:rsid w:val="50FC2D97"/>
    <w:rsid w:val="510087E2"/>
    <w:rsid w:val="5101747A"/>
    <w:rsid w:val="51029692"/>
    <w:rsid w:val="5109F039"/>
    <w:rsid w:val="510A2CA3"/>
    <w:rsid w:val="510F987B"/>
    <w:rsid w:val="5110217A"/>
    <w:rsid w:val="5117E399"/>
    <w:rsid w:val="51238621"/>
    <w:rsid w:val="5126830B"/>
    <w:rsid w:val="5128AC1C"/>
    <w:rsid w:val="5128E543"/>
    <w:rsid w:val="5129E6EA"/>
    <w:rsid w:val="512DD477"/>
    <w:rsid w:val="51311C58"/>
    <w:rsid w:val="51361182"/>
    <w:rsid w:val="5136FBB7"/>
    <w:rsid w:val="5137E114"/>
    <w:rsid w:val="51396F52"/>
    <w:rsid w:val="513AC6C9"/>
    <w:rsid w:val="513DC5AE"/>
    <w:rsid w:val="513DDB6A"/>
    <w:rsid w:val="514157E5"/>
    <w:rsid w:val="5142231D"/>
    <w:rsid w:val="5142C925"/>
    <w:rsid w:val="51448C52"/>
    <w:rsid w:val="5149FBDF"/>
    <w:rsid w:val="514BA486"/>
    <w:rsid w:val="514E8893"/>
    <w:rsid w:val="51526240"/>
    <w:rsid w:val="515EB3F0"/>
    <w:rsid w:val="516F1C44"/>
    <w:rsid w:val="51710502"/>
    <w:rsid w:val="517B8408"/>
    <w:rsid w:val="517EA057"/>
    <w:rsid w:val="5186A35B"/>
    <w:rsid w:val="518BC796"/>
    <w:rsid w:val="518EB644"/>
    <w:rsid w:val="51943788"/>
    <w:rsid w:val="5194D90A"/>
    <w:rsid w:val="5197CA2A"/>
    <w:rsid w:val="5198DB61"/>
    <w:rsid w:val="519A1685"/>
    <w:rsid w:val="51A24848"/>
    <w:rsid w:val="51A3030E"/>
    <w:rsid w:val="51AB02FE"/>
    <w:rsid w:val="51AC1735"/>
    <w:rsid w:val="51ACF01B"/>
    <w:rsid w:val="51AD1DDE"/>
    <w:rsid w:val="51AEEBE0"/>
    <w:rsid w:val="51B1F61F"/>
    <w:rsid w:val="51B23A73"/>
    <w:rsid w:val="51B2DA2E"/>
    <w:rsid w:val="51B654EC"/>
    <w:rsid w:val="51B709A4"/>
    <w:rsid w:val="51BD659B"/>
    <w:rsid w:val="51BE3675"/>
    <w:rsid w:val="51BEF840"/>
    <w:rsid w:val="51BF5BD3"/>
    <w:rsid w:val="51C355D7"/>
    <w:rsid w:val="51CDCE4A"/>
    <w:rsid w:val="51D24B99"/>
    <w:rsid w:val="51E063C1"/>
    <w:rsid w:val="51E1F2D9"/>
    <w:rsid w:val="51E25D68"/>
    <w:rsid w:val="51F0045D"/>
    <w:rsid w:val="51F45C35"/>
    <w:rsid w:val="51F556AE"/>
    <w:rsid w:val="51F67F7A"/>
    <w:rsid w:val="51F8F6CD"/>
    <w:rsid w:val="51FA0E63"/>
    <w:rsid w:val="51FB3995"/>
    <w:rsid w:val="51FCD5C8"/>
    <w:rsid w:val="51FD780A"/>
    <w:rsid w:val="520198DD"/>
    <w:rsid w:val="5201F9DB"/>
    <w:rsid w:val="5209FB18"/>
    <w:rsid w:val="520C55B2"/>
    <w:rsid w:val="5217A94A"/>
    <w:rsid w:val="52222747"/>
    <w:rsid w:val="52245FAB"/>
    <w:rsid w:val="522B63C2"/>
    <w:rsid w:val="522D01BF"/>
    <w:rsid w:val="522E8ACB"/>
    <w:rsid w:val="522F519A"/>
    <w:rsid w:val="52301D8C"/>
    <w:rsid w:val="5234916E"/>
    <w:rsid w:val="52357221"/>
    <w:rsid w:val="523B4D8D"/>
    <w:rsid w:val="523D8885"/>
    <w:rsid w:val="523D98EF"/>
    <w:rsid w:val="52403808"/>
    <w:rsid w:val="5240D910"/>
    <w:rsid w:val="5241044D"/>
    <w:rsid w:val="524199E6"/>
    <w:rsid w:val="5241F00D"/>
    <w:rsid w:val="524BF87A"/>
    <w:rsid w:val="524C8E3D"/>
    <w:rsid w:val="525786E7"/>
    <w:rsid w:val="52596895"/>
    <w:rsid w:val="525B0315"/>
    <w:rsid w:val="525DE2B3"/>
    <w:rsid w:val="52602C06"/>
    <w:rsid w:val="5263435C"/>
    <w:rsid w:val="5268F2D2"/>
    <w:rsid w:val="5273F4F1"/>
    <w:rsid w:val="5277159A"/>
    <w:rsid w:val="527FAD12"/>
    <w:rsid w:val="52860077"/>
    <w:rsid w:val="52870E7D"/>
    <w:rsid w:val="5289D02E"/>
    <w:rsid w:val="52921F67"/>
    <w:rsid w:val="529372E0"/>
    <w:rsid w:val="5294D845"/>
    <w:rsid w:val="5296B987"/>
    <w:rsid w:val="52970C14"/>
    <w:rsid w:val="529A4C6F"/>
    <w:rsid w:val="529BD14E"/>
    <w:rsid w:val="529CFF3D"/>
    <w:rsid w:val="52A39243"/>
    <w:rsid w:val="52A3FC0A"/>
    <w:rsid w:val="52A6A2BF"/>
    <w:rsid w:val="52A71521"/>
    <w:rsid w:val="52A7FC81"/>
    <w:rsid w:val="52A9BACA"/>
    <w:rsid w:val="52B4250C"/>
    <w:rsid w:val="52B8B43E"/>
    <w:rsid w:val="52BC1BEB"/>
    <w:rsid w:val="52BCD44F"/>
    <w:rsid w:val="52BD85B5"/>
    <w:rsid w:val="52C23DD9"/>
    <w:rsid w:val="52C29F3A"/>
    <w:rsid w:val="52C3CFB0"/>
    <w:rsid w:val="52C60CBD"/>
    <w:rsid w:val="52CD47C8"/>
    <w:rsid w:val="52D959A0"/>
    <w:rsid w:val="52DEA172"/>
    <w:rsid w:val="52E86513"/>
    <w:rsid w:val="52EAC8E5"/>
    <w:rsid w:val="52F044A1"/>
    <w:rsid w:val="52F2EF2F"/>
    <w:rsid w:val="52F3018A"/>
    <w:rsid w:val="52F6C344"/>
    <w:rsid w:val="52F78106"/>
    <w:rsid w:val="52FB511E"/>
    <w:rsid w:val="52FCB51D"/>
    <w:rsid w:val="52FCF568"/>
    <w:rsid w:val="52FD2860"/>
    <w:rsid w:val="530D0A60"/>
    <w:rsid w:val="530EF8A9"/>
    <w:rsid w:val="531D03DC"/>
    <w:rsid w:val="531D7038"/>
    <w:rsid w:val="5327790F"/>
    <w:rsid w:val="5329A039"/>
    <w:rsid w:val="53344705"/>
    <w:rsid w:val="533BBE05"/>
    <w:rsid w:val="53440760"/>
    <w:rsid w:val="534A185A"/>
    <w:rsid w:val="534C2CB3"/>
    <w:rsid w:val="53509B8A"/>
    <w:rsid w:val="5355A0D3"/>
    <w:rsid w:val="5357AE2A"/>
    <w:rsid w:val="535C7862"/>
    <w:rsid w:val="535EE88D"/>
    <w:rsid w:val="535F18AF"/>
    <w:rsid w:val="535F7A8F"/>
    <w:rsid w:val="5365B57D"/>
    <w:rsid w:val="53689AC1"/>
    <w:rsid w:val="537C5610"/>
    <w:rsid w:val="538AB615"/>
    <w:rsid w:val="538C12B4"/>
    <w:rsid w:val="539124AE"/>
    <w:rsid w:val="5395016C"/>
    <w:rsid w:val="5396E83D"/>
    <w:rsid w:val="539928BB"/>
    <w:rsid w:val="539FB5B3"/>
    <w:rsid w:val="53A22ADF"/>
    <w:rsid w:val="53AA8C28"/>
    <w:rsid w:val="53AADEDC"/>
    <w:rsid w:val="53ACE305"/>
    <w:rsid w:val="53AF2A95"/>
    <w:rsid w:val="53AFD3AB"/>
    <w:rsid w:val="53B7705F"/>
    <w:rsid w:val="53BAC5FC"/>
    <w:rsid w:val="53C4D5F7"/>
    <w:rsid w:val="53CB21FB"/>
    <w:rsid w:val="53CB6CC4"/>
    <w:rsid w:val="53CC76D5"/>
    <w:rsid w:val="53D8077C"/>
    <w:rsid w:val="53DBD5EE"/>
    <w:rsid w:val="53DC2A6E"/>
    <w:rsid w:val="53DF95F5"/>
    <w:rsid w:val="53E5438A"/>
    <w:rsid w:val="53E84839"/>
    <w:rsid w:val="53EBCDC4"/>
    <w:rsid w:val="53ED5970"/>
    <w:rsid w:val="53F40101"/>
    <w:rsid w:val="53F60383"/>
    <w:rsid w:val="53F932ED"/>
    <w:rsid w:val="53F97BAC"/>
    <w:rsid w:val="53FE7F16"/>
    <w:rsid w:val="53FF4203"/>
    <w:rsid w:val="5406C77E"/>
    <w:rsid w:val="5409B82A"/>
    <w:rsid w:val="5409FC33"/>
    <w:rsid w:val="540F5828"/>
    <w:rsid w:val="54107B42"/>
    <w:rsid w:val="541D0B1F"/>
    <w:rsid w:val="541DF275"/>
    <w:rsid w:val="541E81A9"/>
    <w:rsid w:val="5420522C"/>
    <w:rsid w:val="54244149"/>
    <w:rsid w:val="542D3DD3"/>
    <w:rsid w:val="542E0767"/>
    <w:rsid w:val="542E89F3"/>
    <w:rsid w:val="5435B547"/>
    <w:rsid w:val="5444B339"/>
    <w:rsid w:val="54453B9F"/>
    <w:rsid w:val="54509FB6"/>
    <w:rsid w:val="545A27D0"/>
    <w:rsid w:val="545E4407"/>
    <w:rsid w:val="54629BD0"/>
    <w:rsid w:val="54663618"/>
    <w:rsid w:val="546AD52D"/>
    <w:rsid w:val="546B5267"/>
    <w:rsid w:val="547172C4"/>
    <w:rsid w:val="5471FF0A"/>
    <w:rsid w:val="5478C4D2"/>
    <w:rsid w:val="54841FBA"/>
    <w:rsid w:val="5485ADE7"/>
    <w:rsid w:val="54865091"/>
    <w:rsid w:val="548A166A"/>
    <w:rsid w:val="548AF22B"/>
    <w:rsid w:val="548C39F5"/>
    <w:rsid w:val="548E2FB3"/>
    <w:rsid w:val="548EB1ED"/>
    <w:rsid w:val="5497F3E6"/>
    <w:rsid w:val="5499C48A"/>
    <w:rsid w:val="549CF3EC"/>
    <w:rsid w:val="549FC79C"/>
    <w:rsid w:val="54A7AADB"/>
    <w:rsid w:val="54AC5023"/>
    <w:rsid w:val="54AEDAF0"/>
    <w:rsid w:val="54B078BC"/>
    <w:rsid w:val="54B53F83"/>
    <w:rsid w:val="54BF5486"/>
    <w:rsid w:val="54C34F30"/>
    <w:rsid w:val="54CA55E3"/>
    <w:rsid w:val="54CCBEF7"/>
    <w:rsid w:val="54CDDA12"/>
    <w:rsid w:val="54CF068E"/>
    <w:rsid w:val="54CF2CFD"/>
    <w:rsid w:val="54D49E7A"/>
    <w:rsid w:val="54E010B2"/>
    <w:rsid w:val="54E11D39"/>
    <w:rsid w:val="54E254C5"/>
    <w:rsid w:val="54F282D3"/>
    <w:rsid w:val="54F6A760"/>
    <w:rsid w:val="54F7A859"/>
    <w:rsid w:val="54FBFF5D"/>
    <w:rsid w:val="54FD5C62"/>
    <w:rsid w:val="54FE09C5"/>
    <w:rsid w:val="5508118B"/>
    <w:rsid w:val="550D381D"/>
    <w:rsid w:val="55100D77"/>
    <w:rsid w:val="55138E75"/>
    <w:rsid w:val="55141F69"/>
    <w:rsid w:val="551CEDA7"/>
    <w:rsid w:val="551EC0F8"/>
    <w:rsid w:val="5522B66B"/>
    <w:rsid w:val="5527F787"/>
    <w:rsid w:val="552F97B9"/>
    <w:rsid w:val="552FDDA3"/>
    <w:rsid w:val="553F3355"/>
    <w:rsid w:val="554147EA"/>
    <w:rsid w:val="5545B826"/>
    <w:rsid w:val="5546323C"/>
    <w:rsid w:val="55479E55"/>
    <w:rsid w:val="55492C3A"/>
    <w:rsid w:val="554BDBC7"/>
    <w:rsid w:val="554D2879"/>
    <w:rsid w:val="554DA9B5"/>
    <w:rsid w:val="555C2D5D"/>
    <w:rsid w:val="5572F68E"/>
    <w:rsid w:val="557BDFAC"/>
    <w:rsid w:val="5580F7B4"/>
    <w:rsid w:val="5583E492"/>
    <w:rsid w:val="558606A9"/>
    <w:rsid w:val="558B87EE"/>
    <w:rsid w:val="55915779"/>
    <w:rsid w:val="55915F68"/>
    <w:rsid w:val="559998C9"/>
    <w:rsid w:val="55A5614B"/>
    <w:rsid w:val="55B1A466"/>
    <w:rsid w:val="55B1EE66"/>
    <w:rsid w:val="55B56188"/>
    <w:rsid w:val="55BB67C9"/>
    <w:rsid w:val="55BFDEA6"/>
    <w:rsid w:val="55C9C415"/>
    <w:rsid w:val="55CC57DA"/>
    <w:rsid w:val="55D06DF2"/>
    <w:rsid w:val="55D36AD3"/>
    <w:rsid w:val="55DB0914"/>
    <w:rsid w:val="55DC468F"/>
    <w:rsid w:val="55DD702E"/>
    <w:rsid w:val="55DF1AC8"/>
    <w:rsid w:val="55E1E40A"/>
    <w:rsid w:val="55E268FB"/>
    <w:rsid w:val="55E47537"/>
    <w:rsid w:val="55E71A5D"/>
    <w:rsid w:val="55EF43F0"/>
    <w:rsid w:val="55F068F7"/>
    <w:rsid w:val="55F28944"/>
    <w:rsid w:val="55F4F80D"/>
    <w:rsid w:val="55F6B919"/>
    <w:rsid w:val="55FE62B6"/>
    <w:rsid w:val="55FF289D"/>
    <w:rsid w:val="5605F07A"/>
    <w:rsid w:val="56093BD6"/>
    <w:rsid w:val="560A13F0"/>
    <w:rsid w:val="560B197E"/>
    <w:rsid w:val="56125D41"/>
    <w:rsid w:val="56135371"/>
    <w:rsid w:val="5615D9FF"/>
    <w:rsid w:val="56186623"/>
    <w:rsid w:val="561BF3EB"/>
    <w:rsid w:val="561DC669"/>
    <w:rsid w:val="561E64C7"/>
    <w:rsid w:val="561FACB3"/>
    <w:rsid w:val="56239D4D"/>
    <w:rsid w:val="5629645C"/>
    <w:rsid w:val="56326645"/>
    <w:rsid w:val="5634A87C"/>
    <w:rsid w:val="5637E15C"/>
    <w:rsid w:val="56386896"/>
    <w:rsid w:val="563E9E9B"/>
    <w:rsid w:val="563F7AAF"/>
    <w:rsid w:val="5641526D"/>
    <w:rsid w:val="56417535"/>
    <w:rsid w:val="5641F1A8"/>
    <w:rsid w:val="564CA0EF"/>
    <w:rsid w:val="564D5645"/>
    <w:rsid w:val="565C251E"/>
    <w:rsid w:val="56603625"/>
    <w:rsid w:val="566B0E3B"/>
    <w:rsid w:val="566B7854"/>
    <w:rsid w:val="56702272"/>
    <w:rsid w:val="567215F8"/>
    <w:rsid w:val="5674BF8E"/>
    <w:rsid w:val="567C4E44"/>
    <w:rsid w:val="568280DD"/>
    <w:rsid w:val="5686B03B"/>
    <w:rsid w:val="56878CE7"/>
    <w:rsid w:val="568ED958"/>
    <w:rsid w:val="56937BEC"/>
    <w:rsid w:val="569B5764"/>
    <w:rsid w:val="569B9DDE"/>
    <w:rsid w:val="569D4EA1"/>
    <w:rsid w:val="569EEEFC"/>
    <w:rsid w:val="56A2B459"/>
    <w:rsid w:val="56A39176"/>
    <w:rsid w:val="56A3A55E"/>
    <w:rsid w:val="56A71894"/>
    <w:rsid w:val="56AD6E1C"/>
    <w:rsid w:val="56AD7E32"/>
    <w:rsid w:val="56AF4F3C"/>
    <w:rsid w:val="56B26D27"/>
    <w:rsid w:val="56B5A89D"/>
    <w:rsid w:val="56B6E9C6"/>
    <w:rsid w:val="56B8D923"/>
    <w:rsid w:val="56BB8178"/>
    <w:rsid w:val="56C34E65"/>
    <w:rsid w:val="56C371AE"/>
    <w:rsid w:val="56C54028"/>
    <w:rsid w:val="56C69FF6"/>
    <w:rsid w:val="56C8D1C8"/>
    <w:rsid w:val="56CA0F23"/>
    <w:rsid w:val="56CA7A65"/>
    <w:rsid w:val="56CD001C"/>
    <w:rsid w:val="56CD0CBA"/>
    <w:rsid w:val="56CE5FC0"/>
    <w:rsid w:val="56D30E2C"/>
    <w:rsid w:val="56D5543A"/>
    <w:rsid w:val="56D5D20A"/>
    <w:rsid w:val="56D74195"/>
    <w:rsid w:val="56D7EBC4"/>
    <w:rsid w:val="56DB9A36"/>
    <w:rsid w:val="56DD136D"/>
    <w:rsid w:val="56DE6EA3"/>
    <w:rsid w:val="56DE8E4F"/>
    <w:rsid w:val="56E691DC"/>
    <w:rsid w:val="56E78797"/>
    <w:rsid w:val="56E79E1A"/>
    <w:rsid w:val="56F3E1D2"/>
    <w:rsid w:val="56F72ADA"/>
    <w:rsid w:val="56F7B566"/>
    <w:rsid w:val="5700C48C"/>
    <w:rsid w:val="5703B8A4"/>
    <w:rsid w:val="570643E1"/>
    <w:rsid w:val="5707D08C"/>
    <w:rsid w:val="57110C52"/>
    <w:rsid w:val="571176EA"/>
    <w:rsid w:val="57139647"/>
    <w:rsid w:val="5718E983"/>
    <w:rsid w:val="57199656"/>
    <w:rsid w:val="5724E16B"/>
    <w:rsid w:val="572EEC18"/>
    <w:rsid w:val="573144D2"/>
    <w:rsid w:val="57347891"/>
    <w:rsid w:val="5738BAB6"/>
    <w:rsid w:val="573B58C3"/>
    <w:rsid w:val="57440B9A"/>
    <w:rsid w:val="57476419"/>
    <w:rsid w:val="574BA861"/>
    <w:rsid w:val="575852AF"/>
    <w:rsid w:val="575B0165"/>
    <w:rsid w:val="5764B368"/>
    <w:rsid w:val="5764CFF2"/>
    <w:rsid w:val="5767A692"/>
    <w:rsid w:val="577291ED"/>
    <w:rsid w:val="577B17B4"/>
    <w:rsid w:val="5782BA6B"/>
    <w:rsid w:val="578B9D21"/>
    <w:rsid w:val="578F1621"/>
    <w:rsid w:val="57912428"/>
    <w:rsid w:val="57929D0B"/>
    <w:rsid w:val="5793DDD6"/>
    <w:rsid w:val="579FF241"/>
    <w:rsid w:val="57A2CFDB"/>
    <w:rsid w:val="57A36F44"/>
    <w:rsid w:val="57A627B3"/>
    <w:rsid w:val="57AA9FDF"/>
    <w:rsid w:val="57B695FB"/>
    <w:rsid w:val="57BA264E"/>
    <w:rsid w:val="57BC86A6"/>
    <w:rsid w:val="57C1B9EF"/>
    <w:rsid w:val="57C3515F"/>
    <w:rsid w:val="57C59934"/>
    <w:rsid w:val="57C80411"/>
    <w:rsid w:val="57C9FA3D"/>
    <w:rsid w:val="57D2306E"/>
    <w:rsid w:val="57D49956"/>
    <w:rsid w:val="57D7E89D"/>
    <w:rsid w:val="57E59946"/>
    <w:rsid w:val="57E5E3B7"/>
    <w:rsid w:val="57F7FD60"/>
    <w:rsid w:val="57FAD865"/>
    <w:rsid w:val="57FB1417"/>
    <w:rsid w:val="57FE1368"/>
    <w:rsid w:val="5800F628"/>
    <w:rsid w:val="58062D46"/>
    <w:rsid w:val="580A86D6"/>
    <w:rsid w:val="580B0A59"/>
    <w:rsid w:val="580C7893"/>
    <w:rsid w:val="581126E4"/>
    <w:rsid w:val="5812474B"/>
    <w:rsid w:val="581734F7"/>
    <w:rsid w:val="581AD176"/>
    <w:rsid w:val="58214CB7"/>
    <w:rsid w:val="58224AB9"/>
    <w:rsid w:val="5822A535"/>
    <w:rsid w:val="582457B9"/>
    <w:rsid w:val="58267B19"/>
    <w:rsid w:val="582D44FD"/>
    <w:rsid w:val="5840250C"/>
    <w:rsid w:val="5848C95E"/>
    <w:rsid w:val="584A686C"/>
    <w:rsid w:val="584B8B97"/>
    <w:rsid w:val="584CA2C5"/>
    <w:rsid w:val="58511ACF"/>
    <w:rsid w:val="58549926"/>
    <w:rsid w:val="58650D26"/>
    <w:rsid w:val="5865E5D4"/>
    <w:rsid w:val="5870033A"/>
    <w:rsid w:val="5870D25F"/>
    <w:rsid w:val="58720DF4"/>
    <w:rsid w:val="58797444"/>
    <w:rsid w:val="5882D88D"/>
    <w:rsid w:val="58847468"/>
    <w:rsid w:val="58876BB3"/>
    <w:rsid w:val="588896F1"/>
    <w:rsid w:val="588B2236"/>
    <w:rsid w:val="588B425C"/>
    <w:rsid w:val="5894112B"/>
    <w:rsid w:val="58995A4E"/>
    <w:rsid w:val="589D7382"/>
    <w:rsid w:val="58A5DB7A"/>
    <w:rsid w:val="58A655C4"/>
    <w:rsid w:val="58A9CF9B"/>
    <w:rsid w:val="58AEE848"/>
    <w:rsid w:val="58B23C35"/>
    <w:rsid w:val="58B6C2DC"/>
    <w:rsid w:val="58B9A0E5"/>
    <w:rsid w:val="58BC405B"/>
    <w:rsid w:val="58C289EA"/>
    <w:rsid w:val="58C3DBD5"/>
    <w:rsid w:val="58C5B4DB"/>
    <w:rsid w:val="58C64156"/>
    <w:rsid w:val="58CBA613"/>
    <w:rsid w:val="58CC27D7"/>
    <w:rsid w:val="58CD7BE4"/>
    <w:rsid w:val="58CE0826"/>
    <w:rsid w:val="58D26FEA"/>
    <w:rsid w:val="58D51DFB"/>
    <w:rsid w:val="58D91C38"/>
    <w:rsid w:val="58DBB1F0"/>
    <w:rsid w:val="58DFE930"/>
    <w:rsid w:val="58E34296"/>
    <w:rsid w:val="58E3C827"/>
    <w:rsid w:val="58E83686"/>
    <w:rsid w:val="58E90739"/>
    <w:rsid w:val="58F0229E"/>
    <w:rsid w:val="58F0D134"/>
    <w:rsid w:val="58F78729"/>
    <w:rsid w:val="590481E9"/>
    <w:rsid w:val="59081A58"/>
    <w:rsid w:val="59097553"/>
    <w:rsid w:val="590B8171"/>
    <w:rsid w:val="59100501"/>
    <w:rsid w:val="59115E9A"/>
    <w:rsid w:val="5911AD3C"/>
    <w:rsid w:val="59137144"/>
    <w:rsid w:val="5918DE1D"/>
    <w:rsid w:val="591F6940"/>
    <w:rsid w:val="59216CA9"/>
    <w:rsid w:val="5924C00F"/>
    <w:rsid w:val="5925DF51"/>
    <w:rsid w:val="5926E910"/>
    <w:rsid w:val="592A5A79"/>
    <w:rsid w:val="5937F3E6"/>
    <w:rsid w:val="5938D6DB"/>
    <w:rsid w:val="5946C1E3"/>
    <w:rsid w:val="5948F953"/>
    <w:rsid w:val="59548C0D"/>
    <w:rsid w:val="595984D7"/>
    <w:rsid w:val="595ADB96"/>
    <w:rsid w:val="595D52A8"/>
    <w:rsid w:val="5960F6BB"/>
    <w:rsid w:val="59643F26"/>
    <w:rsid w:val="5965F6C0"/>
    <w:rsid w:val="597137AA"/>
    <w:rsid w:val="597A3E6A"/>
    <w:rsid w:val="597BCBBB"/>
    <w:rsid w:val="597D32C7"/>
    <w:rsid w:val="597FE21A"/>
    <w:rsid w:val="5988A64C"/>
    <w:rsid w:val="598D1DBA"/>
    <w:rsid w:val="598EB061"/>
    <w:rsid w:val="598FC46B"/>
    <w:rsid w:val="59912764"/>
    <w:rsid w:val="5992F37D"/>
    <w:rsid w:val="5996B450"/>
    <w:rsid w:val="599A3740"/>
    <w:rsid w:val="59A6995B"/>
    <w:rsid w:val="59B85268"/>
    <w:rsid w:val="59BAC48E"/>
    <w:rsid w:val="59BB0433"/>
    <w:rsid w:val="59C78225"/>
    <w:rsid w:val="59C90784"/>
    <w:rsid w:val="59CAD6B1"/>
    <w:rsid w:val="59CD3560"/>
    <w:rsid w:val="59CE3740"/>
    <w:rsid w:val="59CFB03A"/>
    <w:rsid w:val="59D00633"/>
    <w:rsid w:val="59DF5A53"/>
    <w:rsid w:val="59E7F01A"/>
    <w:rsid w:val="59E9F699"/>
    <w:rsid w:val="59EF623D"/>
    <w:rsid w:val="59F45956"/>
    <w:rsid w:val="59F69DFC"/>
    <w:rsid w:val="59F75030"/>
    <w:rsid w:val="5A03D564"/>
    <w:rsid w:val="5A04F2F4"/>
    <w:rsid w:val="5A0A0E00"/>
    <w:rsid w:val="5A0CCF94"/>
    <w:rsid w:val="5A105A76"/>
    <w:rsid w:val="5A107413"/>
    <w:rsid w:val="5A127265"/>
    <w:rsid w:val="5A15896D"/>
    <w:rsid w:val="5A1902F7"/>
    <w:rsid w:val="5A201B53"/>
    <w:rsid w:val="5A209D87"/>
    <w:rsid w:val="5A2281EC"/>
    <w:rsid w:val="5A29B90C"/>
    <w:rsid w:val="5A2E498C"/>
    <w:rsid w:val="5A32AD3F"/>
    <w:rsid w:val="5A34184D"/>
    <w:rsid w:val="5A34711B"/>
    <w:rsid w:val="5A3B54F8"/>
    <w:rsid w:val="5A3CF049"/>
    <w:rsid w:val="5A435E59"/>
    <w:rsid w:val="5A44C04D"/>
    <w:rsid w:val="5A4AABDA"/>
    <w:rsid w:val="5A4B83B2"/>
    <w:rsid w:val="5A4E5418"/>
    <w:rsid w:val="5A4F3E8D"/>
    <w:rsid w:val="5A4FBE65"/>
    <w:rsid w:val="5A52DC3D"/>
    <w:rsid w:val="5A544049"/>
    <w:rsid w:val="5A54C041"/>
    <w:rsid w:val="5A59AD0C"/>
    <w:rsid w:val="5A60B8FD"/>
    <w:rsid w:val="5A646056"/>
    <w:rsid w:val="5A70EE5C"/>
    <w:rsid w:val="5A72A3B1"/>
    <w:rsid w:val="5A7B30B4"/>
    <w:rsid w:val="5A814B5A"/>
    <w:rsid w:val="5A817BCF"/>
    <w:rsid w:val="5A88AAE1"/>
    <w:rsid w:val="5A8B872F"/>
    <w:rsid w:val="5A8CC2D2"/>
    <w:rsid w:val="5A908B17"/>
    <w:rsid w:val="5A915B0F"/>
    <w:rsid w:val="5A99EA70"/>
    <w:rsid w:val="5AA587B8"/>
    <w:rsid w:val="5AA6CC61"/>
    <w:rsid w:val="5AAA2CA2"/>
    <w:rsid w:val="5AB2E13E"/>
    <w:rsid w:val="5AB70AB5"/>
    <w:rsid w:val="5AB9AD41"/>
    <w:rsid w:val="5AB9FD37"/>
    <w:rsid w:val="5ACB0D7C"/>
    <w:rsid w:val="5ACFE706"/>
    <w:rsid w:val="5AD56EC2"/>
    <w:rsid w:val="5AD87D9B"/>
    <w:rsid w:val="5AD8C2F1"/>
    <w:rsid w:val="5AD93665"/>
    <w:rsid w:val="5ADE9253"/>
    <w:rsid w:val="5ADEC9D7"/>
    <w:rsid w:val="5AE2BEF3"/>
    <w:rsid w:val="5AE615DD"/>
    <w:rsid w:val="5AED1E83"/>
    <w:rsid w:val="5AED6DE9"/>
    <w:rsid w:val="5AEEB21A"/>
    <w:rsid w:val="5AEF34E3"/>
    <w:rsid w:val="5AF5F849"/>
    <w:rsid w:val="5AFB73F5"/>
    <w:rsid w:val="5AFD138E"/>
    <w:rsid w:val="5AFD821B"/>
    <w:rsid w:val="5B00DA44"/>
    <w:rsid w:val="5B02CDED"/>
    <w:rsid w:val="5B0B5CEC"/>
    <w:rsid w:val="5B0E9D19"/>
    <w:rsid w:val="5B12E5EA"/>
    <w:rsid w:val="5B14F4E9"/>
    <w:rsid w:val="5B174E07"/>
    <w:rsid w:val="5B1FFA32"/>
    <w:rsid w:val="5B23D8CC"/>
    <w:rsid w:val="5B2637C3"/>
    <w:rsid w:val="5B2804AA"/>
    <w:rsid w:val="5B2BBFA4"/>
    <w:rsid w:val="5B2E11A8"/>
    <w:rsid w:val="5B33F0B5"/>
    <w:rsid w:val="5B380BA6"/>
    <w:rsid w:val="5B38C612"/>
    <w:rsid w:val="5B3B9106"/>
    <w:rsid w:val="5B3E942F"/>
    <w:rsid w:val="5B465E18"/>
    <w:rsid w:val="5B4A59FC"/>
    <w:rsid w:val="5B4AD88F"/>
    <w:rsid w:val="5B4B1694"/>
    <w:rsid w:val="5B4CEC51"/>
    <w:rsid w:val="5B4E313A"/>
    <w:rsid w:val="5B4E5FB9"/>
    <w:rsid w:val="5B570CA3"/>
    <w:rsid w:val="5B588B8F"/>
    <w:rsid w:val="5B5C6B42"/>
    <w:rsid w:val="5B5E64E3"/>
    <w:rsid w:val="5B61A3FC"/>
    <w:rsid w:val="5B652216"/>
    <w:rsid w:val="5B65F66C"/>
    <w:rsid w:val="5B6C9ED5"/>
    <w:rsid w:val="5B735A3A"/>
    <w:rsid w:val="5B74E299"/>
    <w:rsid w:val="5B75AA64"/>
    <w:rsid w:val="5B7627F6"/>
    <w:rsid w:val="5B771FBE"/>
    <w:rsid w:val="5B79759E"/>
    <w:rsid w:val="5B7A34DB"/>
    <w:rsid w:val="5B7FCD2E"/>
    <w:rsid w:val="5B7FD8A9"/>
    <w:rsid w:val="5B80E30E"/>
    <w:rsid w:val="5B813BAF"/>
    <w:rsid w:val="5B8212DD"/>
    <w:rsid w:val="5B845CC6"/>
    <w:rsid w:val="5B84F66A"/>
    <w:rsid w:val="5B88688B"/>
    <w:rsid w:val="5B912899"/>
    <w:rsid w:val="5B92B5E4"/>
    <w:rsid w:val="5B96DBBD"/>
    <w:rsid w:val="5B973C88"/>
    <w:rsid w:val="5B9E9C07"/>
    <w:rsid w:val="5B9FD89B"/>
    <w:rsid w:val="5BA6964E"/>
    <w:rsid w:val="5BAB1ECC"/>
    <w:rsid w:val="5BAC5E40"/>
    <w:rsid w:val="5BAD3A85"/>
    <w:rsid w:val="5BB2ACD7"/>
    <w:rsid w:val="5BB2BA09"/>
    <w:rsid w:val="5BB9F865"/>
    <w:rsid w:val="5BBA8FDD"/>
    <w:rsid w:val="5BBC57D2"/>
    <w:rsid w:val="5BBCFA6E"/>
    <w:rsid w:val="5BBEC13C"/>
    <w:rsid w:val="5BC28124"/>
    <w:rsid w:val="5BC571F2"/>
    <w:rsid w:val="5BC622BB"/>
    <w:rsid w:val="5BCABE1D"/>
    <w:rsid w:val="5BDEFDD8"/>
    <w:rsid w:val="5BE41DA4"/>
    <w:rsid w:val="5BEA9A86"/>
    <w:rsid w:val="5BEE9340"/>
    <w:rsid w:val="5BEF5DB3"/>
    <w:rsid w:val="5BF3AE35"/>
    <w:rsid w:val="5BF3DB01"/>
    <w:rsid w:val="5BF595A7"/>
    <w:rsid w:val="5BFB7290"/>
    <w:rsid w:val="5C021E77"/>
    <w:rsid w:val="5C0BB2FF"/>
    <w:rsid w:val="5C131D63"/>
    <w:rsid w:val="5C1D8418"/>
    <w:rsid w:val="5C1DAC53"/>
    <w:rsid w:val="5C1F0CFB"/>
    <w:rsid w:val="5C221131"/>
    <w:rsid w:val="5C225886"/>
    <w:rsid w:val="5C2B5148"/>
    <w:rsid w:val="5C2D2D5B"/>
    <w:rsid w:val="5C2ED259"/>
    <w:rsid w:val="5C30A0D5"/>
    <w:rsid w:val="5C32596B"/>
    <w:rsid w:val="5C39EDC0"/>
    <w:rsid w:val="5C3CEE82"/>
    <w:rsid w:val="5C3F67C2"/>
    <w:rsid w:val="5C407D39"/>
    <w:rsid w:val="5C4179D3"/>
    <w:rsid w:val="5C446C4C"/>
    <w:rsid w:val="5C472C41"/>
    <w:rsid w:val="5C4B2EB5"/>
    <w:rsid w:val="5C4C032F"/>
    <w:rsid w:val="5C4D2978"/>
    <w:rsid w:val="5C4EDA18"/>
    <w:rsid w:val="5C531C8A"/>
    <w:rsid w:val="5C5976A9"/>
    <w:rsid w:val="5C5AA40D"/>
    <w:rsid w:val="5C5B01A3"/>
    <w:rsid w:val="5C5CF9D8"/>
    <w:rsid w:val="5C5DAB18"/>
    <w:rsid w:val="5C5E45B1"/>
    <w:rsid w:val="5C6A173E"/>
    <w:rsid w:val="5C6AF119"/>
    <w:rsid w:val="5C6BA01C"/>
    <w:rsid w:val="5C6E41D3"/>
    <w:rsid w:val="5C745E6C"/>
    <w:rsid w:val="5C785B13"/>
    <w:rsid w:val="5C7A57A9"/>
    <w:rsid w:val="5C7AC71C"/>
    <w:rsid w:val="5C7B53AF"/>
    <w:rsid w:val="5C7C412C"/>
    <w:rsid w:val="5C80B1BE"/>
    <w:rsid w:val="5C847524"/>
    <w:rsid w:val="5C84F2B9"/>
    <w:rsid w:val="5C86A2C8"/>
    <w:rsid w:val="5C8779E6"/>
    <w:rsid w:val="5C92B10C"/>
    <w:rsid w:val="5C95C1EB"/>
    <w:rsid w:val="5C9FD5C4"/>
    <w:rsid w:val="5CA12B3D"/>
    <w:rsid w:val="5CA1CF26"/>
    <w:rsid w:val="5CA2E377"/>
    <w:rsid w:val="5CAEFB06"/>
    <w:rsid w:val="5CB2598E"/>
    <w:rsid w:val="5CB3BAC8"/>
    <w:rsid w:val="5CB7E1ED"/>
    <w:rsid w:val="5CC05DBB"/>
    <w:rsid w:val="5CC40D09"/>
    <w:rsid w:val="5CCBDF18"/>
    <w:rsid w:val="5CCFFE92"/>
    <w:rsid w:val="5CD1DE2F"/>
    <w:rsid w:val="5CD5301E"/>
    <w:rsid w:val="5CD9ECA8"/>
    <w:rsid w:val="5CDE379C"/>
    <w:rsid w:val="5CE33D19"/>
    <w:rsid w:val="5CE38719"/>
    <w:rsid w:val="5CE5A98B"/>
    <w:rsid w:val="5CE67C9A"/>
    <w:rsid w:val="5CE72045"/>
    <w:rsid w:val="5CEE8E7E"/>
    <w:rsid w:val="5CF1FA0C"/>
    <w:rsid w:val="5CF46014"/>
    <w:rsid w:val="5CF6BD3A"/>
    <w:rsid w:val="5D069B1F"/>
    <w:rsid w:val="5D07232C"/>
    <w:rsid w:val="5D0AD9D2"/>
    <w:rsid w:val="5D105047"/>
    <w:rsid w:val="5D17D3C2"/>
    <w:rsid w:val="5D275A75"/>
    <w:rsid w:val="5D2A274C"/>
    <w:rsid w:val="5D2A7C2A"/>
    <w:rsid w:val="5D311063"/>
    <w:rsid w:val="5D3A85A8"/>
    <w:rsid w:val="5D3D36E2"/>
    <w:rsid w:val="5D3E9A53"/>
    <w:rsid w:val="5D408F7B"/>
    <w:rsid w:val="5D426EB3"/>
    <w:rsid w:val="5D465A3B"/>
    <w:rsid w:val="5D4B3D27"/>
    <w:rsid w:val="5D55F4EC"/>
    <w:rsid w:val="5D5BA360"/>
    <w:rsid w:val="5D5CA52B"/>
    <w:rsid w:val="5D5D4003"/>
    <w:rsid w:val="5D5F6BA9"/>
    <w:rsid w:val="5D64EA11"/>
    <w:rsid w:val="5D705E3F"/>
    <w:rsid w:val="5D711DC2"/>
    <w:rsid w:val="5D71855A"/>
    <w:rsid w:val="5D73FE0C"/>
    <w:rsid w:val="5D74202A"/>
    <w:rsid w:val="5D777745"/>
    <w:rsid w:val="5D79D4AF"/>
    <w:rsid w:val="5D7AC2C9"/>
    <w:rsid w:val="5D7AF3A9"/>
    <w:rsid w:val="5D7CB477"/>
    <w:rsid w:val="5D7CB590"/>
    <w:rsid w:val="5D8A59A6"/>
    <w:rsid w:val="5D8FA5B7"/>
    <w:rsid w:val="5D933171"/>
    <w:rsid w:val="5D933C79"/>
    <w:rsid w:val="5D94186D"/>
    <w:rsid w:val="5D94DA4C"/>
    <w:rsid w:val="5D9C60CB"/>
    <w:rsid w:val="5DA071BE"/>
    <w:rsid w:val="5DA3F422"/>
    <w:rsid w:val="5DA90F5D"/>
    <w:rsid w:val="5DAE644C"/>
    <w:rsid w:val="5DB1667F"/>
    <w:rsid w:val="5DB36C8E"/>
    <w:rsid w:val="5DBD7565"/>
    <w:rsid w:val="5DBE642A"/>
    <w:rsid w:val="5DC2C7C5"/>
    <w:rsid w:val="5DC696D6"/>
    <w:rsid w:val="5DC6A5EB"/>
    <w:rsid w:val="5DC9EDE0"/>
    <w:rsid w:val="5DCB038C"/>
    <w:rsid w:val="5DCE6105"/>
    <w:rsid w:val="5DCF12CB"/>
    <w:rsid w:val="5DD3361C"/>
    <w:rsid w:val="5DD6174B"/>
    <w:rsid w:val="5DD7A781"/>
    <w:rsid w:val="5DDCF37F"/>
    <w:rsid w:val="5DE189D6"/>
    <w:rsid w:val="5DE18DD8"/>
    <w:rsid w:val="5DE87A68"/>
    <w:rsid w:val="5DEE09CF"/>
    <w:rsid w:val="5DF346EB"/>
    <w:rsid w:val="5DF68D6B"/>
    <w:rsid w:val="5DF828EE"/>
    <w:rsid w:val="5DFA27CC"/>
    <w:rsid w:val="5DFAD012"/>
    <w:rsid w:val="5DFAD47C"/>
    <w:rsid w:val="5E05EF15"/>
    <w:rsid w:val="5E06690D"/>
    <w:rsid w:val="5E09BF6D"/>
    <w:rsid w:val="5E0D7BAE"/>
    <w:rsid w:val="5E1C7F24"/>
    <w:rsid w:val="5E1FBF7E"/>
    <w:rsid w:val="5E2022E0"/>
    <w:rsid w:val="5E21D7A4"/>
    <w:rsid w:val="5E240173"/>
    <w:rsid w:val="5E2550A7"/>
    <w:rsid w:val="5E261F8D"/>
    <w:rsid w:val="5E299B08"/>
    <w:rsid w:val="5E34CE35"/>
    <w:rsid w:val="5E355DEB"/>
    <w:rsid w:val="5E38BF74"/>
    <w:rsid w:val="5E3CCD11"/>
    <w:rsid w:val="5E3D4E51"/>
    <w:rsid w:val="5E3DB404"/>
    <w:rsid w:val="5E42EB99"/>
    <w:rsid w:val="5E4615F6"/>
    <w:rsid w:val="5E48034E"/>
    <w:rsid w:val="5E4C303F"/>
    <w:rsid w:val="5E517779"/>
    <w:rsid w:val="5E520183"/>
    <w:rsid w:val="5E55DD1E"/>
    <w:rsid w:val="5E58F5A6"/>
    <w:rsid w:val="5E5BF005"/>
    <w:rsid w:val="5E5D1A29"/>
    <w:rsid w:val="5E5F85B5"/>
    <w:rsid w:val="5E623243"/>
    <w:rsid w:val="5E625008"/>
    <w:rsid w:val="5E62AACC"/>
    <w:rsid w:val="5E643209"/>
    <w:rsid w:val="5E6781C4"/>
    <w:rsid w:val="5E69F13C"/>
    <w:rsid w:val="5E7467D9"/>
    <w:rsid w:val="5E768D8C"/>
    <w:rsid w:val="5E7AB2E0"/>
    <w:rsid w:val="5E7CA32D"/>
    <w:rsid w:val="5E7FEC0A"/>
    <w:rsid w:val="5E829B14"/>
    <w:rsid w:val="5E82F2D0"/>
    <w:rsid w:val="5E8D7489"/>
    <w:rsid w:val="5E910114"/>
    <w:rsid w:val="5E944590"/>
    <w:rsid w:val="5E9755DD"/>
    <w:rsid w:val="5EA1A15E"/>
    <w:rsid w:val="5EA81AB7"/>
    <w:rsid w:val="5EABF58B"/>
    <w:rsid w:val="5EB10FCC"/>
    <w:rsid w:val="5EB8928E"/>
    <w:rsid w:val="5EBCEE62"/>
    <w:rsid w:val="5EC0C91C"/>
    <w:rsid w:val="5EC0F771"/>
    <w:rsid w:val="5EC355EE"/>
    <w:rsid w:val="5EC4F87D"/>
    <w:rsid w:val="5EC7E85A"/>
    <w:rsid w:val="5ECE604A"/>
    <w:rsid w:val="5ECFFFDF"/>
    <w:rsid w:val="5ED4D1F4"/>
    <w:rsid w:val="5ED71D44"/>
    <w:rsid w:val="5EDA3C98"/>
    <w:rsid w:val="5EE1DD83"/>
    <w:rsid w:val="5EE3A7E0"/>
    <w:rsid w:val="5EE929F3"/>
    <w:rsid w:val="5EF26F86"/>
    <w:rsid w:val="5EF72C11"/>
    <w:rsid w:val="5EFCAB9E"/>
    <w:rsid w:val="5F02364C"/>
    <w:rsid w:val="5F029CB0"/>
    <w:rsid w:val="5F03B5BF"/>
    <w:rsid w:val="5F06014E"/>
    <w:rsid w:val="5F0769A0"/>
    <w:rsid w:val="5F09663E"/>
    <w:rsid w:val="5F126810"/>
    <w:rsid w:val="5F152E0F"/>
    <w:rsid w:val="5F20503D"/>
    <w:rsid w:val="5F26ECB2"/>
    <w:rsid w:val="5F2C3305"/>
    <w:rsid w:val="5F2C5E2B"/>
    <w:rsid w:val="5F327A8E"/>
    <w:rsid w:val="5F340B0E"/>
    <w:rsid w:val="5F35B51A"/>
    <w:rsid w:val="5F36CFCE"/>
    <w:rsid w:val="5F3C1786"/>
    <w:rsid w:val="5F3D4342"/>
    <w:rsid w:val="5F440311"/>
    <w:rsid w:val="5F495B55"/>
    <w:rsid w:val="5F49A96C"/>
    <w:rsid w:val="5F4C1AB8"/>
    <w:rsid w:val="5F4D7D06"/>
    <w:rsid w:val="5F4E430C"/>
    <w:rsid w:val="5F501579"/>
    <w:rsid w:val="5F52C8CF"/>
    <w:rsid w:val="5F5BC8B2"/>
    <w:rsid w:val="5F5DC4A6"/>
    <w:rsid w:val="5F5EB70F"/>
    <w:rsid w:val="5F5F8969"/>
    <w:rsid w:val="5F5F9118"/>
    <w:rsid w:val="5F61C018"/>
    <w:rsid w:val="5F641201"/>
    <w:rsid w:val="5F657209"/>
    <w:rsid w:val="5F6998F5"/>
    <w:rsid w:val="5F69F620"/>
    <w:rsid w:val="5F6CD2F0"/>
    <w:rsid w:val="5F716648"/>
    <w:rsid w:val="5F71F8FE"/>
    <w:rsid w:val="5F768E51"/>
    <w:rsid w:val="5F786E37"/>
    <w:rsid w:val="5F80DA27"/>
    <w:rsid w:val="5F8956CA"/>
    <w:rsid w:val="5F939CDE"/>
    <w:rsid w:val="5F93FE86"/>
    <w:rsid w:val="5FA0B625"/>
    <w:rsid w:val="5FABEBD0"/>
    <w:rsid w:val="5FAE873A"/>
    <w:rsid w:val="5FB06592"/>
    <w:rsid w:val="5FBFB86D"/>
    <w:rsid w:val="5FC00226"/>
    <w:rsid w:val="5FC0A413"/>
    <w:rsid w:val="5FC10F52"/>
    <w:rsid w:val="5FC4AE9B"/>
    <w:rsid w:val="5FC5ADC3"/>
    <w:rsid w:val="5FCC4FC9"/>
    <w:rsid w:val="5FCD9562"/>
    <w:rsid w:val="5FD02267"/>
    <w:rsid w:val="5FDA7471"/>
    <w:rsid w:val="5FDF1BE9"/>
    <w:rsid w:val="5FE19208"/>
    <w:rsid w:val="5FE55F53"/>
    <w:rsid w:val="5FEB5DB6"/>
    <w:rsid w:val="5FEC586F"/>
    <w:rsid w:val="5FEEF752"/>
    <w:rsid w:val="5FEF1F59"/>
    <w:rsid w:val="5FF2C208"/>
    <w:rsid w:val="5FF9AA01"/>
    <w:rsid w:val="5FFB5616"/>
    <w:rsid w:val="5FFC9547"/>
    <w:rsid w:val="5FFE945C"/>
    <w:rsid w:val="5FFE965F"/>
    <w:rsid w:val="5FFF5F11"/>
    <w:rsid w:val="5FFFD50F"/>
    <w:rsid w:val="60003506"/>
    <w:rsid w:val="6000CD8F"/>
    <w:rsid w:val="6000D2EF"/>
    <w:rsid w:val="60086E05"/>
    <w:rsid w:val="600FD789"/>
    <w:rsid w:val="601013AE"/>
    <w:rsid w:val="60142FC0"/>
    <w:rsid w:val="60149B1C"/>
    <w:rsid w:val="60176B64"/>
    <w:rsid w:val="601E6584"/>
    <w:rsid w:val="60235EA4"/>
    <w:rsid w:val="602A3870"/>
    <w:rsid w:val="602FFB96"/>
    <w:rsid w:val="60314839"/>
    <w:rsid w:val="6037E1D1"/>
    <w:rsid w:val="603E4FCC"/>
    <w:rsid w:val="6045B5B9"/>
    <w:rsid w:val="604DA025"/>
    <w:rsid w:val="605B140F"/>
    <w:rsid w:val="605BD2DF"/>
    <w:rsid w:val="605DC0E9"/>
    <w:rsid w:val="605E1F5E"/>
    <w:rsid w:val="6060ECC5"/>
    <w:rsid w:val="606126F3"/>
    <w:rsid w:val="60637203"/>
    <w:rsid w:val="6065E6AE"/>
    <w:rsid w:val="606DD13E"/>
    <w:rsid w:val="6080314B"/>
    <w:rsid w:val="6082F62C"/>
    <w:rsid w:val="6087665B"/>
    <w:rsid w:val="608C3812"/>
    <w:rsid w:val="6094B05A"/>
    <w:rsid w:val="6098E38F"/>
    <w:rsid w:val="609DD272"/>
    <w:rsid w:val="60A2F6B0"/>
    <w:rsid w:val="60A3ACDB"/>
    <w:rsid w:val="60A91857"/>
    <w:rsid w:val="60AA2396"/>
    <w:rsid w:val="60AEE6E0"/>
    <w:rsid w:val="60B57D61"/>
    <w:rsid w:val="60B67D3B"/>
    <w:rsid w:val="60C0ABEB"/>
    <w:rsid w:val="60C76DC4"/>
    <w:rsid w:val="60C8BCD8"/>
    <w:rsid w:val="60CAA43C"/>
    <w:rsid w:val="60CF1A8E"/>
    <w:rsid w:val="60D69609"/>
    <w:rsid w:val="60E05E0F"/>
    <w:rsid w:val="60E161D5"/>
    <w:rsid w:val="60E47CEE"/>
    <w:rsid w:val="60E59058"/>
    <w:rsid w:val="60EC952B"/>
    <w:rsid w:val="60FA3730"/>
    <w:rsid w:val="60FADE23"/>
    <w:rsid w:val="61013292"/>
    <w:rsid w:val="6102253C"/>
    <w:rsid w:val="610AAA95"/>
    <w:rsid w:val="61133962"/>
    <w:rsid w:val="611833A1"/>
    <w:rsid w:val="611872C4"/>
    <w:rsid w:val="61195600"/>
    <w:rsid w:val="611CAEDA"/>
    <w:rsid w:val="611CEB13"/>
    <w:rsid w:val="611FAAC7"/>
    <w:rsid w:val="612359B3"/>
    <w:rsid w:val="6126F5BC"/>
    <w:rsid w:val="612739F4"/>
    <w:rsid w:val="61287F96"/>
    <w:rsid w:val="612B5832"/>
    <w:rsid w:val="612CF26A"/>
    <w:rsid w:val="612D13B6"/>
    <w:rsid w:val="61312EEE"/>
    <w:rsid w:val="61379112"/>
    <w:rsid w:val="613A97F3"/>
    <w:rsid w:val="613AA079"/>
    <w:rsid w:val="613B8250"/>
    <w:rsid w:val="613D3A08"/>
    <w:rsid w:val="613E4BEC"/>
    <w:rsid w:val="61424884"/>
    <w:rsid w:val="61439932"/>
    <w:rsid w:val="61492076"/>
    <w:rsid w:val="614ACBA6"/>
    <w:rsid w:val="614C3AF8"/>
    <w:rsid w:val="614C6987"/>
    <w:rsid w:val="614FC465"/>
    <w:rsid w:val="6151F2C7"/>
    <w:rsid w:val="61521166"/>
    <w:rsid w:val="6159F27C"/>
    <w:rsid w:val="615E7AFF"/>
    <w:rsid w:val="616BA78A"/>
    <w:rsid w:val="616D409C"/>
    <w:rsid w:val="616F2DFF"/>
    <w:rsid w:val="616F62A9"/>
    <w:rsid w:val="61766B79"/>
    <w:rsid w:val="6176BFAB"/>
    <w:rsid w:val="617AE909"/>
    <w:rsid w:val="617D306C"/>
    <w:rsid w:val="617ED92C"/>
    <w:rsid w:val="61818F96"/>
    <w:rsid w:val="6183F2AB"/>
    <w:rsid w:val="6184202F"/>
    <w:rsid w:val="6184A73D"/>
    <w:rsid w:val="61881D2B"/>
    <w:rsid w:val="6188BDC8"/>
    <w:rsid w:val="61976072"/>
    <w:rsid w:val="61980E93"/>
    <w:rsid w:val="619DFD91"/>
    <w:rsid w:val="61A13632"/>
    <w:rsid w:val="61AA1CD0"/>
    <w:rsid w:val="61B2FA4A"/>
    <w:rsid w:val="61B87630"/>
    <w:rsid w:val="61B8EC78"/>
    <w:rsid w:val="61BD47CC"/>
    <w:rsid w:val="61C4F422"/>
    <w:rsid w:val="61C71393"/>
    <w:rsid w:val="61CD27D7"/>
    <w:rsid w:val="61DE1F03"/>
    <w:rsid w:val="61E0DCAC"/>
    <w:rsid w:val="61E68A26"/>
    <w:rsid w:val="61E92CC3"/>
    <w:rsid w:val="61EF73E2"/>
    <w:rsid w:val="61FB0A88"/>
    <w:rsid w:val="61FB56EB"/>
    <w:rsid w:val="61FC3187"/>
    <w:rsid w:val="61FC4045"/>
    <w:rsid w:val="620C3CE8"/>
    <w:rsid w:val="620C5337"/>
    <w:rsid w:val="620CDC8A"/>
    <w:rsid w:val="62120962"/>
    <w:rsid w:val="6212BC29"/>
    <w:rsid w:val="62152540"/>
    <w:rsid w:val="62156DBD"/>
    <w:rsid w:val="6219DF33"/>
    <w:rsid w:val="621AA1A1"/>
    <w:rsid w:val="621C1E5F"/>
    <w:rsid w:val="6220E188"/>
    <w:rsid w:val="62229D5E"/>
    <w:rsid w:val="6224AE32"/>
    <w:rsid w:val="62328B38"/>
    <w:rsid w:val="62341E0B"/>
    <w:rsid w:val="62349EEB"/>
    <w:rsid w:val="62385B6E"/>
    <w:rsid w:val="623A7AA1"/>
    <w:rsid w:val="623CB089"/>
    <w:rsid w:val="623DCE3C"/>
    <w:rsid w:val="623E8E6E"/>
    <w:rsid w:val="624173B8"/>
    <w:rsid w:val="62479DEA"/>
    <w:rsid w:val="6252119F"/>
    <w:rsid w:val="6253811C"/>
    <w:rsid w:val="625F3B0B"/>
    <w:rsid w:val="626333AA"/>
    <w:rsid w:val="6263E623"/>
    <w:rsid w:val="62659E2F"/>
    <w:rsid w:val="62661000"/>
    <w:rsid w:val="62670BF4"/>
    <w:rsid w:val="6268F20C"/>
    <w:rsid w:val="626B74FC"/>
    <w:rsid w:val="626DD0AD"/>
    <w:rsid w:val="626E0D4C"/>
    <w:rsid w:val="62714AD3"/>
    <w:rsid w:val="6273842F"/>
    <w:rsid w:val="627876F4"/>
    <w:rsid w:val="627CE65F"/>
    <w:rsid w:val="628266C1"/>
    <w:rsid w:val="6287CA8F"/>
    <w:rsid w:val="6291D7C7"/>
    <w:rsid w:val="62945C23"/>
    <w:rsid w:val="6294B80A"/>
    <w:rsid w:val="6295816B"/>
    <w:rsid w:val="62A01232"/>
    <w:rsid w:val="62A0BE00"/>
    <w:rsid w:val="62A87501"/>
    <w:rsid w:val="62AB5A6E"/>
    <w:rsid w:val="62AD0FF9"/>
    <w:rsid w:val="62B3A87E"/>
    <w:rsid w:val="62B444A9"/>
    <w:rsid w:val="62B9DCBC"/>
    <w:rsid w:val="62BDF323"/>
    <w:rsid w:val="62BF794D"/>
    <w:rsid w:val="62C0E169"/>
    <w:rsid w:val="62C15443"/>
    <w:rsid w:val="62C2C233"/>
    <w:rsid w:val="62CF0F2C"/>
    <w:rsid w:val="62D13233"/>
    <w:rsid w:val="62D18959"/>
    <w:rsid w:val="62D5B62D"/>
    <w:rsid w:val="62D5DD67"/>
    <w:rsid w:val="62D96F45"/>
    <w:rsid w:val="62D9AE40"/>
    <w:rsid w:val="62E00985"/>
    <w:rsid w:val="62E1B15F"/>
    <w:rsid w:val="62E6E95F"/>
    <w:rsid w:val="62E75E6E"/>
    <w:rsid w:val="62EC0463"/>
    <w:rsid w:val="62F1598D"/>
    <w:rsid w:val="62FBECAC"/>
    <w:rsid w:val="62FBF061"/>
    <w:rsid w:val="62FE3ACA"/>
    <w:rsid w:val="62FF02E2"/>
    <w:rsid w:val="6312EB75"/>
    <w:rsid w:val="63181C01"/>
    <w:rsid w:val="631BE7DF"/>
    <w:rsid w:val="631D456B"/>
    <w:rsid w:val="631D5B5D"/>
    <w:rsid w:val="632329A1"/>
    <w:rsid w:val="6324CA36"/>
    <w:rsid w:val="633603D5"/>
    <w:rsid w:val="6336F9D1"/>
    <w:rsid w:val="6337640D"/>
    <w:rsid w:val="633814D2"/>
    <w:rsid w:val="633A9E61"/>
    <w:rsid w:val="63405E4E"/>
    <w:rsid w:val="63409BC1"/>
    <w:rsid w:val="634EE76E"/>
    <w:rsid w:val="63536127"/>
    <w:rsid w:val="63588630"/>
    <w:rsid w:val="6358B83C"/>
    <w:rsid w:val="635B20F0"/>
    <w:rsid w:val="635BDA37"/>
    <w:rsid w:val="6360F417"/>
    <w:rsid w:val="636918BA"/>
    <w:rsid w:val="636DA58B"/>
    <w:rsid w:val="6374C05B"/>
    <w:rsid w:val="637765FF"/>
    <w:rsid w:val="637A047E"/>
    <w:rsid w:val="637B9F89"/>
    <w:rsid w:val="637DC95D"/>
    <w:rsid w:val="6383C49D"/>
    <w:rsid w:val="638545B5"/>
    <w:rsid w:val="63878EA2"/>
    <w:rsid w:val="638815E7"/>
    <w:rsid w:val="6388DE86"/>
    <w:rsid w:val="638BF57A"/>
    <w:rsid w:val="63924E90"/>
    <w:rsid w:val="63949370"/>
    <w:rsid w:val="6394BA14"/>
    <w:rsid w:val="63955EAD"/>
    <w:rsid w:val="63964F3B"/>
    <w:rsid w:val="63A14C83"/>
    <w:rsid w:val="63A4EF1C"/>
    <w:rsid w:val="63A5BC12"/>
    <w:rsid w:val="63A7E0A1"/>
    <w:rsid w:val="63A9CA67"/>
    <w:rsid w:val="63B029B1"/>
    <w:rsid w:val="63BB8FFC"/>
    <w:rsid w:val="63BE0C8C"/>
    <w:rsid w:val="63C232AF"/>
    <w:rsid w:val="63C7BDB5"/>
    <w:rsid w:val="63CA2063"/>
    <w:rsid w:val="63CA50C3"/>
    <w:rsid w:val="63CEA564"/>
    <w:rsid w:val="63D26E25"/>
    <w:rsid w:val="63E011D6"/>
    <w:rsid w:val="63E05CD1"/>
    <w:rsid w:val="63E1862C"/>
    <w:rsid w:val="63EE5494"/>
    <w:rsid w:val="63F1161F"/>
    <w:rsid w:val="63FFC740"/>
    <w:rsid w:val="6400D709"/>
    <w:rsid w:val="64022E46"/>
    <w:rsid w:val="64072191"/>
    <w:rsid w:val="640B3BE5"/>
    <w:rsid w:val="640DC665"/>
    <w:rsid w:val="640EABBD"/>
    <w:rsid w:val="64123FA0"/>
    <w:rsid w:val="641BA19B"/>
    <w:rsid w:val="641FA701"/>
    <w:rsid w:val="64239AF0"/>
    <w:rsid w:val="64257A31"/>
    <w:rsid w:val="6429BE9E"/>
    <w:rsid w:val="6429EC5D"/>
    <w:rsid w:val="643922F3"/>
    <w:rsid w:val="643B0C10"/>
    <w:rsid w:val="643CC11B"/>
    <w:rsid w:val="644881A6"/>
    <w:rsid w:val="644B4B2E"/>
    <w:rsid w:val="64500547"/>
    <w:rsid w:val="6457BB83"/>
    <w:rsid w:val="64590D63"/>
    <w:rsid w:val="645A7E8E"/>
    <w:rsid w:val="645C0669"/>
    <w:rsid w:val="645CFAA5"/>
    <w:rsid w:val="64620354"/>
    <w:rsid w:val="64638432"/>
    <w:rsid w:val="64649432"/>
    <w:rsid w:val="6464DC56"/>
    <w:rsid w:val="646754A5"/>
    <w:rsid w:val="646A30D7"/>
    <w:rsid w:val="64747F00"/>
    <w:rsid w:val="6474DBE5"/>
    <w:rsid w:val="6474F6B0"/>
    <w:rsid w:val="647A192A"/>
    <w:rsid w:val="647D2538"/>
    <w:rsid w:val="647DB4BE"/>
    <w:rsid w:val="647F6D26"/>
    <w:rsid w:val="6483AA27"/>
    <w:rsid w:val="648602CC"/>
    <w:rsid w:val="64861A1D"/>
    <w:rsid w:val="6487424E"/>
    <w:rsid w:val="6489AB31"/>
    <w:rsid w:val="6489FEBB"/>
    <w:rsid w:val="648B4173"/>
    <w:rsid w:val="648CFEE2"/>
    <w:rsid w:val="648D4C2B"/>
    <w:rsid w:val="648E49E5"/>
    <w:rsid w:val="648F418F"/>
    <w:rsid w:val="6494597C"/>
    <w:rsid w:val="6495F842"/>
    <w:rsid w:val="6496ABA5"/>
    <w:rsid w:val="649C1394"/>
    <w:rsid w:val="64A0A510"/>
    <w:rsid w:val="64A115F5"/>
    <w:rsid w:val="64B60429"/>
    <w:rsid w:val="64B652AB"/>
    <w:rsid w:val="64BB94FA"/>
    <w:rsid w:val="64BD3FCC"/>
    <w:rsid w:val="64BF185F"/>
    <w:rsid w:val="64BFDCAD"/>
    <w:rsid w:val="64C5E143"/>
    <w:rsid w:val="64D5BC28"/>
    <w:rsid w:val="64D76A25"/>
    <w:rsid w:val="64D87C89"/>
    <w:rsid w:val="64D8CB51"/>
    <w:rsid w:val="64DFBB28"/>
    <w:rsid w:val="64DFFC97"/>
    <w:rsid w:val="64E057C3"/>
    <w:rsid w:val="64E288E5"/>
    <w:rsid w:val="64E70B61"/>
    <w:rsid w:val="64E7B042"/>
    <w:rsid w:val="64F3288B"/>
    <w:rsid w:val="64F664D8"/>
    <w:rsid w:val="64FA1173"/>
    <w:rsid w:val="64FE9B00"/>
    <w:rsid w:val="6500B4E6"/>
    <w:rsid w:val="650AB2B4"/>
    <w:rsid w:val="650F43E3"/>
    <w:rsid w:val="651091B9"/>
    <w:rsid w:val="65118A66"/>
    <w:rsid w:val="65140CBE"/>
    <w:rsid w:val="651A8C73"/>
    <w:rsid w:val="651B2B58"/>
    <w:rsid w:val="652EC38B"/>
    <w:rsid w:val="65324096"/>
    <w:rsid w:val="6532FB07"/>
    <w:rsid w:val="6548C7F1"/>
    <w:rsid w:val="65493056"/>
    <w:rsid w:val="65498503"/>
    <w:rsid w:val="6549E89B"/>
    <w:rsid w:val="654F3212"/>
    <w:rsid w:val="6553F714"/>
    <w:rsid w:val="6554A1FC"/>
    <w:rsid w:val="6555215F"/>
    <w:rsid w:val="6558A1A7"/>
    <w:rsid w:val="6558CFEB"/>
    <w:rsid w:val="655C6A45"/>
    <w:rsid w:val="655CBE63"/>
    <w:rsid w:val="655EF410"/>
    <w:rsid w:val="656441E1"/>
    <w:rsid w:val="65646FC9"/>
    <w:rsid w:val="65662F7F"/>
    <w:rsid w:val="6567AE47"/>
    <w:rsid w:val="656FAC71"/>
    <w:rsid w:val="6570741F"/>
    <w:rsid w:val="65743550"/>
    <w:rsid w:val="6574A5DD"/>
    <w:rsid w:val="65761670"/>
    <w:rsid w:val="657698B4"/>
    <w:rsid w:val="6577B486"/>
    <w:rsid w:val="657991B5"/>
    <w:rsid w:val="6582C1FD"/>
    <w:rsid w:val="6592AC25"/>
    <w:rsid w:val="659733AC"/>
    <w:rsid w:val="65A03B0D"/>
    <w:rsid w:val="65A2F84C"/>
    <w:rsid w:val="65AA8315"/>
    <w:rsid w:val="65B1BE83"/>
    <w:rsid w:val="65B27054"/>
    <w:rsid w:val="65B47CBB"/>
    <w:rsid w:val="65C3C3A1"/>
    <w:rsid w:val="65C6010A"/>
    <w:rsid w:val="65C6F4BB"/>
    <w:rsid w:val="65C7BB07"/>
    <w:rsid w:val="65CAE6DA"/>
    <w:rsid w:val="65CE7F20"/>
    <w:rsid w:val="65D17775"/>
    <w:rsid w:val="65D7C0CF"/>
    <w:rsid w:val="65DBEB1D"/>
    <w:rsid w:val="65DCBF28"/>
    <w:rsid w:val="65DDCBA0"/>
    <w:rsid w:val="65DE5321"/>
    <w:rsid w:val="65DFB834"/>
    <w:rsid w:val="65DFFB42"/>
    <w:rsid w:val="65E0CD10"/>
    <w:rsid w:val="65E33057"/>
    <w:rsid w:val="65E79C61"/>
    <w:rsid w:val="65E92982"/>
    <w:rsid w:val="65EAB7EB"/>
    <w:rsid w:val="65F3EE69"/>
    <w:rsid w:val="65FCD1EF"/>
    <w:rsid w:val="65FE6A41"/>
    <w:rsid w:val="65FEE8DD"/>
    <w:rsid w:val="6601059B"/>
    <w:rsid w:val="660E08C4"/>
    <w:rsid w:val="660F5D81"/>
    <w:rsid w:val="6614E9F3"/>
    <w:rsid w:val="661928D6"/>
    <w:rsid w:val="661E109B"/>
    <w:rsid w:val="661EBEE0"/>
    <w:rsid w:val="661FAC4D"/>
    <w:rsid w:val="66209342"/>
    <w:rsid w:val="662167DC"/>
    <w:rsid w:val="6622EEB5"/>
    <w:rsid w:val="6623678C"/>
    <w:rsid w:val="6625CA04"/>
    <w:rsid w:val="662B54E3"/>
    <w:rsid w:val="662FB8DF"/>
    <w:rsid w:val="66393189"/>
    <w:rsid w:val="663FA81F"/>
    <w:rsid w:val="6649E029"/>
    <w:rsid w:val="664B4A96"/>
    <w:rsid w:val="6658C9A7"/>
    <w:rsid w:val="665E1B4A"/>
    <w:rsid w:val="665EDC65"/>
    <w:rsid w:val="665F1959"/>
    <w:rsid w:val="6661C6DA"/>
    <w:rsid w:val="6664B32F"/>
    <w:rsid w:val="666E7A41"/>
    <w:rsid w:val="6674C2BF"/>
    <w:rsid w:val="667C8CB2"/>
    <w:rsid w:val="667D558E"/>
    <w:rsid w:val="667E11C4"/>
    <w:rsid w:val="667E2237"/>
    <w:rsid w:val="6680619C"/>
    <w:rsid w:val="668139E0"/>
    <w:rsid w:val="6681AFEE"/>
    <w:rsid w:val="66858962"/>
    <w:rsid w:val="66861575"/>
    <w:rsid w:val="66882229"/>
    <w:rsid w:val="668EF8EC"/>
    <w:rsid w:val="668FF1C6"/>
    <w:rsid w:val="6691C217"/>
    <w:rsid w:val="669614B1"/>
    <w:rsid w:val="6698ABCE"/>
    <w:rsid w:val="669C2C99"/>
    <w:rsid w:val="669C9393"/>
    <w:rsid w:val="66A23526"/>
    <w:rsid w:val="66A38CC1"/>
    <w:rsid w:val="66A3B990"/>
    <w:rsid w:val="66A597E1"/>
    <w:rsid w:val="66A69A67"/>
    <w:rsid w:val="66A866D3"/>
    <w:rsid w:val="66AAFF22"/>
    <w:rsid w:val="66AB6AF9"/>
    <w:rsid w:val="66B1BC68"/>
    <w:rsid w:val="66B41868"/>
    <w:rsid w:val="66B78708"/>
    <w:rsid w:val="66C319AB"/>
    <w:rsid w:val="66C417CA"/>
    <w:rsid w:val="66C46391"/>
    <w:rsid w:val="66C6D35C"/>
    <w:rsid w:val="66CC6C5E"/>
    <w:rsid w:val="66CE43C9"/>
    <w:rsid w:val="66D13FE1"/>
    <w:rsid w:val="66D1ED16"/>
    <w:rsid w:val="66D234F7"/>
    <w:rsid w:val="66D376C8"/>
    <w:rsid w:val="66D79C7C"/>
    <w:rsid w:val="66D83D6C"/>
    <w:rsid w:val="66E08BAD"/>
    <w:rsid w:val="66EDEE03"/>
    <w:rsid w:val="66F0689C"/>
    <w:rsid w:val="66F27F8E"/>
    <w:rsid w:val="66F352A2"/>
    <w:rsid w:val="66F5C6D7"/>
    <w:rsid w:val="66F8174F"/>
    <w:rsid w:val="66F90DE7"/>
    <w:rsid w:val="66FF7A0B"/>
    <w:rsid w:val="6701E986"/>
    <w:rsid w:val="6702BBA1"/>
    <w:rsid w:val="6703AD1B"/>
    <w:rsid w:val="6703FE60"/>
    <w:rsid w:val="6704E9F6"/>
    <w:rsid w:val="670582DE"/>
    <w:rsid w:val="6707CD50"/>
    <w:rsid w:val="670A9FC1"/>
    <w:rsid w:val="671A1089"/>
    <w:rsid w:val="671FCB66"/>
    <w:rsid w:val="6721EEAF"/>
    <w:rsid w:val="672DEDE4"/>
    <w:rsid w:val="672EB33D"/>
    <w:rsid w:val="672FE9E0"/>
    <w:rsid w:val="67315048"/>
    <w:rsid w:val="6734A6BE"/>
    <w:rsid w:val="6739D47F"/>
    <w:rsid w:val="673BDF78"/>
    <w:rsid w:val="67486192"/>
    <w:rsid w:val="67501689"/>
    <w:rsid w:val="6751EA40"/>
    <w:rsid w:val="675367A8"/>
    <w:rsid w:val="675AFD1F"/>
    <w:rsid w:val="6764B320"/>
    <w:rsid w:val="676735E3"/>
    <w:rsid w:val="6774367B"/>
    <w:rsid w:val="677B00BB"/>
    <w:rsid w:val="677BF191"/>
    <w:rsid w:val="6784FDE8"/>
    <w:rsid w:val="67899F26"/>
    <w:rsid w:val="6793185A"/>
    <w:rsid w:val="67A24B86"/>
    <w:rsid w:val="67A46999"/>
    <w:rsid w:val="67A9DCE3"/>
    <w:rsid w:val="67AA1554"/>
    <w:rsid w:val="67AA48BF"/>
    <w:rsid w:val="67ACEEE3"/>
    <w:rsid w:val="67AF0DD9"/>
    <w:rsid w:val="67AF73AC"/>
    <w:rsid w:val="67AFA139"/>
    <w:rsid w:val="67B87622"/>
    <w:rsid w:val="67B9228F"/>
    <w:rsid w:val="67BB4373"/>
    <w:rsid w:val="67BCB1F6"/>
    <w:rsid w:val="67C7B8CA"/>
    <w:rsid w:val="67C97498"/>
    <w:rsid w:val="67D80883"/>
    <w:rsid w:val="67DD9E07"/>
    <w:rsid w:val="67E05622"/>
    <w:rsid w:val="67E3A5FA"/>
    <w:rsid w:val="67E55B27"/>
    <w:rsid w:val="67EB4998"/>
    <w:rsid w:val="67EF8BE6"/>
    <w:rsid w:val="67F01E99"/>
    <w:rsid w:val="67F0FF00"/>
    <w:rsid w:val="67F5CD37"/>
    <w:rsid w:val="67F64D3B"/>
    <w:rsid w:val="67FDF655"/>
    <w:rsid w:val="68029DCA"/>
    <w:rsid w:val="6808C37D"/>
    <w:rsid w:val="680AAEC4"/>
    <w:rsid w:val="680B60F2"/>
    <w:rsid w:val="680F7B6E"/>
    <w:rsid w:val="681141FF"/>
    <w:rsid w:val="6812514B"/>
    <w:rsid w:val="68128323"/>
    <w:rsid w:val="681739FF"/>
    <w:rsid w:val="6818C010"/>
    <w:rsid w:val="681CE5CF"/>
    <w:rsid w:val="681D2B99"/>
    <w:rsid w:val="68227901"/>
    <w:rsid w:val="6829B0D1"/>
    <w:rsid w:val="6830A514"/>
    <w:rsid w:val="683C7C21"/>
    <w:rsid w:val="684105E4"/>
    <w:rsid w:val="6842CFE9"/>
    <w:rsid w:val="6844B706"/>
    <w:rsid w:val="684534BB"/>
    <w:rsid w:val="684620B3"/>
    <w:rsid w:val="684BE9A5"/>
    <w:rsid w:val="6851DD76"/>
    <w:rsid w:val="68576B5E"/>
    <w:rsid w:val="685B3D45"/>
    <w:rsid w:val="685C91F1"/>
    <w:rsid w:val="685E9A08"/>
    <w:rsid w:val="685F669D"/>
    <w:rsid w:val="6863CD96"/>
    <w:rsid w:val="68642F3A"/>
    <w:rsid w:val="68660390"/>
    <w:rsid w:val="6866B39F"/>
    <w:rsid w:val="686F4F02"/>
    <w:rsid w:val="686FB245"/>
    <w:rsid w:val="6872B6AF"/>
    <w:rsid w:val="68741C1D"/>
    <w:rsid w:val="687AFF0A"/>
    <w:rsid w:val="687C6E96"/>
    <w:rsid w:val="688238C8"/>
    <w:rsid w:val="688D10B3"/>
    <w:rsid w:val="688E75E4"/>
    <w:rsid w:val="68937213"/>
    <w:rsid w:val="6895E1BD"/>
    <w:rsid w:val="6897F3A1"/>
    <w:rsid w:val="689BE437"/>
    <w:rsid w:val="689F3427"/>
    <w:rsid w:val="689FBDA8"/>
    <w:rsid w:val="68A0B0B1"/>
    <w:rsid w:val="68A6B887"/>
    <w:rsid w:val="68B1254C"/>
    <w:rsid w:val="68B2F364"/>
    <w:rsid w:val="68B344F5"/>
    <w:rsid w:val="68B75179"/>
    <w:rsid w:val="68C2C188"/>
    <w:rsid w:val="68C683F6"/>
    <w:rsid w:val="68C6E48F"/>
    <w:rsid w:val="68D0FC7C"/>
    <w:rsid w:val="68D27048"/>
    <w:rsid w:val="68D2956B"/>
    <w:rsid w:val="68D5AE3C"/>
    <w:rsid w:val="68DFC6C7"/>
    <w:rsid w:val="68E5A9A6"/>
    <w:rsid w:val="68EFE0B1"/>
    <w:rsid w:val="68F0F119"/>
    <w:rsid w:val="68F205BB"/>
    <w:rsid w:val="68F2BE2D"/>
    <w:rsid w:val="68F36D80"/>
    <w:rsid w:val="68F6BB47"/>
    <w:rsid w:val="68FD0D6F"/>
    <w:rsid w:val="68FD5D56"/>
    <w:rsid w:val="6902F128"/>
    <w:rsid w:val="6903826A"/>
    <w:rsid w:val="69045F4B"/>
    <w:rsid w:val="69062737"/>
    <w:rsid w:val="690872E4"/>
    <w:rsid w:val="690AA217"/>
    <w:rsid w:val="691534F6"/>
    <w:rsid w:val="691A4490"/>
    <w:rsid w:val="69216ACF"/>
    <w:rsid w:val="692B82BC"/>
    <w:rsid w:val="69354CE9"/>
    <w:rsid w:val="693E0F74"/>
    <w:rsid w:val="6948EFC5"/>
    <w:rsid w:val="694D9581"/>
    <w:rsid w:val="6953070E"/>
    <w:rsid w:val="695BA16E"/>
    <w:rsid w:val="695BD778"/>
    <w:rsid w:val="695C7AD3"/>
    <w:rsid w:val="69600C8A"/>
    <w:rsid w:val="6964E4F5"/>
    <w:rsid w:val="69681C3A"/>
    <w:rsid w:val="6968C568"/>
    <w:rsid w:val="69745127"/>
    <w:rsid w:val="6978245C"/>
    <w:rsid w:val="6978D45C"/>
    <w:rsid w:val="69867981"/>
    <w:rsid w:val="698D6D34"/>
    <w:rsid w:val="698FCF42"/>
    <w:rsid w:val="69933783"/>
    <w:rsid w:val="699438C7"/>
    <w:rsid w:val="699BBC47"/>
    <w:rsid w:val="69A18CAF"/>
    <w:rsid w:val="69A67312"/>
    <w:rsid w:val="69AC9F1E"/>
    <w:rsid w:val="69AD7EA3"/>
    <w:rsid w:val="69B0167F"/>
    <w:rsid w:val="69B93F39"/>
    <w:rsid w:val="69C4CA24"/>
    <w:rsid w:val="69C7D9F2"/>
    <w:rsid w:val="69C8054D"/>
    <w:rsid w:val="69C9AE4E"/>
    <w:rsid w:val="69CD7A64"/>
    <w:rsid w:val="69D431E1"/>
    <w:rsid w:val="69D4653D"/>
    <w:rsid w:val="69D80F3D"/>
    <w:rsid w:val="69D93295"/>
    <w:rsid w:val="69E395D5"/>
    <w:rsid w:val="69E54D6C"/>
    <w:rsid w:val="69E5FD6E"/>
    <w:rsid w:val="69E95AFA"/>
    <w:rsid w:val="69E99358"/>
    <w:rsid w:val="69ECC50C"/>
    <w:rsid w:val="69F41C76"/>
    <w:rsid w:val="69F5E436"/>
    <w:rsid w:val="6A01C5A4"/>
    <w:rsid w:val="6A095F83"/>
    <w:rsid w:val="6A0A0591"/>
    <w:rsid w:val="6A0BA46A"/>
    <w:rsid w:val="6A0C9BC3"/>
    <w:rsid w:val="6A0D3614"/>
    <w:rsid w:val="6A13992E"/>
    <w:rsid w:val="6A1CD29F"/>
    <w:rsid w:val="6A1EC54F"/>
    <w:rsid w:val="6A20C9EC"/>
    <w:rsid w:val="6A230558"/>
    <w:rsid w:val="6A24D87B"/>
    <w:rsid w:val="6A2B8E81"/>
    <w:rsid w:val="6A2D8085"/>
    <w:rsid w:val="6A2F77FC"/>
    <w:rsid w:val="6A2FC87A"/>
    <w:rsid w:val="6A3BF14B"/>
    <w:rsid w:val="6A3BFD27"/>
    <w:rsid w:val="6A3F7601"/>
    <w:rsid w:val="6A40B9D1"/>
    <w:rsid w:val="6A4B2C2A"/>
    <w:rsid w:val="6A4E11AD"/>
    <w:rsid w:val="6A4ECC42"/>
    <w:rsid w:val="6A531635"/>
    <w:rsid w:val="6A5593BD"/>
    <w:rsid w:val="6A6D2E20"/>
    <w:rsid w:val="6A6D4D2B"/>
    <w:rsid w:val="6A6E3933"/>
    <w:rsid w:val="6A7351BC"/>
    <w:rsid w:val="6A77EA88"/>
    <w:rsid w:val="6A7FD2BC"/>
    <w:rsid w:val="6A81B56E"/>
    <w:rsid w:val="6A8231A2"/>
    <w:rsid w:val="6A86DC33"/>
    <w:rsid w:val="6A917741"/>
    <w:rsid w:val="6A939CE6"/>
    <w:rsid w:val="6A94D153"/>
    <w:rsid w:val="6A98A169"/>
    <w:rsid w:val="6A9BCE6E"/>
    <w:rsid w:val="6A9D42B8"/>
    <w:rsid w:val="6A9FD2BC"/>
    <w:rsid w:val="6AA25FB3"/>
    <w:rsid w:val="6AA38E8E"/>
    <w:rsid w:val="6AA460D8"/>
    <w:rsid w:val="6AA5593F"/>
    <w:rsid w:val="6AA912D2"/>
    <w:rsid w:val="6AAF52D1"/>
    <w:rsid w:val="6AB53838"/>
    <w:rsid w:val="6ABA25B3"/>
    <w:rsid w:val="6ABA4CAF"/>
    <w:rsid w:val="6ABD343F"/>
    <w:rsid w:val="6ABE9650"/>
    <w:rsid w:val="6AC748CC"/>
    <w:rsid w:val="6AC7518F"/>
    <w:rsid w:val="6AC85669"/>
    <w:rsid w:val="6ACB831A"/>
    <w:rsid w:val="6ACBD3B7"/>
    <w:rsid w:val="6AD25538"/>
    <w:rsid w:val="6AD67F37"/>
    <w:rsid w:val="6AE2AC63"/>
    <w:rsid w:val="6AEA094E"/>
    <w:rsid w:val="6AF0DBC3"/>
    <w:rsid w:val="6AF13555"/>
    <w:rsid w:val="6AF26568"/>
    <w:rsid w:val="6B04D59E"/>
    <w:rsid w:val="6B06429E"/>
    <w:rsid w:val="6B089976"/>
    <w:rsid w:val="6B0942F6"/>
    <w:rsid w:val="6B0999C8"/>
    <w:rsid w:val="6B0A7A7D"/>
    <w:rsid w:val="6B0B9080"/>
    <w:rsid w:val="6B0BC54A"/>
    <w:rsid w:val="6B0D4C89"/>
    <w:rsid w:val="6B15C9AC"/>
    <w:rsid w:val="6B16CD8B"/>
    <w:rsid w:val="6B1AD876"/>
    <w:rsid w:val="6B1AE6AB"/>
    <w:rsid w:val="6B2038DB"/>
    <w:rsid w:val="6B211103"/>
    <w:rsid w:val="6B22C547"/>
    <w:rsid w:val="6B2302FB"/>
    <w:rsid w:val="6B2935FB"/>
    <w:rsid w:val="6B2A24FA"/>
    <w:rsid w:val="6B2C25FA"/>
    <w:rsid w:val="6B340437"/>
    <w:rsid w:val="6B373517"/>
    <w:rsid w:val="6B3AE2EB"/>
    <w:rsid w:val="6B3C8CEE"/>
    <w:rsid w:val="6B3FE6D2"/>
    <w:rsid w:val="6B414064"/>
    <w:rsid w:val="6B45E19C"/>
    <w:rsid w:val="6B4B96A9"/>
    <w:rsid w:val="6B4BE4A4"/>
    <w:rsid w:val="6B4C5C89"/>
    <w:rsid w:val="6B501D20"/>
    <w:rsid w:val="6B53A9E7"/>
    <w:rsid w:val="6B54BF7D"/>
    <w:rsid w:val="6B5664F2"/>
    <w:rsid w:val="6B61841B"/>
    <w:rsid w:val="6B677C77"/>
    <w:rsid w:val="6B680219"/>
    <w:rsid w:val="6B6A332C"/>
    <w:rsid w:val="6B71A2F9"/>
    <w:rsid w:val="6B7597CD"/>
    <w:rsid w:val="6B7E1372"/>
    <w:rsid w:val="6B816047"/>
    <w:rsid w:val="6B82460B"/>
    <w:rsid w:val="6B8E8AF1"/>
    <w:rsid w:val="6B8EECC3"/>
    <w:rsid w:val="6B91C486"/>
    <w:rsid w:val="6B95719D"/>
    <w:rsid w:val="6B95B53A"/>
    <w:rsid w:val="6B964E09"/>
    <w:rsid w:val="6B96E5B1"/>
    <w:rsid w:val="6BA071C0"/>
    <w:rsid w:val="6BA16452"/>
    <w:rsid w:val="6BA6E66F"/>
    <w:rsid w:val="6BAADF4A"/>
    <w:rsid w:val="6BB1CDA3"/>
    <w:rsid w:val="6BB28317"/>
    <w:rsid w:val="6BB69E31"/>
    <w:rsid w:val="6BBADF6E"/>
    <w:rsid w:val="6BBAEEC1"/>
    <w:rsid w:val="6BBB5E5C"/>
    <w:rsid w:val="6BC25E78"/>
    <w:rsid w:val="6BC3C983"/>
    <w:rsid w:val="6BC7F1EF"/>
    <w:rsid w:val="6BD24758"/>
    <w:rsid w:val="6BD5605D"/>
    <w:rsid w:val="6BD73269"/>
    <w:rsid w:val="6BDA7B2A"/>
    <w:rsid w:val="6BDDAF9A"/>
    <w:rsid w:val="6BDF1AF3"/>
    <w:rsid w:val="6BE78933"/>
    <w:rsid w:val="6BED4714"/>
    <w:rsid w:val="6BEE23D5"/>
    <w:rsid w:val="6BF1D7E3"/>
    <w:rsid w:val="6BF3A32F"/>
    <w:rsid w:val="6BF48A40"/>
    <w:rsid w:val="6BFA1ED9"/>
    <w:rsid w:val="6BFBB32C"/>
    <w:rsid w:val="6BFFB4D1"/>
    <w:rsid w:val="6C00EE8F"/>
    <w:rsid w:val="6C00F259"/>
    <w:rsid w:val="6C0324C1"/>
    <w:rsid w:val="6C045ED3"/>
    <w:rsid w:val="6C062677"/>
    <w:rsid w:val="6C067904"/>
    <w:rsid w:val="6C07DDE7"/>
    <w:rsid w:val="6C0FB41B"/>
    <w:rsid w:val="6C1609A4"/>
    <w:rsid w:val="6C16FDF4"/>
    <w:rsid w:val="6C1BA006"/>
    <w:rsid w:val="6C20381A"/>
    <w:rsid w:val="6C26BEED"/>
    <w:rsid w:val="6C2A0AFB"/>
    <w:rsid w:val="6C2D7155"/>
    <w:rsid w:val="6C2EC6AF"/>
    <w:rsid w:val="6C2F9824"/>
    <w:rsid w:val="6C33EB99"/>
    <w:rsid w:val="6C35FDBD"/>
    <w:rsid w:val="6C369201"/>
    <w:rsid w:val="6C3A2DBF"/>
    <w:rsid w:val="6C3E983C"/>
    <w:rsid w:val="6C3EE40C"/>
    <w:rsid w:val="6C404517"/>
    <w:rsid w:val="6C40EC50"/>
    <w:rsid w:val="6C426383"/>
    <w:rsid w:val="6C42F1BD"/>
    <w:rsid w:val="6C460CD0"/>
    <w:rsid w:val="6C4B5951"/>
    <w:rsid w:val="6C5EFB7C"/>
    <w:rsid w:val="6C65837E"/>
    <w:rsid w:val="6C67AE7D"/>
    <w:rsid w:val="6C6FB33E"/>
    <w:rsid w:val="6C71C3D5"/>
    <w:rsid w:val="6C731DA2"/>
    <w:rsid w:val="6C777110"/>
    <w:rsid w:val="6C783C62"/>
    <w:rsid w:val="6C795E42"/>
    <w:rsid w:val="6C7B0270"/>
    <w:rsid w:val="6C7D13A4"/>
    <w:rsid w:val="6C7DD7BC"/>
    <w:rsid w:val="6C839EDF"/>
    <w:rsid w:val="6C84C155"/>
    <w:rsid w:val="6C885E91"/>
    <w:rsid w:val="6C9418AE"/>
    <w:rsid w:val="6C97AD4C"/>
    <w:rsid w:val="6C9D9ED9"/>
    <w:rsid w:val="6CAF9C18"/>
    <w:rsid w:val="6CB0040A"/>
    <w:rsid w:val="6CB191A5"/>
    <w:rsid w:val="6CB57424"/>
    <w:rsid w:val="6CB5F688"/>
    <w:rsid w:val="6CBBA322"/>
    <w:rsid w:val="6CBC296A"/>
    <w:rsid w:val="6CC4FB2B"/>
    <w:rsid w:val="6CC9FA49"/>
    <w:rsid w:val="6CCFCD7E"/>
    <w:rsid w:val="6CD161BE"/>
    <w:rsid w:val="6CD367AE"/>
    <w:rsid w:val="6CD4E242"/>
    <w:rsid w:val="6CD5E677"/>
    <w:rsid w:val="6CD5F9C6"/>
    <w:rsid w:val="6CD999C4"/>
    <w:rsid w:val="6CDD819D"/>
    <w:rsid w:val="6CE8CECB"/>
    <w:rsid w:val="6CE9E126"/>
    <w:rsid w:val="6CECDCEF"/>
    <w:rsid w:val="6CEF9F1F"/>
    <w:rsid w:val="6CF30644"/>
    <w:rsid w:val="6CF87002"/>
    <w:rsid w:val="6CFAFA39"/>
    <w:rsid w:val="6CFC71AA"/>
    <w:rsid w:val="6D029F1F"/>
    <w:rsid w:val="6D07DC78"/>
    <w:rsid w:val="6D10D676"/>
    <w:rsid w:val="6D141149"/>
    <w:rsid w:val="6D171B07"/>
    <w:rsid w:val="6D1DA11D"/>
    <w:rsid w:val="6D23E764"/>
    <w:rsid w:val="6D257124"/>
    <w:rsid w:val="6D25CD66"/>
    <w:rsid w:val="6D271A20"/>
    <w:rsid w:val="6D3339F8"/>
    <w:rsid w:val="6D33775F"/>
    <w:rsid w:val="6D37E84B"/>
    <w:rsid w:val="6D3DEF5C"/>
    <w:rsid w:val="6D46AE7A"/>
    <w:rsid w:val="6D537A83"/>
    <w:rsid w:val="6D59E349"/>
    <w:rsid w:val="6D5A848A"/>
    <w:rsid w:val="6D63A46F"/>
    <w:rsid w:val="6D64D03D"/>
    <w:rsid w:val="6D669386"/>
    <w:rsid w:val="6D67119E"/>
    <w:rsid w:val="6D6B1720"/>
    <w:rsid w:val="6D6B7F9B"/>
    <w:rsid w:val="6D7559B7"/>
    <w:rsid w:val="6D76712D"/>
    <w:rsid w:val="6D76B2AC"/>
    <w:rsid w:val="6D76CEA9"/>
    <w:rsid w:val="6D7E5469"/>
    <w:rsid w:val="6D7F73E4"/>
    <w:rsid w:val="6D802585"/>
    <w:rsid w:val="6D871867"/>
    <w:rsid w:val="6D87D8B8"/>
    <w:rsid w:val="6D88C5AC"/>
    <w:rsid w:val="6D927FC0"/>
    <w:rsid w:val="6D92F7FC"/>
    <w:rsid w:val="6D97C19F"/>
    <w:rsid w:val="6D9A08D9"/>
    <w:rsid w:val="6D9DA753"/>
    <w:rsid w:val="6D9EF5B2"/>
    <w:rsid w:val="6DA127A6"/>
    <w:rsid w:val="6DA50FE5"/>
    <w:rsid w:val="6DA66905"/>
    <w:rsid w:val="6DA81692"/>
    <w:rsid w:val="6DABFC51"/>
    <w:rsid w:val="6DAC88CB"/>
    <w:rsid w:val="6DAEC7C4"/>
    <w:rsid w:val="6DB003DD"/>
    <w:rsid w:val="6DB3F228"/>
    <w:rsid w:val="6DB622EF"/>
    <w:rsid w:val="6DB68F6F"/>
    <w:rsid w:val="6DB94102"/>
    <w:rsid w:val="6DBC502E"/>
    <w:rsid w:val="6DBDB7CE"/>
    <w:rsid w:val="6DBE2374"/>
    <w:rsid w:val="6DC79B22"/>
    <w:rsid w:val="6DCE0B81"/>
    <w:rsid w:val="6DCE308C"/>
    <w:rsid w:val="6DD3A836"/>
    <w:rsid w:val="6DDA1E0B"/>
    <w:rsid w:val="6DDBF948"/>
    <w:rsid w:val="6DDBF9FD"/>
    <w:rsid w:val="6DDF7434"/>
    <w:rsid w:val="6DE99633"/>
    <w:rsid w:val="6DEA31E3"/>
    <w:rsid w:val="6DED68A5"/>
    <w:rsid w:val="6DEDBC8B"/>
    <w:rsid w:val="6DF1D437"/>
    <w:rsid w:val="6DFD22FF"/>
    <w:rsid w:val="6E005A39"/>
    <w:rsid w:val="6E0C9F13"/>
    <w:rsid w:val="6E11324A"/>
    <w:rsid w:val="6E132030"/>
    <w:rsid w:val="6E133922"/>
    <w:rsid w:val="6E140BB0"/>
    <w:rsid w:val="6E193D43"/>
    <w:rsid w:val="6E19EA56"/>
    <w:rsid w:val="6E1B815C"/>
    <w:rsid w:val="6E1E4F5D"/>
    <w:rsid w:val="6E22C316"/>
    <w:rsid w:val="6E263C87"/>
    <w:rsid w:val="6E304242"/>
    <w:rsid w:val="6E33D9BE"/>
    <w:rsid w:val="6E386D02"/>
    <w:rsid w:val="6E38C15A"/>
    <w:rsid w:val="6E3E1277"/>
    <w:rsid w:val="6E4561B1"/>
    <w:rsid w:val="6E474061"/>
    <w:rsid w:val="6E4E648A"/>
    <w:rsid w:val="6E536D0C"/>
    <w:rsid w:val="6E576E98"/>
    <w:rsid w:val="6E57B54A"/>
    <w:rsid w:val="6E57E3A9"/>
    <w:rsid w:val="6E5C9190"/>
    <w:rsid w:val="6E5D5D1D"/>
    <w:rsid w:val="6E6019CF"/>
    <w:rsid w:val="6E68AC93"/>
    <w:rsid w:val="6E6C8D37"/>
    <w:rsid w:val="6E6F34FA"/>
    <w:rsid w:val="6E707F34"/>
    <w:rsid w:val="6E7338B4"/>
    <w:rsid w:val="6E75E39A"/>
    <w:rsid w:val="6E798C5B"/>
    <w:rsid w:val="6E7AD93A"/>
    <w:rsid w:val="6E7C6F2C"/>
    <w:rsid w:val="6E8196D5"/>
    <w:rsid w:val="6E8305C0"/>
    <w:rsid w:val="6E8A0CE8"/>
    <w:rsid w:val="6E8C5342"/>
    <w:rsid w:val="6E8CB998"/>
    <w:rsid w:val="6E8FB1C3"/>
    <w:rsid w:val="6E9011F0"/>
    <w:rsid w:val="6EA476C8"/>
    <w:rsid w:val="6EA8992B"/>
    <w:rsid w:val="6EAB4D6A"/>
    <w:rsid w:val="6EB73034"/>
    <w:rsid w:val="6EBA9685"/>
    <w:rsid w:val="6EBE2451"/>
    <w:rsid w:val="6EBE9F11"/>
    <w:rsid w:val="6EC313D4"/>
    <w:rsid w:val="6EC49993"/>
    <w:rsid w:val="6EC6C4F2"/>
    <w:rsid w:val="6EC6E790"/>
    <w:rsid w:val="6ED1241D"/>
    <w:rsid w:val="6ED1F98D"/>
    <w:rsid w:val="6ED8D051"/>
    <w:rsid w:val="6ED9F946"/>
    <w:rsid w:val="6EDEC3C5"/>
    <w:rsid w:val="6EE40993"/>
    <w:rsid w:val="6EE8CB7D"/>
    <w:rsid w:val="6EEE56AB"/>
    <w:rsid w:val="6EF05D06"/>
    <w:rsid w:val="6EF1C155"/>
    <w:rsid w:val="6EF71992"/>
    <w:rsid w:val="6EF726BD"/>
    <w:rsid w:val="6EF78567"/>
    <w:rsid w:val="6EFA44DD"/>
    <w:rsid w:val="6EFAAD46"/>
    <w:rsid w:val="6F05F715"/>
    <w:rsid w:val="6F0ACCE3"/>
    <w:rsid w:val="6F0C192E"/>
    <w:rsid w:val="6F15160C"/>
    <w:rsid w:val="6F17AD19"/>
    <w:rsid w:val="6F18C01B"/>
    <w:rsid w:val="6F198E02"/>
    <w:rsid w:val="6F1C29FA"/>
    <w:rsid w:val="6F1FD048"/>
    <w:rsid w:val="6F21996C"/>
    <w:rsid w:val="6F2293E6"/>
    <w:rsid w:val="6F22C1EE"/>
    <w:rsid w:val="6F22E9CC"/>
    <w:rsid w:val="6F25D012"/>
    <w:rsid w:val="6F2609D5"/>
    <w:rsid w:val="6F275A61"/>
    <w:rsid w:val="6F28BABF"/>
    <w:rsid w:val="6F2DF133"/>
    <w:rsid w:val="6F2EE383"/>
    <w:rsid w:val="6F337996"/>
    <w:rsid w:val="6F33BAA1"/>
    <w:rsid w:val="6F35FED8"/>
    <w:rsid w:val="6F3847CA"/>
    <w:rsid w:val="6F3B3B9F"/>
    <w:rsid w:val="6F3B9FC3"/>
    <w:rsid w:val="6F415F1A"/>
    <w:rsid w:val="6F422B86"/>
    <w:rsid w:val="6F446A12"/>
    <w:rsid w:val="6F4BA7A7"/>
    <w:rsid w:val="6F58C46F"/>
    <w:rsid w:val="6F5D19C0"/>
    <w:rsid w:val="6F5EA45A"/>
    <w:rsid w:val="6F61CFDD"/>
    <w:rsid w:val="6F637C95"/>
    <w:rsid w:val="6F6AD714"/>
    <w:rsid w:val="6F6EDA61"/>
    <w:rsid w:val="6F70CE28"/>
    <w:rsid w:val="6F7225D9"/>
    <w:rsid w:val="6F741FA0"/>
    <w:rsid w:val="6F792E7F"/>
    <w:rsid w:val="6F7C90DD"/>
    <w:rsid w:val="6F7FBB28"/>
    <w:rsid w:val="6F809756"/>
    <w:rsid w:val="6F8228DD"/>
    <w:rsid w:val="6F859B21"/>
    <w:rsid w:val="6F8C14D2"/>
    <w:rsid w:val="6F928BCB"/>
    <w:rsid w:val="6F9A0BB9"/>
    <w:rsid w:val="6F9F92FF"/>
    <w:rsid w:val="6FA2E278"/>
    <w:rsid w:val="6FAC5D32"/>
    <w:rsid w:val="6FAE03A4"/>
    <w:rsid w:val="6FBC2424"/>
    <w:rsid w:val="6FC33F0D"/>
    <w:rsid w:val="6FC5C518"/>
    <w:rsid w:val="6FC5F5D3"/>
    <w:rsid w:val="6FCF7432"/>
    <w:rsid w:val="6FD2E1BA"/>
    <w:rsid w:val="6FD3F5D8"/>
    <w:rsid w:val="6FD75F0F"/>
    <w:rsid w:val="6FDB9ADE"/>
    <w:rsid w:val="6FDCF369"/>
    <w:rsid w:val="6FDFA2F8"/>
    <w:rsid w:val="6FEC6DD6"/>
    <w:rsid w:val="6FEE11B8"/>
    <w:rsid w:val="6FF25D12"/>
    <w:rsid w:val="6FFFFB3F"/>
    <w:rsid w:val="700D10E0"/>
    <w:rsid w:val="701159BC"/>
    <w:rsid w:val="70161C6A"/>
    <w:rsid w:val="701A463C"/>
    <w:rsid w:val="70270EEF"/>
    <w:rsid w:val="70274DB5"/>
    <w:rsid w:val="7028F81F"/>
    <w:rsid w:val="702A0564"/>
    <w:rsid w:val="703497B6"/>
    <w:rsid w:val="70409609"/>
    <w:rsid w:val="7046E7C8"/>
    <w:rsid w:val="704D267C"/>
    <w:rsid w:val="704D881F"/>
    <w:rsid w:val="70510248"/>
    <w:rsid w:val="7055145B"/>
    <w:rsid w:val="70596DCB"/>
    <w:rsid w:val="705A6C02"/>
    <w:rsid w:val="705ED651"/>
    <w:rsid w:val="706577C1"/>
    <w:rsid w:val="7065E165"/>
    <w:rsid w:val="7066B6F8"/>
    <w:rsid w:val="70756AD8"/>
    <w:rsid w:val="7076BFBD"/>
    <w:rsid w:val="70775772"/>
    <w:rsid w:val="7077F197"/>
    <w:rsid w:val="7080663D"/>
    <w:rsid w:val="7082D0BA"/>
    <w:rsid w:val="7088158F"/>
    <w:rsid w:val="70885E8B"/>
    <w:rsid w:val="708C9D40"/>
    <w:rsid w:val="709672E7"/>
    <w:rsid w:val="709C960F"/>
    <w:rsid w:val="709CE875"/>
    <w:rsid w:val="70A3EB0F"/>
    <w:rsid w:val="70A5E590"/>
    <w:rsid w:val="70AB2235"/>
    <w:rsid w:val="70AEACF5"/>
    <w:rsid w:val="70B96696"/>
    <w:rsid w:val="70BCF1C5"/>
    <w:rsid w:val="70C214FF"/>
    <w:rsid w:val="70CD7786"/>
    <w:rsid w:val="70D1A028"/>
    <w:rsid w:val="70D2198D"/>
    <w:rsid w:val="70D42AA5"/>
    <w:rsid w:val="70E2853C"/>
    <w:rsid w:val="70E2D837"/>
    <w:rsid w:val="70E5C729"/>
    <w:rsid w:val="70E7D621"/>
    <w:rsid w:val="70EC8413"/>
    <w:rsid w:val="70F573AD"/>
    <w:rsid w:val="70FA659C"/>
    <w:rsid w:val="70FC3615"/>
    <w:rsid w:val="7101C537"/>
    <w:rsid w:val="7101ED84"/>
    <w:rsid w:val="7102CD12"/>
    <w:rsid w:val="71104447"/>
    <w:rsid w:val="7110CE38"/>
    <w:rsid w:val="7112460C"/>
    <w:rsid w:val="71156560"/>
    <w:rsid w:val="71192E5E"/>
    <w:rsid w:val="7120B222"/>
    <w:rsid w:val="7126175D"/>
    <w:rsid w:val="712A3B49"/>
    <w:rsid w:val="712ADA0D"/>
    <w:rsid w:val="71301864"/>
    <w:rsid w:val="713AFF93"/>
    <w:rsid w:val="713DFFD1"/>
    <w:rsid w:val="713EF96A"/>
    <w:rsid w:val="713FB1EA"/>
    <w:rsid w:val="7140FA8E"/>
    <w:rsid w:val="7141638E"/>
    <w:rsid w:val="71421246"/>
    <w:rsid w:val="714949E3"/>
    <w:rsid w:val="7150ADD5"/>
    <w:rsid w:val="7155CFA2"/>
    <w:rsid w:val="7157B9F0"/>
    <w:rsid w:val="7159C1D8"/>
    <w:rsid w:val="715B89E0"/>
    <w:rsid w:val="715BE2A8"/>
    <w:rsid w:val="715CDAD4"/>
    <w:rsid w:val="715EEB1A"/>
    <w:rsid w:val="7169E66C"/>
    <w:rsid w:val="716C0420"/>
    <w:rsid w:val="7172151E"/>
    <w:rsid w:val="717E2C76"/>
    <w:rsid w:val="7182A667"/>
    <w:rsid w:val="71843CE8"/>
    <w:rsid w:val="7188F226"/>
    <w:rsid w:val="718FF328"/>
    <w:rsid w:val="71915BC8"/>
    <w:rsid w:val="719A0205"/>
    <w:rsid w:val="719BA64D"/>
    <w:rsid w:val="71A13879"/>
    <w:rsid w:val="71A20374"/>
    <w:rsid w:val="71A4E006"/>
    <w:rsid w:val="71A581DD"/>
    <w:rsid w:val="71A95824"/>
    <w:rsid w:val="71AD467C"/>
    <w:rsid w:val="71ADCA3D"/>
    <w:rsid w:val="71AF4873"/>
    <w:rsid w:val="71B5D4A7"/>
    <w:rsid w:val="71B71409"/>
    <w:rsid w:val="71B7482F"/>
    <w:rsid w:val="71B9711B"/>
    <w:rsid w:val="71B98BA6"/>
    <w:rsid w:val="71BF5CD0"/>
    <w:rsid w:val="71C1E334"/>
    <w:rsid w:val="71D2332E"/>
    <w:rsid w:val="71D29212"/>
    <w:rsid w:val="71D376F7"/>
    <w:rsid w:val="71D67C83"/>
    <w:rsid w:val="71E03D5F"/>
    <w:rsid w:val="71EB3F12"/>
    <w:rsid w:val="71ED31E7"/>
    <w:rsid w:val="71F7FE0E"/>
    <w:rsid w:val="71FB93F5"/>
    <w:rsid w:val="72032B68"/>
    <w:rsid w:val="721184EC"/>
    <w:rsid w:val="721E058C"/>
    <w:rsid w:val="72203D48"/>
    <w:rsid w:val="72220193"/>
    <w:rsid w:val="722A8F9D"/>
    <w:rsid w:val="722B0D60"/>
    <w:rsid w:val="722DCB2B"/>
    <w:rsid w:val="722DD5CB"/>
    <w:rsid w:val="722E94C7"/>
    <w:rsid w:val="72340F02"/>
    <w:rsid w:val="723D4721"/>
    <w:rsid w:val="7240AD4D"/>
    <w:rsid w:val="72474817"/>
    <w:rsid w:val="7250EFF5"/>
    <w:rsid w:val="72558BC2"/>
    <w:rsid w:val="725F6408"/>
    <w:rsid w:val="72653C09"/>
    <w:rsid w:val="7265CF5B"/>
    <w:rsid w:val="72687E2A"/>
    <w:rsid w:val="7269811E"/>
    <w:rsid w:val="726BD1E0"/>
    <w:rsid w:val="726F9F55"/>
    <w:rsid w:val="7271A52C"/>
    <w:rsid w:val="72791695"/>
    <w:rsid w:val="727C85CC"/>
    <w:rsid w:val="7282502B"/>
    <w:rsid w:val="728490F2"/>
    <w:rsid w:val="72894A34"/>
    <w:rsid w:val="7289F94E"/>
    <w:rsid w:val="72954519"/>
    <w:rsid w:val="72974214"/>
    <w:rsid w:val="729ADD40"/>
    <w:rsid w:val="72A1EF0A"/>
    <w:rsid w:val="72A2B525"/>
    <w:rsid w:val="72ACC638"/>
    <w:rsid w:val="72AEB4B7"/>
    <w:rsid w:val="72B0E8E7"/>
    <w:rsid w:val="72B64A4E"/>
    <w:rsid w:val="72C7DA09"/>
    <w:rsid w:val="72CA5FA7"/>
    <w:rsid w:val="72CDC90F"/>
    <w:rsid w:val="72D05426"/>
    <w:rsid w:val="72D08C1F"/>
    <w:rsid w:val="72D3DA9B"/>
    <w:rsid w:val="72D5B617"/>
    <w:rsid w:val="72D8C8C2"/>
    <w:rsid w:val="72DD237E"/>
    <w:rsid w:val="72DF2DD8"/>
    <w:rsid w:val="72E0C95F"/>
    <w:rsid w:val="72E18B8D"/>
    <w:rsid w:val="72E35866"/>
    <w:rsid w:val="72EAF236"/>
    <w:rsid w:val="72EBF871"/>
    <w:rsid w:val="72EFA5E0"/>
    <w:rsid w:val="72F2EFB3"/>
    <w:rsid w:val="72F6250E"/>
    <w:rsid w:val="72F7275C"/>
    <w:rsid w:val="72F7F4B1"/>
    <w:rsid w:val="72F84A2A"/>
    <w:rsid w:val="72FCA048"/>
    <w:rsid w:val="73058DF7"/>
    <w:rsid w:val="730989F3"/>
    <w:rsid w:val="730B4FED"/>
    <w:rsid w:val="730B9E2E"/>
    <w:rsid w:val="7312C29C"/>
    <w:rsid w:val="7316C0D9"/>
    <w:rsid w:val="73174611"/>
    <w:rsid w:val="73177A1B"/>
    <w:rsid w:val="731B00EA"/>
    <w:rsid w:val="731E90D1"/>
    <w:rsid w:val="731FB0E5"/>
    <w:rsid w:val="7321013C"/>
    <w:rsid w:val="732132FF"/>
    <w:rsid w:val="732DC837"/>
    <w:rsid w:val="732F78B1"/>
    <w:rsid w:val="7332C1A2"/>
    <w:rsid w:val="7334088C"/>
    <w:rsid w:val="733598BF"/>
    <w:rsid w:val="733DFBA5"/>
    <w:rsid w:val="733FDE0F"/>
    <w:rsid w:val="734D989D"/>
    <w:rsid w:val="73545397"/>
    <w:rsid w:val="73566BDE"/>
    <w:rsid w:val="7358754C"/>
    <w:rsid w:val="7359B691"/>
    <w:rsid w:val="735B2AB6"/>
    <w:rsid w:val="736155F3"/>
    <w:rsid w:val="7366EC3D"/>
    <w:rsid w:val="736753A1"/>
    <w:rsid w:val="736A6D4F"/>
    <w:rsid w:val="736CF229"/>
    <w:rsid w:val="736D3BF3"/>
    <w:rsid w:val="737222B3"/>
    <w:rsid w:val="737705D2"/>
    <w:rsid w:val="7379D35F"/>
    <w:rsid w:val="738A05AD"/>
    <w:rsid w:val="738B8C93"/>
    <w:rsid w:val="738B8CA6"/>
    <w:rsid w:val="739C3A03"/>
    <w:rsid w:val="73A47BBE"/>
    <w:rsid w:val="73A96BDA"/>
    <w:rsid w:val="73AD0E80"/>
    <w:rsid w:val="73AED6A5"/>
    <w:rsid w:val="73AFB2EA"/>
    <w:rsid w:val="73B434C0"/>
    <w:rsid w:val="73C4DE88"/>
    <w:rsid w:val="73C5198E"/>
    <w:rsid w:val="73C608CB"/>
    <w:rsid w:val="73C768F1"/>
    <w:rsid w:val="73CC9C35"/>
    <w:rsid w:val="73CD64FA"/>
    <w:rsid w:val="73CE5D64"/>
    <w:rsid w:val="73D8B223"/>
    <w:rsid w:val="73DB25A6"/>
    <w:rsid w:val="73DD2048"/>
    <w:rsid w:val="73E1A866"/>
    <w:rsid w:val="73E526C0"/>
    <w:rsid w:val="73E95F5B"/>
    <w:rsid w:val="73EAA27D"/>
    <w:rsid w:val="73ECE06F"/>
    <w:rsid w:val="73F5F12A"/>
    <w:rsid w:val="73FD1903"/>
    <w:rsid w:val="740042C3"/>
    <w:rsid w:val="74066DA7"/>
    <w:rsid w:val="7406E2BA"/>
    <w:rsid w:val="740D20F9"/>
    <w:rsid w:val="7412E6AA"/>
    <w:rsid w:val="74199482"/>
    <w:rsid w:val="741D4143"/>
    <w:rsid w:val="741D8087"/>
    <w:rsid w:val="74296AB7"/>
    <w:rsid w:val="742D1CAA"/>
    <w:rsid w:val="742D3524"/>
    <w:rsid w:val="743A06E7"/>
    <w:rsid w:val="743ACDB4"/>
    <w:rsid w:val="743D7466"/>
    <w:rsid w:val="743E8C2E"/>
    <w:rsid w:val="74442CBE"/>
    <w:rsid w:val="74459332"/>
    <w:rsid w:val="744C8DF6"/>
    <w:rsid w:val="744D6848"/>
    <w:rsid w:val="744F4581"/>
    <w:rsid w:val="74502154"/>
    <w:rsid w:val="7455B3C4"/>
    <w:rsid w:val="745F57F6"/>
    <w:rsid w:val="74611E48"/>
    <w:rsid w:val="746B98AC"/>
    <w:rsid w:val="746D80F8"/>
    <w:rsid w:val="746FF268"/>
    <w:rsid w:val="747513C9"/>
    <w:rsid w:val="7475BF6C"/>
    <w:rsid w:val="7476D88B"/>
    <w:rsid w:val="74797C20"/>
    <w:rsid w:val="747AF757"/>
    <w:rsid w:val="747F93E9"/>
    <w:rsid w:val="7480C8A0"/>
    <w:rsid w:val="7482EF82"/>
    <w:rsid w:val="74844E25"/>
    <w:rsid w:val="748632CF"/>
    <w:rsid w:val="748A51B1"/>
    <w:rsid w:val="748D90E1"/>
    <w:rsid w:val="749066EB"/>
    <w:rsid w:val="7492F507"/>
    <w:rsid w:val="7498ACC6"/>
    <w:rsid w:val="7498E0AF"/>
    <w:rsid w:val="74996957"/>
    <w:rsid w:val="749994C1"/>
    <w:rsid w:val="74A37B66"/>
    <w:rsid w:val="74AF2DA3"/>
    <w:rsid w:val="74BB69B5"/>
    <w:rsid w:val="74BB9FDF"/>
    <w:rsid w:val="74BC2979"/>
    <w:rsid w:val="74BF831B"/>
    <w:rsid w:val="74C3A185"/>
    <w:rsid w:val="74D8A546"/>
    <w:rsid w:val="74D9C5DB"/>
    <w:rsid w:val="74DBD444"/>
    <w:rsid w:val="74DC5A0A"/>
    <w:rsid w:val="74DD7666"/>
    <w:rsid w:val="74ECEDAB"/>
    <w:rsid w:val="74EDC476"/>
    <w:rsid w:val="74EEE442"/>
    <w:rsid w:val="74F023F8"/>
    <w:rsid w:val="74FA76B7"/>
    <w:rsid w:val="74FB92F0"/>
    <w:rsid w:val="75036D7A"/>
    <w:rsid w:val="7507D438"/>
    <w:rsid w:val="750A4457"/>
    <w:rsid w:val="750CC8BA"/>
    <w:rsid w:val="7510E172"/>
    <w:rsid w:val="75167C6D"/>
    <w:rsid w:val="75225047"/>
    <w:rsid w:val="7524400F"/>
    <w:rsid w:val="75292F88"/>
    <w:rsid w:val="752BEB8F"/>
    <w:rsid w:val="75312CAC"/>
    <w:rsid w:val="753426BF"/>
    <w:rsid w:val="7537CC18"/>
    <w:rsid w:val="754B4A5C"/>
    <w:rsid w:val="754BC309"/>
    <w:rsid w:val="754EB0FA"/>
    <w:rsid w:val="75540D36"/>
    <w:rsid w:val="7556B9F4"/>
    <w:rsid w:val="755ACD4F"/>
    <w:rsid w:val="755CE86A"/>
    <w:rsid w:val="755EA091"/>
    <w:rsid w:val="75606B58"/>
    <w:rsid w:val="75629FB4"/>
    <w:rsid w:val="756DB54F"/>
    <w:rsid w:val="7572DACC"/>
    <w:rsid w:val="75732D77"/>
    <w:rsid w:val="75764B26"/>
    <w:rsid w:val="757814D7"/>
    <w:rsid w:val="75785903"/>
    <w:rsid w:val="75787BDE"/>
    <w:rsid w:val="757EB46E"/>
    <w:rsid w:val="758C0C70"/>
    <w:rsid w:val="758F527C"/>
    <w:rsid w:val="758FB80D"/>
    <w:rsid w:val="759584CE"/>
    <w:rsid w:val="759F42EC"/>
    <w:rsid w:val="75A7D7CD"/>
    <w:rsid w:val="75ABD659"/>
    <w:rsid w:val="75AD7D14"/>
    <w:rsid w:val="75AE47F2"/>
    <w:rsid w:val="75AE699E"/>
    <w:rsid w:val="75AFC762"/>
    <w:rsid w:val="75B05A87"/>
    <w:rsid w:val="75B17828"/>
    <w:rsid w:val="75B344C2"/>
    <w:rsid w:val="75BC90F9"/>
    <w:rsid w:val="75BD3094"/>
    <w:rsid w:val="75C1B19E"/>
    <w:rsid w:val="75C534F0"/>
    <w:rsid w:val="75C5CD1F"/>
    <w:rsid w:val="75CC992F"/>
    <w:rsid w:val="75D03AB9"/>
    <w:rsid w:val="75D251BB"/>
    <w:rsid w:val="75DC30B7"/>
    <w:rsid w:val="75DD400B"/>
    <w:rsid w:val="75DDF123"/>
    <w:rsid w:val="75DFD06F"/>
    <w:rsid w:val="75E1DBE0"/>
    <w:rsid w:val="75E41649"/>
    <w:rsid w:val="75E4DECD"/>
    <w:rsid w:val="75E65E74"/>
    <w:rsid w:val="75F323D3"/>
    <w:rsid w:val="75F3633C"/>
    <w:rsid w:val="75F94F51"/>
    <w:rsid w:val="75F9530B"/>
    <w:rsid w:val="75FE9B82"/>
    <w:rsid w:val="75FF0572"/>
    <w:rsid w:val="76021AE3"/>
    <w:rsid w:val="7604C394"/>
    <w:rsid w:val="76062BDB"/>
    <w:rsid w:val="76080FB6"/>
    <w:rsid w:val="760CC3F4"/>
    <w:rsid w:val="760CF4F4"/>
    <w:rsid w:val="760D0D2D"/>
    <w:rsid w:val="760DA82F"/>
    <w:rsid w:val="760FEBF3"/>
    <w:rsid w:val="7613F9B0"/>
    <w:rsid w:val="761AA890"/>
    <w:rsid w:val="761F886B"/>
    <w:rsid w:val="76220D6C"/>
    <w:rsid w:val="7623150E"/>
    <w:rsid w:val="762899B3"/>
    <w:rsid w:val="762FE8DB"/>
    <w:rsid w:val="763312EF"/>
    <w:rsid w:val="7634755D"/>
    <w:rsid w:val="76385BFF"/>
    <w:rsid w:val="7638D3E7"/>
    <w:rsid w:val="763DC183"/>
    <w:rsid w:val="76433C53"/>
    <w:rsid w:val="76446AD4"/>
    <w:rsid w:val="7647AB7B"/>
    <w:rsid w:val="764A822F"/>
    <w:rsid w:val="764B36E8"/>
    <w:rsid w:val="764E875D"/>
    <w:rsid w:val="7650E849"/>
    <w:rsid w:val="7651D459"/>
    <w:rsid w:val="7652C680"/>
    <w:rsid w:val="765B1225"/>
    <w:rsid w:val="7660563A"/>
    <w:rsid w:val="7660F337"/>
    <w:rsid w:val="766476DF"/>
    <w:rsid w:val="7665B56D"/>
    <w:rsid w:val="767BDEA8"/>
    <w:rsid w:val="767DB862"/>
    <w:rsid w:val="7682A695"/>
    <w:rsid w:val="76850730"/>
    <w:rsid w:val="76851BA1"/>
    <w:rsid w:val="76906076"/>
    <w:rsid w:val="7690A205"/>
    <w:rsid w:val="769A1E4C"/>
    <w:rsid w:val="769A7A9C"/>
    <w:rsid w:val="769BF7EB"/>
    <w:rsid w:val="769C548F"/>
    <w:rsid w:val="769C7710"/>
    <w:rsid w:val="769E4A3F"/>
    <w:rsid w:val="769EBF6B"/>
    <w:rsid w:val="76A0B933"/>
    <w:rsid w:val="76A26FA7"/>
    <w:rsid w:val="76A2C1B3"/>
    <w:rsid w:val="76A8AA3E"/>
    <w:rsid w:val="76B566DA"/>
    <w:rsid w:val="76B96BCD"/>
    <w:rsid w:val="76BD4E8D"/>
    <w:rsid w:val="76BE6739"/>
    <w:rsid w:val="76CA2C8F"/>
    <w:rsid w:val="76CAC38F"/>
    <w:rsid w:val="76CCF36E"/>
    <w:rsid w:val="76CE2417"/>
    <w:rsid w:val="76D09BC6"/>
    <w:rsid w:val="76D35299"/>
    <w:rsid w:val="76DBC422"/>
    <w:rsid w:val="76DF553F"/>
    <w:rsid w:val="76E21E3B"/>
    <w:rsid w:val="76E34947"/>
    <w:rsid w:val="76E3C88B"/>
    <w:rsid w:val="76E7D6AA"/>
    <w:rsid w:val="76EF3392"/>
    <w:rsid w:val="76F12B9F"/>
    <w:rsid w:val="76F1D25C"/>
    <w:rsid w:val="76F4C7E9"/>
    <w:rsid w:val="76F97090"/>
    <w:rsid w:val="76F9F15B"/>
    <w:rsid w:val="76FB74AB"/>
    <w:rsid w:val="76FDEA66"/>
    <w:rsid w:val="76FE087E"/>
    <w:rsid w:val="7702281F"/>
    <w:rsid w:val="7705D5B5"/>
    <w:rsid w:val="7707D19F"/>
    <w:rsid w:val="770AA387"/>
    <w:rsid w:val="7719B88D"/>
    <w:rsid w:val="771AAA87"/>
    <w:rsid w:val="772ADF40"/>
    <w:rsid w:val="772D1083"/>
    <w:rsid w:val="7732268B"/>
    <w:rsid w:val="773318C2"/>
    <w:rsid w:val="773AF91A"/>
    <w:rsid w:val="773F9D56"/>
    <w:rsid w:val="774781EA"/>
    <w:rsid w:val="774E6CF2"/>
    <w:rsid w:val="7750A397"/>
    <w:rsid w:val="7751FB8B"/>
    <w:rsid w:val="7758615A"/>
    <w:rsid w:val="77589617"/>
    <w:rsid w:val="7759F6AB"/>
    <w:rsid w:val="775ACE49"/>
    <w:rsid w:val="775E183E"/>
    <w:rsid w:val="775F33EE"/>
    <w:rsid w:val="7762EE22"/>
    <w:rsid w:val="77640E32"/>
    <w:rsid w:val="77641481"/>
    <w:rsid w:val="7765E986"/>
    <w:rsid w:val="777816A9"/>
    <w:rsid w:val="777E8956"/>
    <w:rsid w:val="777F4052"/>
    <w:rsid w:val="7782C6EC"/>
    <w:rsid w:val="7784CEFC"/>
    <w:rsid w:val="77886A62"/>
    <w:rsid w:val="778954DC"/>
    <w:rsid w:val="778A2666"/>
    <w:rsid w:val="778D5021"/>
    <w:rsid w:val="778E6714"/>
    <w:rsid w:val="779108F1"/>
    <w:rsid w:val="779152AD"/>
    <w:rsid w:val="7792BE92"/>
    <w:rsid w:val="77958CC4"/>
    <w:rsid w:val="779B5EF8"/>
    <w:rsid w:val="779C2184"/>
    <w:rsid w:val="779D9513"/>
    <w:rsid w:val="779E1604"/>
    <w:rsid w:val="77A711E6"/>
    <w:rsid w:val="77A8C01A"/>
    <w:rsid w:val="77A8CC7D"/>
    <w:rsid w:val="77AA95AB"/>
    <w:rsid w:val="77B3736E"/>
    <w:rsid w:val="77B69A9E"/>
    <w:rsid w:val="77B8DF33"/>
    <w:rsid w:val="77BAC6B9"/>
    <w:rsid w:val="77BDDC2D"/>
    <w:rsid w:val="77BF22CC"/>
    <w:rsid w:val="77C0155F"/>
    <w:rsid w:val="77C38C9D"/>
    <w:rsid w:val="77C6EC66"/>
    <w:rsid w:val="77C8196B"/>
    <w:rsid w:val="77C96F62"/>
    <w:rsid w:val="77CBAB4F"/>
    <w:rsid w:val="77D06ED1"/>
    <w:rsid w:val="77D09603"/>
    <w:rsid w:val="77D84BE4"/>
    <w:rsid w:val="77E16A4D"/>
    <w:rsid w:val="77E2047D"/>
    <w:rsid w:val="77E8309D"/>
    <w:rsid w:val="77EBEA41"/>
    <w:rsid w:val="77F45646"/>
    <w:rsid w:val="77F92106"/>
    <w:rsid w:val="77F964AC"/>
    <w:rsid w:val="77F9ABB9"/>
    <w:rsid w:val="77FD2DA2"/>
    <w:rsid w:val="78009CA0"/>
    <w:rsid w:val="780EC610"/>
    <w:rsid w:val="780ED84A"/>
    <w:rsid w:val="781A55C2"/>
    <w:rsid w:val="781B93C7"/>
    <w:rsid w:val="781BABC6"/>
    <w:rsid w:val="781DBA16"/>
    <w:rsid w:val="783123F5"/>
    <w:rsid w:val="783F7804"/>
    <w:rsid w:val="78403041"/>
    <w:rsid w:val="78414B96"/>
    <w:rsid w:val="7845212A"/>
    <w:rsid w:val="784612B1"/>
    <w:rsid w:val="7852109C"/>
    <w:rsid w:val="7853F4D1"/>
    <w:rsid w:val="7867CE6F"/>
    <w:rsid w:val="7868537A"/>
    <w:rsid w:val="78692F52"/>
    <w:rsid w:val="786E655D"/>
    <w:rsid w:val="78717A95"/>
    <w:rsid w:val="78731598"/>
    <w:rsid w:val="7874C9AF"/>
    <w:rsid w:val="787B33E3"/>
    <w:rsid w:val="787D8F8C"/>
    <w:rsid w:val="787ECABE"/>
    <w:rsid w:val="78800B20"/>
    <w:rsid w:val="7883079D"/>
    <w:rsid w:val="7889C6DA"/>
    <w:rsid w:val="788A723E"/>
    <w:rsid w:val="788BE41B"/>
    <w:rsid w:val="78935003"/>
    <w:rsid w:val="7894CE7E"/>
    <w:rsid w:val="78964331"/>
    <w:rsid w:val="789A2FE0"/>
    <w:rsid w:val="789A4BD6"/>
    <w:rsid w:val="789CFAD4"/>
    <w:rsid w:val="789DCB8A"/>
    <w:rsid w:val="789F2C2B"/>
    <w:rsid w:val="789F782A"/>
    <w:rsid w:val="78A016C5"/>
    <w:rsid w:val="78A054D9"/>
    <w:rsid w:val="78AC8A9F"/>
    <w:rsid w:val="78B0F5DA"/>
    <w:rsid w:val="78B12CD3"/>
    <w:rsid w:val="78B1800E"/>
    <w:rsid w:val="78B18179"/>
    <w:rsid w:val="78B2C3E6"/>
    <w:rsid w:val="78B34E6A"/>
    <w:rsid w:val="78B620BD"/>
    <w:rsid w:val="78B904C3"/>
    <w:rsid w:val="78B9C561"/>
    <w:rsid w:val="78B9C975"/>
    <w:rsid w:val="78C065F9"/>
    <w:rsid w:val="78C211C9"/>
    <w:rsid w:val="78C234E7"/>
    <w:rsid w:val="78C45A67"/>
    <w:rsid w:val="78C8377A"/>
    <w:rsid w:val="78C9C25C"/>
    <w:rsid w:val="78CAE4BA"/>
    <w:rsid w:val="78CBE985"/>
    <w:rsid w:val="78CC248C"/>
    <w:rsid w:val="78CE5473"/>
    <w:rsid w:val="78D0F5F6"/>
    <w:rsid w:val="78D5D81C"/>
    <w:rsid w:val="78DFFB1A"/>
    <w:rsid w:val="78E5CA87"/>
    <w:rsid w:val="78E6070A"/>
    <w:rsid w:val="78EE77A9"/>
    <w:rsid w:val="78F21908"/>
    <w:rsid w:val="78F229C0"/>
    <w:rsid w:val="78F426BE"/>
    <w:rsid w:val="78FBEFEB"/>
    <w:rsid w:val="78FF5A69"/>
    <w:rsid w:val="7901B88C"/>
    <w:rsid w:val="790A7513"/>
    <w:rsid w:val="790AC38B"/>
    <w:rsid w:val="790AC6BC"/>
    <w:rsid w:val="790DB0DF"/>
    <w:rsid w:val="790E66AF"/>
    <w:rsid w:val="7911B8F5"/>
    <w:rsid w:val="79136E23"/>
    <w:rsid w:val="79144EF0"/>
    <w:rsid w:val="79175959"/>
    <w:rsid w:val="79194396"/>
    <w:rsid w:val="791F662F"/>
    <w:rsid w:val="791F840A"/>
    <w:rsid w:val="7925C12B"/>
    <w:rsid w:val="792BA9F6"/>
    <w:rsid w:val="792D38BA"/>
    <w:rsid w:val="793103D4"/>
    <w:rsid w:val="793214C6"/>
    <w:rsid w:val="79336416"/>
    <w:rsid w:val="79350E3A"/>
    <w:rsid w:val="7935EEE9"/>
    <w:rsid w:val="793A9E53"/>
    <w:rsid w:val="793CA50C"/>
    <w:rsid w:val="793EA1A4"/>
    <w:rsid w:val="7943337C"/>
    <w:rsid w:val="794C09F3"/>
    <w:rsid w:val="794D1A75"/>
    <w:rsid w:val="79554492"/>
    <w:rsid w:val="79572D65"/>
    <w:rsid w:val="795856C6"/>
    <w:rsid w:val="795BE0CE"/>
    <w:rsid w:val="795CD1A8"/>
    <w:rsid w:val="7964A8E3"/>
    <w:rsid w:val="79692697"/>
    <w:rsid w:val="796E6ED2"/>
    <w:rsid w:val="79718318"/>
    <w:rsid w:val="797261B4"/>
    <w:rsid w:val="797CEEE1"/>
    <w:rsid w:val="797E0ABB"/>
    <w:rsid w:val="797E6C2F"/>
    <w:rsid w:val="7988BAAF"/>
    <w:rsid w:val="7989EBE1"/>
    <w:rsid w:val="798CADDB"/>
    <w:rsid w:val="798EE81B"/>
    <w:rsid w:val="799A9A23"/>
    <w:rsid w:val="799B0811"/>
    <w:rsid w:val="799B71BE"/>
    <w:rsid w:val="799C0164"/>
    <w:rsid w:val="79AAD516"/>
    <w:rsid w:val="79AC09FB"/>
    <w:rsid w:val="79B2FF8C"/>
    <w:rsid w:val="79BEFC9A"/>
    <w:rsid w:val="79C10E98"/>
    <w:rsid w:val="79C18686"/>
    <w:rsid w:val="79C27D4B"/>
    <w:rsid w:val="79C397D5"/>
    <w:rsid w:val="79C67759"/>
    <w:rsid w:val="79C6CC1C"/>
    <w:rsid w:val="79CC96ED"/>
    <w:rsid w:val="79D24FF8"/>
    <w:rsid w:val="79D4240D"/>
    <w:rsid w:val="79D5403A"/>
    <w:rsid w:val="79D7A9AC"/>
    <w:rsid w:val="79D7FC5A"/>
    <w:rsid w:val="79E4B358"/>
    <w:rsid w:val="79E5FB57"/>
    <w:rsid w:val="79E61D76"/>
    <w:rsid w:val="79E88C26"/>
    <w:rsid w:val="79EA804B"/>
    <w:rsid w:val="79EC3F13"/>
    <w:rsid w:val="79ED1A58"/>
    <w:rsid w:val="79F1D1CC"/>
    <w:rsid w:val="79F650FF"/>
    <w:rsid w:val="79FA0111"/>
    <w:rsid w:val="79FA8321"/>
    <w:rsid w:val="7A02B261"/>
    <w:rsid w:val="7A02E23A"/>
    <w:rsid w:val="7A03E7BD"/>
    <w:rsid w:val="7A0B797C"/>
    <w:rsid w:val="7A0D04CB"/>
    <w:rsid w:val="7A13F7FC"/>
    <w:rsid w:val="7A14B0D8"/>
    <w:rsid w:val="7A18C3FE"/>
    <w:rsid w:val="7A19AC39"/>
    <w:rsid w:val="7A1A251F"/>
    <w:rsid w:val="7A1E451B"/>
    <w:rsid w:val="7A22AB38"/>
    <w:rsid w:val="7A268759"/>
    <w:rsid w:val="7A3A891C"/>
    <w:rsid w:val="7A40BBEC"/>
    <w:rsid w:val="7A418851"/>
    <w:rsid w:val="7A41BAD4"/>
    <w:rsid w:val="7A467FE2"/>
    <w:rsid w:val="7A4DEB6E"/>
    <w:rsid w:val="7A505EFB"/>
    <w:rsid w:val="7A5874E2"/>
    <w:rsid w:val="7A5945A9"/>
    <w:rsid w:val="7A5E4D27"/>
    <w:rsid w:val="7A65FA10"/>
    <w:rsid w:val="7A668014"/>
    <w:rsid w:val="7A6AB0D9"/>
    <w:rsid w:val="7A6AD8F8"/>
    <w:rsid w:val="7A7142D9"/>
    <w:rsid w:val="7A719963"/>
    <w:rsid w:val="7A777FF6"/>
    <w:rsid w:val="7A7BC9B7"/>
    <w:rsid w:val="7A7D6778"/>
    <w:rsid w:val="7A80FFD7"/>
    <w:rsid w:val="7A823880"/>
    <w:rsid w:val="7A85BBBE"/>
    <w:rsid w:val="7A9092D6"/>
    <w:rsid w:val="7A93E89F"/>
    <w:rsid w:val="7A971D7E"/>
    <w:rsid w:val="7A9E97BC"/>
    <w:rsid w:val="7AA72F81"/>
    <w:rsid w:val="7AA937AE"/>
    <w:rsid w:val="7AAA4741"/>
    <w:rsid w:val="7AB21DCE"/>
    <w:rsid w:val="7AB23B70"/>
    <w:rsid w:val="7ABAF395"/>
    <w:rsid w:val="7AC03FF4"/>
    <w:rsid w:val="7AC7FF4A"/>
    <w:rsid w:val="7AC8234A"/>
    <w:rsid w:val="7ACEAB21"/>
    <w:rsid w:val="7AD3F937"/>
    <w:rsid w:val="7ADC74ED"/>
    <w:rsid w:val="7AE40F50"/>
    <w:rsid w:val="7AF37DF7"/>
    <w:rsid w:val="7AF74051"/>
    <w:rsid w:val="7AFE8E22"/>
    <w:rsid w:val="7AFF18E6"/>
    <w:rsid w:val="7B02E2B8"/>
    <w:rsid w:val="7B04800B"/>
    <w:rsid w:val="7B08AC77"/>
    <w:rsid w:val="7B0A3775"/>
    <w:rsid w:val="7B0F3FE1"/>
    <w:rsid w:val="7B10A240"/>
    <w:rsid w:val="7B11304D"/>
    <w:rsid w:val="7B1B2A5C"/>
    <w:rsid w:val="7B22CD8A"/>
    <w:rsid w:val="7B2359AE"/>
    <w:rsid w:val="7B292F7B"/>
    <w:rsid w:val="7B2C7AC6"/>
    <w:rsid w:val="7B2DFF65"/>
    <w:rsid w:val="7B30EC7D"/>
    <w:rsid w:val="7B32C619"/>
    <w:rsid w:val="7B32D7D8"/>
    <w:rsid w:val="7B339AFE"/>
    <w:rsid w:val="7B34D5D0"/>
    <w:rsid w:val="7B40E035"/>
    <w:rsid w:val="7B441FEF"/>
    <w:rsid w:val="7B47C643"/>
    <w:rsid w:val="7B4EE20B"/>
    <w:rsid w:val="7B512725"/>
    <w:rsid w:val="7B514EE2"/>
    <w:rsid w:val="7B54B3A4"/>
    <w:rsid w:val="7B566C97"/>
    <w:rsid w:val="7B6572AC"/>
    <w:rsid w:val="7B6584A2"/>
    <w:rsid w:val="7B6925C9"/>
    <w:rsid w:val="7B6AF08F"/>
    <w:rsid w:val="7B6EEF5C"/>
    <w:rsid w:val="7B74B251"/>
    <w:rsid w:val="7B7AB216"/>
    <w:rsid w:val="7B7C2E9D"/>
    <w:rsid w:val="7B81364E"/>
    <w:rsid w:val="7B827D53"/>
    <w:rsid w:val="7B87BB1E"/>
    <w:rsid w:val="7B88953A"/>
    <w:rsid w:val="7B8CD0A5"/>
    <w:rsid w:val="7B8EC37F"/>
    <w:rsid w:val="7B929DEB"/>
    <w:rsid w:val="7B9548B4"/>
    <w:rsid w:val="7B9ABEFD"/>
    <w:rsid w:val="7B9BE141"/>
    <w:rsid w:val="7BA054E6"/>
    <w:rsid w:val="7BA42E99"/>
    <w:rsid w:val="7BACE183"/>
    <w:rsid w:val="7BAD3A96"/>
    <w:rsid w:val="7BAFA2A4"/>
    <w:rsid w:val="7BB41625"/>
    <w:rsid w:val="7BC105CD"/>
    <w:rsid w:val="7BC934D5"/>
    <w:rsid w:val="7BC96E3C"/>
    <w:rsid w:val="7BCA8D0F"/>
    <w:rsid w:val="7BCAD06F"/>
    <w:rsid w:val="7BD2729E"/>
    <w:rsid w:val="7BD8437B"/>
    <w:rsid w:val="7BE235F0"/>
    <w:rsid w:val="7BECD8E5"/>
    <w:rsid w:val="7BF030C9"/>
    <w:rsid w:val="7BF13F42"/>
    <w:rsid w:val="7BF4588D"/>
    <w:rsid w:val="7BF94A26"/>
    <w:rsid w:val="7BFB4E24"/>
    <w:rsid w:val="7BFB7E88"/>
    <w:rsid w:val="7BFD68A2"/>
    <w:rsid w:val="7BFF95DC"/>
    <w:rsid w:val="7C0238B0"/>
    <w:rsid w:val="7C091D7D"/>
    <w:rsid w:val="7C0A776C"/>
    <w:rsid w:val="7C0BE1CF"/>
    <w:rsid w:val="7C114873"/>
    <w:rsid w:val="7C12B86F"/>
    <w:rsid w:val="7C12C117"/>
    <w:rsid w:val="7C1CB2EA"/>
    <w:rsid w:val="7C1F0C80"/>
    <w:rsid w:val="7C1F5AFB"/>
    <w:rsid w:val="7C242B65"/>
    <w:rsid w:val="7C27B55F"/>
    <w:rsid w:val="7C2F39A5"/>
    <w:rsid w:val="7C309269"/>
    <w:rsid w:val="7C32FDA9"/>
    <w:rsid w:val="7C3B6D1F"/>
    <w:rsid w:val="7C3F99D4"/>
    <w:rsid w:val="7C41D350"/>
    <w:rsid w:val="7C42EA88"/>
    <w:rsid w:val="7C47D74D"/>
    <w:rsid w:val="7C4BEEB1"/>
    <w:rsid w:val="7C5937D8"/>
    <w:rsid w:val="7C68F0FF"/>
    <w:rsid w:val="7C6C0D9F"/>
    <w:rsid w:val="7C6CAA3D"/>
    <w:rsid w:val="7C6EBFBF"/>
    <w:rsid w:val="7C6FEB2B"/>
    <w:rsid w:val="7C72AFB8"/>
    <w:rsid w:val="7C8042CB"/>
    <w:rsid w:val="7C810EF4"/>
    <w:rsid w:val="7C85C12A"/>
    <w:rsid w:val="7C8672E8"/>
    <w:rsid w:val="7C8AC56C"/>
    <w:rsid w:val="7C8C7D4C"/>
    <w:rsid w:val="7C92776E"/>
    <w:rsid w:val="7C937BFA"/>
    <w:rsid w:val="7C9416EF"/>
    <w:rsid w:val="7C954A39"/>
    <w:rsid w:val="7C9D2404"/>
    <w:rsid w:val="7C9EC350"/>
    <w:rsid w:val="7CA06C1C"/>
    <w:rsid w:val="7CA1D4F2"/>
    <w:rsid w:val="7CA3D2B5"/>
    <w:rsid w:val="7CA41D68"/>
    <w:rsid w:val="7CAB3C69"/>
    <w:rsid w:val="7CB3EAA3"/>
    <w:rsid w:val="7CB5FE73"/>
    <w:rsid w:val="7CB94DEF"/>
    <w:rsid w:val="7CC17207"/>
    <w:rsid w:val="7CC31705"/>
    <w:rsid w:val="7CC8AE1A"/>
    <w:rsid w:val="7CCF51DD"/>
    <w:rsid w:val="7CD238FF"/>
    <w:rsid w:val="7CD4E67D"/>
    <w:rsid w:val="7CD6D217"/>
    <w:rsid w:val="7CE0A0F8"/>
    <w:rsid w:val="7CE0DD2F"/>
    <w:rsid w:val="7CE12C7B"/>
    <w:rsid w:val="7CE1F479"/>
    <w:rsid w:val="7CE54C8A"/>
    <w:rsid w:val="7CEA61AA"/>
    <w:rsid w:val="7CEC0496"/>
    <w:rsid w:val="7CED4ED7"/>
    <w:rsid w:val="7CF0071F"/>
    <w:rsid w:val="7CF4AFAD"/>
    <w:rsid w:val="7CF51457"/>
    <w:rsid w:val="7CF55C34"/>
    <w:rsid w:val="7CF88E4B"/>
    <w:rsid w:val="7CFA2405"/>
    <w:rsid w:val="7CFD6389"/>
    <w:rsid w:val="7D00641D"/>
    <w:rsid w:val="7D065BA4"/>
    <w:rsid w:val="7D105D61"/>
    <w:rsid w:val="7D12CC1F"/>
    <w:rsid w:val="7D135463"/>
    <w:rsid w:val="7D1771FE"/>
    <w:rsid w:val="7D1954A9"/>
    <w:rsid w:val="7D1E6263"/>
    <w:rsid w:val="7D24BDBA"/>
    <w:rsid w:val="7D25CD96"/>
    <w:rsid w:val="7D28805A"/>
    <w:rsid w:val="7D289D1E"/>
    <w:rsid w:val="7D28B8F1"/>
    <w:rsid w:val="7D296C4A"/>
    <w:rsid w:val="7D2BB883"/>
    <w:rsid w:val="7D2E619A"/>
    <w:rsid w:val="7D320F3F"/>
    <w:rsid w:val="7D34E862"/>
    <w:rsid w:val="7D377F72"/>
    <w:rsid w:val="7D37B13A"/>
    <w:rsid w:val="7D37D183"/>
    <w:rsid w:val="7D3BB26D"/>
    <w:rsid w:val="7D3E2987"/>
    <w:rsid w:val="7D3FB23D"/>
    <w:rsid w:val="7D43AFBE"/>
    <w:rsid w:val="7D4BD8FC"/>
    <w:rsid w:val="7D4C07B7"/>
    <w:rsid w:val="7D5764F1"/>
    <w:rsid w:val="7D593CFC"/>
    <w:rsid w:val="7D59A221"/>
    <w:rsid w:val="7D5ADE78"/>
    <w:rsid w:val="7D5D5547"/>
    <w:rsid w:val="7D5FF311"/>
    <w:rsid w:val="7D6A13B9"/>
    <w:rsid w:val="7D6A95DC"/>
    <w:rsid w:val="7D6E98AF"/>
    <w:rsid w:val="7D783C48"/>
    <w:rsid w:val="7D80D5EC"/>
    <w:rsid w:val="7D828F05"/>
    <w:rsid w:val="7D87278C"/>
    <w:rsid w:val="7D8962F1"/>
    <w:rsid w:val="7D8E4A2A"/>
    <w:rsid w:val="7D920090"/>
    <w:rsid w:val="7D9266BE"/>
    <w:rsid w:val="7D940054"/>
    <w:rsid w:val="7D95E1EF"/>
    <w:rsid w:val="7D98FA8C"/>
    <w:rsid w:val="7D9919D9"/>
    <w:rsid w:val="7D9C8F7E"/>
    <w:rsid w:val="7DA088D9"/>
    <w:rsid w:val="7DA25172"/>
    <w:rsid w:val="7DA6AEB8"/>
    <w:rsid w:val="7DA9B10D"/>
    <w:rsid w:val="7DAFBA5A"/>
    <w:rsid w:val="7DB068C6"/>
    <w:rsid w:val="7DB07602"/>
    <w:rsid w:val="7DB4E540"/>
    <w:rsid w:val="7DB8B2B1"/>
    <w:rsid w:val="7DB94EAF"/>
    <w:rsid w:val="7DBA78AB"/>
    <w:rsid w:val="7DBB7862"/>
    <w:rsid w:val="7DBC0BE6"/>
    <w:rsid w:val="7DBD38A9"/>
    <w:rsid w:val="7DBE837A"/>
    <w:rsid w:val="7DC16EC3"/>
    <w:rsid w:val="7DC95AA7"/>
    <w:rsid w:val="7DCC411C"/>
    <w:rsid w:val="7DD8F53A"/>
    <w:rsid w:val="7DDB5FAC"/>
    <w:rsid w:val="7DDF8415"/>
    <w:rsid w:val="7DE5050F"/>
    <w:rsid w:val="7DF05533"/>
    <w:rsid w:val="7DF47144"/>
    <w:rsid w:val="7DF49779"/>
    <w:rsid w:val="7DFD6B4F"/>
    <w:rsid w:val="7DFDE483"/>
    <w:rsid w:val="7E00B14C"/>
    <w:rsid w:val="7E07D875"/>
    <w:rsid w:val="7E0E1A5A"/>
    <w:rsid w:val="7E0F06A5"/>
    <w:rsid w:val="7E0F7BAE"/>
    <w:rsid w:val="7E0F8CFA"/>
    <w:rsid w:val="7E112D04"/>
    <w:rsid w:val="7E14F2BB"/>
    <w:rsid w:val="7E19C5B5"/>
    <w:rsid w:val="7E268FDC"/>
    <w:rsid w:val="7E27917A"/>
    <w:rsid w:val="7E2914F6"/>
    <w:rsid w:val="7E2C1FC4"/>
    <w:rsid w:val="7E3376CB"/>
    <w:rsid w:val="7E3D3FE9"/>
    <w:rsid w:val="7E3EE3F6"/>
    <w:rsid w:val="7E415F99"/>
    <w:rsid w:val="7E43636C"/>
    <w:rsid w:val="7E438535"/>
    <w:rsid w:val="7E48B4C8"/>
    <w:rsid w:val="7E4BBAA3"/>
    <w:rsid w:val="7E571B4F"/>
    <w:rsid w:val="7E66F923"/>
    <w:rsid w:val="7E6AC355"/>
    <w:rsid w:val="7E7374E7"/>
    <w:rsid w:val="7E737C44"/>
    <w:rsid w:val="7E75585E"/>
    <w:rsid w:val="7E816278"/>
    <w:rsid w:val="7E833F0D"/>
    <w:rsid w:val="7E836946"/>
    <w:rsid w:val="7E84FD3F"/>
    <w:rsid w:val="7E896216"/>
    <w:rsid w:val="7E8B785E"/>
    <w:rsid w:val="7E91C932"/>
    <w:rsid w:val="7E9687D1"/>
    <w:rsid w:val="7E969BBE"/>
    <w:rsid w:val="7E9A54B6"/>
    <w:rsid w:val="7E9FB602"/>
    <w:rsid w:val="7EA0D452"/>
    <w:rsid w:val="7EAB0862"/>
    <w:rsid w:val="7EAB1DB5"/>
    <w:rsid w:val="7EAB6D56"/>
    <w:rsid w:val="7EB69A5E"/>
    <w:rsid w:val="7EBC6D63"/>
    <w:rsid w:val="7EBE2D58"/>
    <w:rsid w:val="7EC72D65"/>
    <w:rsid w:val="7EC97713"/>
    <w:rsid w:val="7ECB45BE"/>
    <w:rsid w:val="7ECF1A85"/>
    <w:rsid w:val="7ED11B9A"/>
    <w:rsid w:val="7ED2AFDC"/>
    <w:rsid w:val="7ED570A4"/>
    <w:rsid w:val="7ED97D2B"/>
    <w:rsid w:val="7EDFE613"/>
    <w:rsid w:val="7EE260D2"/>
    <w:rsid w:val="7EE3D79D"/>
    <w:rsid w:val="7EE44950"/>
    <w:rsid w:val="7EEAE9F3"/>
    <w:rsid w:val="7EF02D00"/>
    <w:rsid w:val="7EF7352F"/>
    <w:rsid w:val="7EFB63E6"/>
    <w:rsid w:val="7EFD5D3C"/>
    <w:rsid w:val="7F04F88F"/>
    <w:rsid w:val="7F08F692"/>
    <w:rsid w:val="7F0ADDAC"/>
    <w:rsid w:val="7F100F83"/>
    <w:rsid w:val="7F10ABB2"/>
    <w:rsid w:val="7F12848D"/>
    <w:rsid w:val="7F167B24"/>
    <w:rsid w:val="7F16ECD7"/>
    <w:rsid w:val="7F18F6C2"/>
    <w:rsid w:val="7F1A660D"/>
    <w:rsid w:val="7F1BB751"/>
    <w:rsid w:val="7F1D20BF"/>
    <w:rsid w:val="7F1F15F4"/>
    <w:rsid w:val="7F22AB5D"/>
    <w:rsid w:val="7F276739"/>
    <w:rsid w:val="7F29B4BB"/>
    <w:rsid w:val="7F29F828"/>
    <w:rsid w:val="7F35A516"/>
    <w:rsid w:val="7F373841"/>
    <w:rsid w:val="7F382355"/>
    <w:rsid w:val="7F3D25D8"/>
    <w:rsid w:val="7F48AE3F"/>
    <w:rsid w:val="7F4901CA"/>
    <w:rsid w:val="7F50030D"/>
    <w:rsid w:val="7F545E92"/>
    <w:rsid w:val="7F5F9334"/>
    <w:rsid w:val="7F60FDA5"/>
    <w:rsid w:val="7F656353"/>
    <w:rsid w:val="7F66794E"/>
    <w:rsid w:val="7F67C109"/>
    <w:rsid w:val="7F6A767A"/>
    <w:rsid w:val="7F7118FE"/>
    <w:rsid w:val="7F715E5D"/>
    <w:rsid w:val="7F72194D"/>
    <w:rsid w:val="7F7428BC"/>
    <w:rsid w:val="7F7A7F5E"/>
    <w:rsid w:val="7F806037"/>
    <w:rsid w:val="7F85336C"/>
    <w:rsid w:val="7F96A3F4"/>
    <w:rsid w:val="7F9B1DE1"/>
    <w:rsid w:val="7F9D3632"/>
    <w:rsid w:val="7FA5A6D6"/>
    <w:rsid w:val="7FA765B6"/>
    <w:rsid w:val="7FA94C3D"/>
    <w:rsid w:val="7FAFDDDC"/>
    <w:rsid w:val="7FBA5B29"/>
    <w:rsid w:val="7FBAF4F2"/>
    <w:rsid w:val="7FBCB987"/>
    <w:rsid w:val="7FC27CC8"/>
    <w:rsid w:val="7FC32E61"/>
    <w:rsid w:val="7FC4B02B"/>
    <w:rsid w:val="7FCB4C66"/>
    <w:rsid w:val="7FCCC465"/>
    <w:rsid w:val="7FD0D5CD"/>
    <w:rsid w:val="7FD627ED"/>
    <w:rsid w:val="7FD62AC9"/>
    <w:rsid w:val="7FDC4089"/>
    <w:rsid w:val="7FDC5981"/>
    <w:rsid w:val="7FDD6F22"/>
    <w:rsid w:val="7FE7B72F"/>
    <w:rsid w:val="7FEEA2E8"/>
    <w:rsid w:val="7FEF2DBC"/>
    <w:rsid w:val="7FF3F3DF"/>
    <w:rsid w:val="7FF741F1"/>
    <w:rsid w:val="7FF8313E"/>
    <w:rsid w:val="7FFB9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36AF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E3B"/>
    <w:pPr>
      <w:spacing w:after="0" w:line="480" w:lineRule="auto"/>
    </w:pPr>
    <w:rPr>
      <w:rFonts w:ascii="Times New Roman" w:eastAsiaTheme="minorEastAsia" w:hAnsi="Times New Roman" w:cs="Times New Roman"/>
      <w:sz w:val="24"/>
    </w:rPr>
  </w:style>
  <w:style w:type="paragraph" w:styleId="Heading1">
    <w:name w:val="heading 1"/>
    <w:basedOn w:val="Normal"/>
    <w:next w:val="Normal"/>
    <w:link w:val="Heading1Char"/>
    <w:uiPriority w:val="9"/>
    <w:qFormat/>
    <w:rsid w:val="00952F44"/>
    <w:pPr>
      <w:keepNext/>
      <w:keepLines/>
      <w:pageBreakBefore/>
      <w:numPr>
        <w:numId w:val="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D67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B0D70"/>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070AF"/>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183E6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F4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D67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B0D70"/>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rsid w:val="00B070AF"/>
    <w:rPr>
      <w:rFonts w:asciiTheme="majorHAnsi" w:eastAsiaTheme="majorEastAsia" w:hAnsiTheme="majorHAnsi" w:cstheme="majorBidi"/>
      <w:b/>
      <w:bCs/>
      <w:i/>
      <w:iCs/>
      <w:color w:val="4F81BD" w:themeColor="accent1"/>
    </w:rPr>
  </w:style>
  <w:style w:type="paragraph" w:customStyle="1" w:styleId="CM12">
    <w:name w:val="CM12"/>
    <w:basedOn w:val="Normal"/>
    <w:next w:val="Normal"/>
    <w:uiPriority w:val="99"/>
    <w:rsid w:val="00D52925"/>
    <w:pPr>
      <w:widowControl w:val="0"/>
      <w:autoSpaceDE w:val="0"/>
      <w:autoSpaceDN w:val="0"/>
      <w:adjustRightInd w:val="0"/>
      <w:spacing w:line="240" w:lineRule="auto"/>
    </w:pPr>
    <w:rPr>
      <w:rFonts w:ascii="Arial" w:hAnsi="Arial" w:cs="Arial"/>
      <w:szCs w:val="24"/>
    </w:rPr>
  </w:style>
  <w:style w:type="paragraph" w:customStyle="1" w:styleId="CM1">
    <w:name w:val="CM1"/>
    <w:basedOn w:val="Normal"/>
    <w:next w:val="Normal"/>
    <w:uiPriority w:val="99"/>
    <w:rsid w:val="00D52925"/>
    <w:pPr>
      <w:widowControl w:val="0"/>
      <w:autoSpaceDE w:val="0"/>
      <w:autoSpaceDN w:val="0"/>
      <w:adjustRightInd w:val="0"/>
      <w:spacing w:line="240" w:lineRule="auto"/>
    </w:pPr>
    <w:rPr>
      <w:rFonts w:ascii="Arial" w:hAnsi="Arial" w:cs="Arial"/>
      <w:szCs w:val="24"/>
    </w:rPr>
  </w:style>
  <w:style w:type="paragraph" w:customStyle="1" w:styleId="CM13">
    <w:name w:val="CM13"/>
    <w:basedOn w:val="Normal"/>
    <w:next w:val="Normal"/>
    <w:uiPriority w:val="99"/>
    <w:rsid w:val="00D52925"/>
    <w:pPr>
      <w:widowControl w:val="0"/>
      <w:autoSpaceDE w:val="0"/>
      <w:autoSpaceDN w:val="0"/>
      <w:adjustRightInd w:val="0"/>
      <w:spacing w:line="240" w:lineRule="auto"/>
    </w:pPr>
    <w:rPr>
      <w:rFonts w:ascii="Arial" w:hAnsi="Arial" w:cs="Arial"/>
      <w:szCs w:val="24"/>
    </w:rPr>
  </w:style>
  <w:style w:type="table" w:styleId="TableGrid">
    <w:name w:val="Table Grid"/>
    <w:basedOn w:val="TableGrid61"/>
    <w:rsid w:val="00D52925"/>
    <w:rPr>
      <w:rFonts w:eastAsiaTheme="minorEastAsia" w:cs="Times New Roman"/>
    </w:rPr>
    <w:tblPr/>
  </w:style>
  <w:style w:type="paragraph" w:styleId="BalloonText">
    <w:name w:val="Balloon Text"/>
    <w:basedOn w:val="Normal"/>
    <w:link w:val="BalloonTextChar"/>
    <w:uiPriority w:val="99"/>
    <w:semiHidden/>
    <w:unhideWhenUsed/>
    <w:rsid w:val="00D529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925"/>
    <w:rPr>
      <w:rFonts w:ascii="Tahoma" w:eastAsiaTheme="minorEastAsia" w:hAnsi="Tahoma" w:cs="Tahoma"/>
      <w:sz w:val="16"/>
      <w:szCs w:val="16"/>
    </w:rPr>
  </w:style>
  <w:style w:type="paragraph" w:styleId="ListParagraph">
    <w:name w:val="List Paragraph"/>
    <w:aliases w:val="Proposal Bullet List"/>
    <w:basedOn w:val="Normal"/>
    <w:link w:val="ListParagraphChar"/>
    <w:uiPriority w:val="34"/>
    <w:qFormat/>
    <w:rsid w:val="00A32049"/>
    <w:pPr>
      <w:ind w:left="720"/>
      <w:contextualSpacing/>
    </w:pPr>
  </w:style>
  <w:style w:type="paragraph" w:styleId="NormalWeb">
    <w:name w:val="Normal (Web)"/>
    <w:basedOn w:val="Normal"/>
    <w:uiPriority w:val="99"/>
    <w:unhideWhenUsed/>
    <w:rsid w:val="00BA2604"/>
    <w:pPr>
      <w:spacing w:before="100" w:beforeAutospacing="1" w:after="100" w:afterAutospacing="1" w:line="240" w:lineRule="auto"/>
    </w:pPr>
    <w:rPr>
      <w:rFonts w:eastAsia="Times New Roman"/>
      <w:szCs w:val="24"/>
    </w:rPr>
  </w:style>
  <w:style w:type="character" w:styleId="CommentReference">
    <w:name w:val="annotation reference"/>
    <w:basedOn w:val="DefaultParagraphFont"/>
    <w:uiPriority w:val="99"/>
    <w:unhideWhenUsed/>
    <w:rsid w:val="00BA2604"/>
    <w:rPr>
      <w:sz w:val="16"/>
      <w:szCs w:val="16"/>
    </w:rPr>
  </w:style>
  <w:style w:type="paragraph" w:styleId="CommentText">
    <w:name w:val="annotation text"/>
    <w:basedOn w:val="Normal"/>
    <w:link w:val="CommentTextChar"/>
    <w:uiPriority w:val="99"/>
    <w:unhideWhenUsed/>
    <w:rsid w:val="00A32049"/>
    <w:pPr>
      <w:spacing w:line="240" w:lineRule="auto"/>
    </w:pPr>
    <w:rPr>
      <w:sz w:val="20"/>
      <w:szCs w:val="20"/>
    </w:rPr>
  </w:style>
  <w:style w:type="character" w:customStyle="1" w:styleId="CommentTextChar">
    <w:name w:val="Comment Text Char"/>
    <w:basedOn w:val="DefaultParagraphFont"/>
    <w:link w:val="CommentText"/>
    <w:uiPriority w:val="99"/>
    <w:rsid w:val="00BA2604"/>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2049"/>
    <w:rPr>
      <w:b/>
      <w:bCs/>
    </w:rPr>
  </w:style>
  <w:style w:type="character" w:customStyle="1" w:styleId="CommentSubjectChar">
    <w:name w:val="Comment Subject Char"/>
    <w:basedOn w:val="CommentTextChar"/>
    <w:link w:val="CommentSubject"/>
    <w:uiPriority w:val="99"/>
    <w:semiHidden/>
    <w:rsid w:val="00BA2604"/>
    <w:rPr>
      <w:rFonts w:ascii="Times New Roman" w:eastAsiaTheme="minorEastAsia" w:hAnsi="Times New Roman" w:cs="Times New Roman"/>
      <w:b/>
      <w:bCs/>
      <w:sz w:val="20"/>
      <w:szCs w:val="20"/>
    </w:rPr>
  </w:style>
  <w:style w:type="paragraph" w:customStyle="1" w:styleId="Default">
    <w:name w:val="Default"/>
    <w:uiPriority w:val="99"/>
    <w:rsid w:val="0075547A"/>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CM15">
    <w:name w:val="CM15"/>
    <w:basedOn w:val="Normal"/>
    <w:next w:val="Normal"/>
    <w:uiPriority w:val="99"/>
    <w:rsid w:val="00280297"/>
    <w:pPr>
      <w:widowControl w:val="0"/>
      <w:autoSpaceDE w:val="0"/>
      <w:autoSpaceDN w:val="0"/>
      <w:adjustRightInd w:val="0"/>
      <w:spacing w:line="240" w:lineRule="auto"/>
    </w:pPr>
    <w:rPr>
      <w:rFonts w:ascii="Arial" w:hAnsi="Arial" w:cs="Arial"/>
      <w:szCs w:val="24"/>
    </w:rPr>
  </w:style>
  <w:style w:type="paragraph" w:styleId="FootnoteText">
    <w:name w:val="footnote text"/>
    <w:basedOn w:val="Normal"/>
    <w:link w:val="FootnoteTextChar"/>
    <w:uiPriority w:val="99"/>
    <w:unhideWhenUsed/>
    <w:rsid w:val="00AD503D"/>
    <w:pPr>
      <w:spacing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AD503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D503D"/>
    <w:rPr>
      <w:vertAlign w:val="superscript"/>
    </w:rPr>
  </w:style>
  <w:style w:type="table" w:customStyle="1" w:styleId="TableGrid1">
    <w:name w:val="Table Grid1"/>
    <w:basedOn w:val="TableNormal"/>
    <w:next w:val="TableGrid"/>
    <w:rsid w:val="00F36B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Default"/>
    <w:next w:val="Default"/>
    <w:uiPriority w:val="99"/>
    <w:rsid w:val="00DF6084"/>
    <w:rPr>
      <w:color w:val="auto"/>
    </w:rPr>
  </w:style>
  <w:style w:type="paragraph" w:customStyle="1" w:styleId="CM22">
    <w:name w:val="CM22"/>
    <w:basedOn w:val="Normal"/>
    <w:next w:val="Normal"/>
    <w:uiPriority w:val="99"/>
    <w:rsid w:val="007B516B"/>
    <w:pPr>
      <w:widowControl w:val="0"/>
      <w:autoSpaceDE w:val="0"/>
      <w:autoSpaceDN w:val="0"/>
      <w:adjustRightInd w:val="0"/>
      <w:spacing w:line="240" w:lineRule="auto"/>
    </w:pPr>
    <w:rPr>
      <w:rFonts w:ascii="Arial" w:hAnsi="Arial" w:cs="Arial"/>
      <w:szCs w:val="24"/>
    </w:rPr>
  </w:style>
  <w:style w:type="paragraph" w:customStyle="1" w:styleId="CM20">
    <w:name w:val="CM20"/>
    <w:basedOn w:val="Normal"/>
    <w:next w:val="Normal"/>
    <w:uiPriority w:val="99"/>
    <w:rsid w:val="007B516B"/>
    <w:pPr>
      <w:widowControl w:val="0"/>
      <w:autoSpaceDE w:val="0"/>
      <w:autoSpaceDN w:val="0"/>
      <w:adjustRightInd w:val="0"/>
      <w:spacing w:line="240" w:lineRule="auto"/>
    </w:pPr>
    <w:rPr>
      <w:rFonts w:ascii="Arial" w:hAnsi="Arial" w:cs="Arial"/>
      <w:szCs w:val="24"/>
    </w:rPr>
  </w:style>
  <w:style w:type="paragraph" w:styleId="Header">
    <w:name w:val="header"/>
    <w:basedOn w:val="Normal"/>
    <w:link w:val="HeaderChar"/>
    <w:uiPriority w:val="99"/>
    <w:unhideWhenUsed/>
    <w:rsid w:val="00681E1F"/>
    <w:pPr>
      <w:tabs>
        <w:tab w:val="center" w:pos="4680"/>
        <w:tab w:val="right" w:pos="9360"/>
      </w:tabs>
      <w:spacing w:line="240" w:lineRule="auto"/>
    </w:pPr>
  </w:style>
  <w:style w:type="character" w:customStyle="1" w:styleId="HeaderChar">
    <w:name w:val="Header Char"/>
    <w:basedOn w:val="DefaultParagraphFont"/>
    <w:link w:val="Header"/>
    <w:uiPriority w:val="99"/>
    <w:rsid w:val="00681E1F"/>
    <w:rPr>
      <w:rFonts w:eastAsiaTheme="minorEastAsia" w:cs="Times New Roman"/>
    </w:rPr>
  </w:style>
  <w:style w:type="paragraph" w:styleId="Footer">
    <w:name w:val="footer"/>
    <w:basedOn w:val="Normal"/>
    <w:link w:val="FooterChar"/>
    <w:uiPriority w:val="99"/>
    <w:unhideWhenUsed/>
    <w:rsid w:val="00681E1F"/>
    <w:pPr>
      <w:tabs>
        <w:tab w:val="center" w:pos="4680"/>
        <w:tab w:val="right" w:pos="9360"/>
      </w:tabs>
      <w:spacing w:line="240" w:lineRule="auto"/>
    </w:pPr>
  </w:style>
  <w:style w:type="character" w:customStyle="1" w:styleId="FooterChar">
    <w:name w:val="Footer Char"/>
    <w:basedOn w:val="DefaultParagraphFont"/>
    <w:link w:val="Footer"/>
    <w:uiPriority w:val="99"/>
    <w:rsid w:val="00681E1F"/>
    <w:rPr>
      <w:rFonts w:eastAsiaTheme="minorEastAsia" w:cs="Times New Roman"/>
    </w:rPr>
  </w:style>
  <w:style w:type="paragraph" w:styleId="TOCHeading">
    <w:name w:val="TOC Heading"/>
    <w:basedOn w:val="Heading1"/>
    <w:next w:val="Normal"/>
    <w:uiPriority w:val="39"/>
    <w:unhideWhenUsed/>
    <w:qFormat/>
    <w:rsid w:val="00681E1F"/>
    <w:pPr>
      <w:outlineLvl w:val="9"/>
    </w:pPr>
    <w:rPr>
      <w:lang w:eastAsia="ja-JP"/>
    </w:rPr>
  </w:style>
  <w:style w:type="character" w:styleId="Hyperlink">
    <w:name w:val="Hyperlink"/>
    <w:basedOn w:val="DefaultParagraphFont"/>
    <w:uiPriority w:val="99"/>
    <w:unhideWhenUsed/>
    <w:rsid w:val="00681E1F"/>
    <w:rPr>
      <w:color w:val="0000FF" w:themeColor="hyperlink"/>
      <w:u w:val="single"/>
    </w:rPr>
  </w:style>
  <w:style w:type="paragraph" w:customStyle="1" w:styleId="Heading2Number">
    <w:name w:val="Heading 2 Number"/>
    <w:basedOn w:val="Heading2"/>
    <w:link w:val="Heading2NumberChar"/>
    <w:qFormat/>
    <w:rsid w:val="00727363"/>
    <w:pPr>
      <w:numPr>
        <w:ilvl w:val="1"/>
        <w:numId w:val="7"/>
      </w:numPr>
      <w:spacing w:before="0"/>
    </w:pPr>
  </w:style>
  <w:style w:type="character" w:customStyle="1" w:styleId="Heading2NumberChar">
    <w:name w:val="Heading 2 Number Char"/>
    <w:basedOn w:val="Heading2Char"/>
    <w:link w:val="Heading2Number"/>
    <w:rsid w:val="00727363"/>
    <w:rPr>
      <w:rFonts w:asciiTheme="majorHAnsi" w:eastAsiaTheme="majorEastAsia" w:hAnsiTheme="majorHAnsi" w:cstheme="majorBidi"/>
      <w:b/>
      <w:bCs/>
      <w:color w:val="4F81BD" w:themeColor="accent1"/>
      <w:sz w:val="26"/>
      <w:szCs w:val="26"/>
    </w:rPr>
  </w:style>
  <w:style w:type="paragraph" w:styleId="TableofFigures">
    <w:name w:val="table of figures"/>
    <w:basedOn w:val="Normal"/>
    <w:next w:val="Normal"/>
    <w:uiPriority w:val="99"/>
    <w:unhideWhenUsed/>
    <w:rsid w:val="0070061F"/>
  </w:style>
  <w:style w:type="paragraph" w:customStyle="1" w:styleId="Heading3Numbering">
    <w:name w:val="Heading 3 Numbering"/>
    <w:basedOn w:val="Heading3"/>
    <w:next w:val="Normal"/>
    <w:link w:val="Heading3NumberingChar"/>
    <w:qFormat/>
    <w:rsid w:val="00A32049"/>
    <w:pPr>
      <w:numPr>
        <w:ilvl w:val="2"/>
        <w:numId w:val="2"/>
      </w:numPr>
      <w:spacing w:after="120"/>
    </w:pPr>
  </w:style>
  <w:style w:type="character" w:customStyle="1" w:styleId="Heading3NumberingChar">
    <w:name w:val="Heading 3 Numbering Char"/>
    <w:basedOn w:val="Heading3Char"/>
    <w:link w:val="Heading3Numbering"/>
    <w:rsid w:val="00B61EFD"/>
    <w:rPr>
      <w:rFonts w:asciiTheme="majorHAnsi" w:eastAsiaTheme="majorEastAsia" w:hAnsiTheme="majorHAnsi" w:cstheme="majorBidi"/>
      <w:b/>
      <w:bCs/>
      <w:color w:val="4F81BD" w:themeColor="accent1"/>
      <w:sz w:val="24"/>
    </w:rPr>
  </w:style>
  <w:style w:type="paragraph" w:customStyle="1" w:styleId="Heading4Numbering">
    <w:name w:val="Heading 4 Numbering"/>
    <w:basedOn w:val="Heading4"/>
    <w:link w:val="Heading4NumberingChar"/>
    <w:qFormat/>
    <w:rsid w:val="00A32049"/>
    <w:pPr>
      <w:numPr>
        <w:ilvl w:val="3"/>
        <w:numId w:val="2"/>
      </w:numPr>
      <w:spacing w:before="0" w:after="120"/>
    </w:pPr>
    <w:rPr>
      <w:color w:val="auto"/>
    </w:rPr>
  </w:style>
  <w:style w:type="character" w:customStyle="1" w:styleId="Heading4NumberingChar">
    <w:name w:val="Heading 4 Numbering Char"/>
    <w:basedOn w:val="Heading4Char"/>
    <w:link w:val="Heading4Numbering"/>
    <w:rsid w:val="00A65357"/>
    <w:rPr>
      <w:rFonts w:asciiTheme="majorHAnsi" w:eastAsiaTheme="majorEastAsia" w:hAnsiTheme="majorHAnsi" w:cstheme="majorBidi"/>
      <w:b/>
      <w:bCs/>
      <w:i/>
      <w:iCs/>
      <w:color w:val="4F81BD" w:themeColor="accent1"/>
      <w:sz w:val="24"/>
    </w:rPr>
  </w:style>
  <w:style w:type="paragraph" w:styleId="TOC2">
    <w:name w:val="toc 2"/>
    <w:basedOn w:val="Normal"/>
    <w:next w:val="Normal"/>
    <w:autoRedefine/>
    <w:uiPriority w:val="39"/>
    <w:unhideWhenUsed/>
    <w:rsid w:val="00C06A4D"/>
    <w:pPr>
      <w:tabs>
        <w:tab w:val="left" w:pos="880"/>
        <w:tab w:val="right" w:leader="dot" w:pos="8900"/>
      </w:tabs>
      <w:spacing w:after="100" w:line="240" w:lineRule="auto"/>
      <w:ind w:left="907" w:hanging="691"/>
    </w:pPr>
  </w:style>
  <w:style w:type="paragraph" w:styleId="TOC3">
    <w:name w:val="toc 3"/>
    <w:basedOn w:val="Normal"/>
    <w:next w:val="Normal"/>
    <w:autoRedefine/>
    <w:uiPriority w:val="39"/>
    <w:unhideWhenUsed/>
    <w:rsid w:val="00202A6B"/>
    <w:pPr>
      <w:spacing w:after="100"/>
      <w:ind w:left="440"/>
    </w:pPr>
  </w:style>
  <w:style w:type="table" w:styleId="LightList">
    <w:name w:val="Light List"/>
    <w:basedOn w:val="TableNormal"/>
    <w:uiPriority w:val="61"/>
    <w:rsid w:val="00DD15B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DD15B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PlaceholderText">
    <w:name w:val="Placeholder Text"/>
    <w:basedOn w:val="DefaultParagraphFont"/>
    <w:uiPriority w:val="99"/>
    <w:semiHidden/>
    <w:rsid w:val="00F519D2"/>
    <w:rPr>
      <w:color w:val="808080"/>
    </w:rPr>
  </w:style>
  <w:style w:type="character" w:customStyle="1" w:styleId="ListParagraphChar">
    <w:name w:val="List Paragraph Char"/>
    <w:aliases w:val="Proposal Bullet List Char"/>
    <w:basedOn w:val="DefaultParagraphFont"/>
    <w:link w:val="ListParagraph"/>
    <w:uiPriority w:val="34"/>
    <w:locked/>
    <w:rsid w:val="00950AD6"/>
    <w:rPr>
      <w:rFonts w:ascii="Times New Roman" w:eastAsiaTheme="minorEastAsia" w:hAnsi="Times New Roman" w:cs="Times New Roman"/>
      <w:sz w:val="24"/>
    </w:rPr>
  </w:style>
  <w:style w:type="table" w:customStyle="1" w:styleId="TableGrid2">
    <w:name w:val="Table Grid2"/>
    <w:basedOn w:val="TableNormal"/>
    <w:next w:val="TableGrid"/>
    <w:rsid w:val="006064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F5C46"/>
    <w:pPr>
      <w:spacing w:after="0" w:line="240" w:lineRule="auto"/>
    </w:pPr>
    <w:rPr>
      <w:rFonts w:ascii="Times New Roman" w:eastAsiaTheme="minorEastAsia" w:hAnsi="Times New Roman" w:cs="Times New Roman"/>
      <w:sz w:val="24"/>
    </w:rPr>
  </w:style>
  <w:style w:type="table" w:customStyle="1" w:styleId="TableGrid3">
    <w:name w:val="Table Grid3"/>
    <w:basedOn w:val="TableNormal"/>
    <w:next w:val="TableGrid"/>
    <w:rsid w:val="000C63F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C63F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0C63F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32049"/>
    <w:pPr>
      <w:spacing w:after="240" w:line="240" w:lineRule="auto"/>
      <w:jc w:val="center"/>
    </w:pPr>
    <w:rPr>
      <w:b/>
      <w:bCs/>
      <w:sz w:val="22"/>
      <w:szCs w:val="18"/>
    </w:rPr>
  </w:style>
  <w:style w:type="character" w:styleId="FollowedHyperlink">
    <w:name w:val="FollowedHyperlink"/>
    <w:basedOn w:val="DefaultParagraphFont"/>
    <w:uiPriority w:val="99"/>
    <w:semiHidden/>
    <w:unhideWhenUsed/>
    <w:rsid w:val="00C71DA3"/>
    <w:rPr>
      <w:color w:val="800080" w:themeColor="followedHyperlink"/>
      <w:u w:val="single"/>
    </w:rPr>
  </w:style>
  <w:style w:type="paragraph" w:customStyle="1" w:styleId="Table">
    <w:name w:val="Table"/>
    <w:uiPriority w:val="99"/>
    <w:qFormat/>
    <w:rsid w:val="005724CD"/>
    <w:pPr>
      <w:spacing w:after="0" w:line="240" w:lineRule="auto"/>
      <w:jc w:val="center"/>
    </w:pPr>
    <w:rPr>
      <w:rFonts w:ascii="Times New Roman" w:eastAsia="Times New Roman" w:hAnsi="Times New Roman" w:cs="Times New Roman"/>
      <w:color w:val="000000"/>
    </w:rPr>
  </w:style>
  <w:style w:type="paragraph" w:customStyle="1" w:styleId="ParagraphSpace">
    <w:name w:val="Paragraph Space"/>
    <w:basedOn w:val="Normal"/>
    <w:link w:val="ParagraphSpaceChar"/>
    <w:qFormat/>
    <w:rsid w:val="00A94CD7"/>
  </w:style>
  <w:style w:type="character" w:customStyle="1" w:styleId="TripleSpacingChar">
    <w:name w:val="Triple Spacing Char"/>
    <w:basedOn w:val="DefaultParagraphFont"/>
    <w:rsid w:val="00BD47F1"/>
    <w:rPr>
      <w:rFonts w:ascii="Times New Roman" w:eastAsiaTheme="minorEastAsia" w:hAnsi="Times New Roman" w:cs="Times New Roman"/>
      <w:sz w:val="24"/>
    </w:rPr>
  </w:style>
  <w:style w:type="character" w:customStyle="1" w:styleId="TripleSpacingChar1">
    <w:name w:val="Triple Spacing Char1"/>
    <w:basedOn w:val="DefaultParagraphFont"/>
    <w:rsid w:val="0069414D"/>
    <w:rPr>
      <w:rFonts w:ascii="Times New Roman" w:eastAsiaTheme="minorEastAsia" w:hAnsi="Times New Roman" w:cs="Times New Roman"/>
      <w:sz w:val="24"/>
    </w:rPr>
  </w:style>
  <w:style w:type="character" w:customStyle="1" w:styleId="TripleSpacingChar2">
    <w:name w:val="Triple Spacing Char2"/>
    <w:basedOn w:val="DefaultParagraphFont"/>
    <w:rsid w:val="001C599E"/>
    <w:rPr>
      <w:rFonts w:ascii="Times New Roman" w:eastAsiaTheme="minorEastAsia" w:hAnsi="Times New Roman" w:cs="Times New Roman"/>
      <w:sz w:val="24"/>
    </w:rPr>
  </w:style>
  <w:style w:type="paragraph" w:styleId="NoSpacing">
    <w:name w:val="No Spacing"/>
    <w:uiPriority w:val="1"/>
    <w:qFormat/>
    <w:rsid w:val="00CB5280"/>
    <w:pPr>
      <w:spacing w:after="0" w:line="240" w:lineRule="auto"/>
    </w:pPr>
    <w:rPr>
      <w:rFonts w:ascii="Times New Roman" w:eastAsiaTheme="minorEastAsia" w:hAnsi="Times New Roman" w:cs="Times New Roman"/>
      <w:sz w:val="24"/>
    </w:rPr>
  </w:style>
  <w:style w:type="character" w:customStyle="1" w:styleId="ParagraphSpaceChar">
    <w:name w:val="Paragraph Space Char"/>
    <w:basedOn w:val="DefaultParagraphFont"/>
    <w:link w:val="ParagraphSpace"/>
    <w:rsid w:val="00A94CD7"/>
    <w:rPr>
      <w:rFonts w:ascii="Times New Roman" w:eastAsiaTheme="minorEastAsia" w:hAnsi="Times New Roman" w:cs="Times New Roman"/>
      <w:sz w:val="24"/>
    </w:rPr>
  </w:style>
  <w:style w:type="paragraph" w:customStyle="1" w:styleId="BottomofTableSpacing">
    <w:name w:val="Bottom of Table Spacing"/>
    <w:basedOn w:val="ParagraphSpace"/>
    <w:link w:val="BottomofTableSpacingChar"/>
    <w:qFormat/>
    <w:rsid w:val="001D25AD"/>
    <w:pPr>
      <w:spacing w:line="720" w:lineRule="auto"/>
    </w:pPr>
  </w:style>
  <w:style w:type="character" w:customStyle="1" w:styleId="BottomofTableSpacingChar">
    <w:name w:val="Bottom of Table Spacing Char"/>
    <w:basedOn w:val="ParagraphSpaceChar"/>
    <w:link w:val="BottomofTableSpacing"/>
    <w:rsid w:val="001D25AD"/>
    <w:rPr>
      <w:rFonts w:ascii="Times New Roman" w:eastAsiaTheme="minorEastAsia" w:hAnsi="Times New Roman" w:cs="Times New Roman"/>
      <w:sz w:val="24"/>
    </w:rPr>
  </w:style>
  <w:style w:type="paragraph" w:styleId="EndnoteText">
    <w:name w:val="endnote text"/>
    <w:basedOn w:val="Normal"/>
    <w:link w:val="EndnoteTextChar"/>
    <w:uiPriority w:val="99"/>
    <w:semiHidden/>
    <w:unhideWhenUsed/>
    <w:rsid w:val="00066D74"/>
    <w:pPr>
      <w:spacing w:line="240" w:lineRule="auto"/>
    </w:pPr>
    <w:rPr>
      <w:sz w:val="20"/>
      <w:szCs w:val="20"/>
    </w:rPr>
  </w:style>
  <w:style w:type="character" w:customStyle="1" w:styleId="EndnoteTextChar">
    <w:name w:val="Endnote Text Char"/>
    <w:basedOn w:val="DefaultParagraphFont"/>
    <w:link w:val="EndnoteText"/>
    <w:uiPriority w:val="99"/>
    <w:semiHidden/>
    <w:rsid w:val="00066D74"/>
    <w:rPr>
      <w:rFonts w:ascii="Times New Roman" w:eastAsiaTheme="minorEastAsia" w:hAnsi="Times New Roman" w:cs="Times New Roman"/>
      <w:sz w:val="20"/>
      <w:szCs w:val="20"/>
    </w:rPr>
  </w:style>
  <w:style w:type="character" w:styleId="EndnoteReference">
    <w:name w:val="endnote reference"/>
    <w:basedOn w:val="DefaultParagraphFont"/>
    <w:uiPriority w:val="99"/>
    <w:semiHidden/>
    <w:unhideWhenUsed/>
    <w:rsid w:val="00066D74"/>
    <w:rPr>
      <w:vertAlign w:val="superscript"/>
    </w:rPr>
  </w:style>
  <w:style w:type="table" w:customStyle="1" w:styleId="TableGrid6">
    <w:name w:val="Table Grid6"/>
    <w:basedOn w:val="TableNormal"/>
    <w:next w:val="TableGrid"/>
    <w:rsid w:val="00E01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9123D"/>
  </w:style>
  <w:style w:type="table" w:customStyle="1" w:styleId="TableGrid7">
    <w:name w:val="Table Grid7"/>
    <w:basedOn w:val="TableNormal"/>
    <w:next w:val="TableGrid"/>
    <w:rsid w:val="00A9123D"/>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A912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next w:val="LightList"/>
    <w:uiPriority w:val="61"/>
    <w:rsid w:val="00A9123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Grid1">
    <w:name w:val="Light Grid1"/>
    <w:basedOn w:val="TableNormal"/>
    <w:next w:val="LightGrid"/>
    <w:uiPriority w:val="62"/>
    <w:rsid w:val="00A9123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21">
    <w:name w:val="Table Grid21"/>
    <w:basedOn w:val="TableNormal"/>
    <w:next w:val="TableGrid"/>
    <w:rsid w:val="00A912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A9123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A9123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A9123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A91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C06A4D"/>
    <w:pPr>
      <w:tabs>
        <w:tab w:val="left" w:pos="900"/>
        <w:tab w:val="right" w:leader="dot" w:pos="8900"/>
      </w:tabs>
      <w:spacing w:before="240" w:after="60" w:line="240" w:lineRule="auto"/>
      <w:ind w:left="907" w:hanging="691"/>
    </w:pPr>
  </w:style>
  <w:style w:type="paragraph" w:customStyle="1" w:styleId="xl69">
    <w:name w:val="xl69"/>
    <w:basedOn w:val="Normal"/>
    <w:rsid w:val="004E2107"/>
    <w:pPr>
      <w:spacing w:before="100" w:beforeAutospacing="1" w:after="100" w:afterAutospacing="1" w:line="240" w:lineRule="auto"/>
      <w:textAlignment w:val="center"/>
    </w:pPr>
    <w:rPr>
      <w:rFonts w:eastAsia="Times New Roman"/>
      <w:szCs w:val="24"/>
    </w:rPr>
  </w:style>
  <w:style w:type="paragraph" w:customStyle="1" w:styleId="xl70">
    <w:name w:val="xl70"/>
    <w:basedOn w:val="Normal"/>
    <w:rsid w:val="004E2107"/>
    <w:pPr>
      <w:shd w:val="clear" w:color="000000" w:fill="D9D9D9"/>
      <w:spacing w:before="100" w:beforeAutospacing="1" w:after="100" w:afterAutospacing="1" w:line="240" w:lineRule="auto"/>
      <w:textAlignment w:val="center"/>
    </w:pPr>
    <w:rPr>
      <w:rFonts w:eastAsia="Times New Roman"/>
      <w:szCs w:val="24"/>
    </w:rPr>
  </w:style>
  <w:style w:type="paragraph" w:customStyle="1" w:styleId="xl71">
    <w:name w:val="xl71"/>
    <w:basedOn w:val="Normal"/>
    <w:rsid w:val="004E2107"/>
    <w:pPr>
      <w:spacing w:before="100" w:beforeAutospacing="1" w:after="100" w:afterAutospacing="1" w:line="240" w:lineRule="auto"/>
    </w:pPr>
    <w:rPr>
      <w:rFonts w:eastAsia="Times New Roman"/>
      <w:color w:val="FF0000"/>
      <w:szCs w:val="24"/>
    </w:rPr>
  </w:style>
  <w:style w:type="paragraph" w:customStyle="1" w:styleId="xl72">
    <w:name w:val="xl72"/>
    <w:basedOn w:val="Normal"/>
    <w:rsid w:val="004E2107"/>
    <w:pPr>
      <w:shd w:val="clear" w:color="000000" w:fill="FFFFFF"/>
      <w:spacing w:before="100" w:beforeAutospacing="1" w:after="100" w:afterAutospacing="1" w:line="240" w:lineRule="auto"/>
      <w:textAlignment w:val="center"/>
    </w:pPr>
    <w:rPr>
      <w:rFonts w:eastAsia="Times New Roman"/>
      <w:szCs w:val="24"/>
    </w:rPr>
  </w:style>
  <w:style w:type="paragraph" w:customStyle="1" w:styleId="xl73">
    <w:name w:val="xl73"/>
    <w:basedOn w:val="Normal"/>
    <w:rsid w:val="004E2107"/>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textAlignment w:val="center"/>
    </w:pPr>
    <w:rPr>
      <w:rFonts w:eastAsia="Times New Roman"/>
      <w:szCs w:val="24"/>
    </w:rPr>
  </w:style>
  <w:style w:type="paragraph" w:customStyle="1" w:styleId="xl74">
    <w:name w:val="xl74"/>
    <w:basedOn w:val="Normal"/>
    <w:rsid w:val="004E2107"/>
    <w:pPr>
      <w:pBdr>
        <w:top w:val="single" w:sz="4" w:space="0" w:color="808080"/>
        <w:left w:val="single" w:sz="4" w:space="0" w:color="808080"/>
        <w:bottom w:val="single" w:sz="12" w:space="0" w:color="808080"/>
        <w:right w:val="single" w:sz="4" w:space="0" w:color="808080"/>
      </w:pBdr>
      <w:spacing w:before="100" w:beforeAutospacing="1" w:after="100" w:afterAutospacing="1" w:line="240" w:lineRule="auto"/>
      <w:textAlignment w:val="center"/>
    </w:pPr>
    <w:rPr>
      <w:rFonts w:eastAsia="Times New Roman"/>
      <w:szCs w:val="24"/>
    </w:rPr>
  </w:style>
  <w:style w:type="paragraph" w:customStyle="1" w:styleId="xl75">
    <w:name w:val="xl75"/>
    <w:basedOn w:val="Normal"/>
    <w:rsid w:val="004E2107"/>
    <w:pPr>
      <w:pBdr>
        <w:top w:val="single" w:sz="4" w:space="0" w:color="808080"/>
        <w:left w:val="single" w:sz="4" w:space="0" w:color="808080"/>
        <w:bottom w:val="single" w:sz="4" w:space="0" w:color="808080"/>
      </w:pBdr>
      <w:shd w:val="clear" w:color="000000" w:fill="FFFFFF"/>
      <w:spacing w:before="100" w:beforeAutospacing="1" w:after="100" w:afterAutospacing="1" w:line="240" w:lineRule="auto"/>
      <w:jc w:val="center"/>
    </w:pPr>
    <w:rPr>
      <w:rFonts w:eastAsia="Times New Roman"/>
      <w:szCs w:val="24"/>
    </w:rPr>
  </w:style>
  <w:style w:type="paragraph" w:customStyle="1" w:styleId="xl76">
    <w:name w:val="xl76"/>
    <w:basedOn w:val="Normal"/>
    <w:rsid w:val="004E2107"/>
    <w:pPr>
      <w:pBdr>
        <w:top w:val="single" w:sz="4" w:space="0" w:color="808080"/>
        <w:bottom w:val="single" w:sz="4" w:space="0" w:color="808080"/>
      </w:pBdr>
      <w:shd w:val="clear" w:color="000000" w:fill="FFFFFF"/>
      <w:spacing w:before="100" w:beforeAutospacing="1" w:after="100" w:afterAutospacing="1" w:line="240" w:lineRule="auto"/>
      <w:jc w:val="center"/>
    </w:pPr>
    <w:rPr>
      <w:rFonts w:eastAsia="Times New Roman"/>
      <w:szCs w:val="24"/>
    </w:rPr>
  </w:style>
  <w:style w:type="paragraph" w:customStyle="1" w:styleId="xl77">
    <w:name w:val="xl77"/>
    <w:basedOn w:val="Normal"/>
    <w:rsid w:val="004E2107"/>
    <w:pPr>
      <w:pBdr>
        <w:top w:val="single" w:sz="4" w:space="0" w:color="808080"/>
        <w:bottom w:val="single" w:sz="4" w:space="0" w:color="808080"/>
        <w:right w:val="single" w:sz="4" w:space="0" w:color="808080"/>
      </w:pBdr>
      <w:shd w:val="clear" w:color="000000" w:fill="FFFFFF"/>
      <w:spacing w:before="100" w:beforeAutospacing="1" w:after="100" w:afterAutospacing="1" w:line="240" w:lineRule="auto"/>
      <w:jc w:val="center"/>
    </w:pPr>
    <w:rPr>
      <w:rFonts w:eastAsia="Times New Roman"/>
      <w:szCs w:val="24"/>
    </w:rPr>
  </w:style>
  <w:style w:type="paragraph" w:customStyle="1" w:styleId="xl78">
    <w:name w:val="xl78"/>
    <w:basedOn w:val="Normal"/>
    <w:rsid w:val="004E2107"/>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jc w:val="center"/>
      <w:textAlignment w:val="center"/>
    </w:pPr>
    <w:rPr>
      <w:rFonts w:eastAsia="Times New Roman"/>
      <w:szCs w:val="24"/>
    </w:rPr>
  </w:style>
  <w:style w:type="paragraph" w:customStyle="1" w:styleId="xl79">
    <w:name w:val="xl79"/>
    <w:basedOn w:val="Normal"/>
    <w:rsid w:val="004E2107"/>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jc w:val="center"/>
      <w:textAlignment w:val="center"/>
    </w:pPr>
    <w:rPr>
      <w:rFonts w:eastAsia="Times New Roman"/>
      <w:szCs w:val="24"/>
    </w:rPr>
  </w:style>
  <w:style w:type="paragraph" w:customStyle="1" w:styleId="xl80">
    <w:name w:val="xl80"/>
    <w:basedOn w:val="Normal"/>
    <w:rsid w:val="004E2107"/>
    <w:pPr>
      <w:pBdr>
        <w:top w:val="single" w:sz="4" w:space="0" w:color="808080"/>
        <w:left w:val="single" w:sz="4" w:space="0" w:color="808080"/>
        <w:right w:val="single" w:sz="4" w:space="0" w:color="808080"/>
      </w:pBdr>
      <w:shd w:val="clear" w:color="000000" w:fill="FFFFFF"/>
      <w:spacing w:before="100" w:beforeAutospacing="1" w:after="100" w:afterAutospacing="1" w:line="240" w:lineRule="auto"/>
      <w:jc w:val="center"/>
      <w:textAlignment w:val="center"/>
    </w:pPr>
    <w:rPr>
      <w:rFonts w:eastAsia="Times New Roman"/>
      <w:b/>
      <w:bCs/>
      <w:sz w:val="20"/>
      <w:szCs w:val="20"/>
    </w:rPr>
  </w:style>
  <w:style w:type="paragraph" w:customStyle="1" w:styleId="xl81">
    <w:name w:val="xl81"/>
    <w:basedOn w:val="Normal"/>
    <w:rsid w:val="004E2107"/>
    <w:pPr>
      <w:pBdr>
        <w:left w:val="single" w:sz="4" w:space="0" w:color="808080"/>
        <w:right w:val="single" w:sz="4" w:space="0" w:color="808080"/>
      </w:pBdr>
      <w:shd w:val="clear" w:color="000000" w:fill="FFFFFF"/>
      <w:spacing w:before="100" w:beforeAutospacing="1" w:after="100" w:afterAutospacing="1" w:line="240" w:lineRule="auto"/>
      <w:jc w:val="center"/>
      <w:textAlignment w:val="center"/>
    </w:pPr>
    <w:rPr>
      <w:rFonts w:eastAsia="Times New Roman"/>
      <w:b/>
      <w:bCs/>
      <w:sz w:val="20"/>
      <w:szCs w:val="20"/>
    </w:rPr>
  </w:style>
  <w:style w:type="paragraph" w:customStyle="1" w:styleId="xl82">
    <w:name w:val="xl82"/>
    <w:basedOn w:val="Normal"/>
    <w:rsid w:val="004E2107"/>
    <w:pPr>
      <w:pBdr>
        <w:left w:val="single" w:sz="4" w:space="0" w:color="808080"/>
        <w:bottom w:val="single" w:sz="4" w:space="0" w:color="808080"/>
        <w:right w:val="single" w:sz="4" w:space="0" w:color="808080"/>
      </w:pBdr>
      <w:shd w:val="clear" w:color="000000" w:fill="FFFFFF"/>
      <w:spacing w:before="100" w:beforeAutospacing="1" w:after="100" w:afterAutospacing="1" w:line="240" w:lineRule="auto"/>
      <w:jc w:val="center"/>
      <w:textAlignment w:val="center"/>
    </w:pPr>
    <w:rPr>
      <w:rFonts w:eastAsia="Times New Roman"/>
      <w:b/>
      <w:bCs/>
      <w:sz w:val="20"/>
      <w:szCs w:val="20"/>
    </w:rPr>
  </w:style>
  <w:style w:type="paragraph" w:customStyle="1" w:styleId="xl83">
    <w:name w:val="xl83"/>
    <w:basedOn w:val="Normal"/>
    <w:rsid w:val="004E2107"/>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jc w:val="center"/>
    </w:pPr>
    <w:rPr>
      <w:rFonts w:eastAsia="Times New Roman"/>
      <w:szCs w:val="24"/>
    </w:rPr>
  </w:style>
  <w:style w:type="paragraph" w:customStyle="1" w:styleId="xl84">
    <w:name w:val="xl84"/>
    <w:basedOn w:val="Normal"/>
    <w:rsid w:val="004E2107"/>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eastAsia="Times New Roman"/>
      <w:b/>
      <w:bCs/>
      <w:sz w:val="20"/>
      <w:szCs w:val="20"/>
    </w:rPr>
  </w:style>
  <w:style w:type="paragraph" w:customStyle="1" w:styleId="xl85">
    <w:name w:val="xl85"/>
    <w:basedOn w:val="Normal"/>
    <w:rsid w:val="004E2107"/>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eastAsia="Times New Roman"/>
      <w:b/>
      <w:bCs/>
      <w:sz w:val="20"/>
      <w:szCs w:val="20"/>
    </w:rPr>
  </w:style>
  <w:style w:type="paragraph" w:customStyle="1" w:styleId="xl86">
    <w:name w:val="xl86"/>
    <w:basedOn w:val="Normal"/>
    <w:rsid w:val="004E2107"/>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jc w:val="center"/>
      <w:textAlignment w:val="center"/>
    </w:pPr>
    <w:rPr>
      <w:rFonts w:eastAsia="Times New Roman"/>
      <w:b/>
      <w:bCs/>
      <w:sz w:val="20"/>
      <w:szCs w:val="20"/>
    </w:rPr>
  </w:style>
  <w:style w:type="paragraph" w:customStyle="1" w:styleId="xl87">
    <w:name w:val="xl87"/>
    <w:basedOn w:val="Normal"/>
    <w:rsid w:val="004E2107"/>
    <w:pPr>
      <w:pBdr>
        <w:top w:val="single" w:sz="4" w:space="0" w:color="808080"/>
        <w:left w:val="single" w:sz="4" w:space="0" w:color="808080"/>
        <w:right w:val="single" w:sz="4" w:space="0" w:color="808080"/>
      </w:pBdr>
      <w:spacing w:before="100" w:beforeAutospacing="1" w:after="100" w:afterAutospacing="1" w:line="240" w:lineRule="auto"/>
      <w:jc w:val="center"/>
      <w:textAlignment w:val="center"/>
    </w:pPr>
    <w:rPr>
      <w:rFonts w:eastAsia="Times New Roman"/>
      <w:szCs w:val="24"/>
    </w:rPr>
  </w:style>
  <w:style w:type="paragraph" w:customStyle="1" w:styleId="xl88">
    <w:name w:val="xl88"/>
    <w:basedOn w:val="Normal"/>
    <w:rsid w:val="004E2107"/>
    <w:pPr>
      <w:pBdr>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eastAsia="Times New Roman"/>
      <w:szCs w:val="24"/>
    </w:rPr>
  </w:style>
  <w:style w:type="paragraph" w:customStyle="1" w:styleId="xl89">
    <w:name w:val="xl89"/>
    <w:basedOn w:val="Normal"/>
    <w:rsid w:val="004E2107"/>
    <w:pPr>
      <w:pBdr>
        <w:top w:val="single" w:sz="4" w:space="0" w:color="808080"/>
        <w:left w:val="single" w:sz="4" w:space="0" w:color="808080"/>
        <w:right w:val="single" w:sz="4" w:space="0" w:color="808080"/>
      </w:pBdr>
      <w:shd w:val="clear" w:color="000000" w:fill="FFFFFF"/>
      <w:spacing w:before="100" w:beforeAutospacing="1" w:after="100" w:afterAutospacing="1" w:line="240" w:lineRule="auto"/>
      <w:jc w:val="center"/>
    </w:pPr>
    <w:rPr>
      <w:rFonts w:eastAsia="Times New Roman"/>
      <w:szCs w:val="24"/>
    </w:rPr>
  </w:style>
  <w:style w:type="paragraph" w:customStyle="1" w:styleId="xl90">
    <w:name w:val="xl90"/>
    <w:basedOn w:val="Normal"/>
    <w:rsid w:val="004E2107"/>
    <w:pPr>
      <w:pBdr>
        <w:left w:val="single" w:sz="4" w:space="0" w:color="808080"/>
        <w:bottom w:val="single" w:sz="4" w:space="0" w:color="808080"/>
        <w:right w:val="single" w:sz="4" w:space="0" w:color="808080"/>
      </w:pBdr>
      <w:shd w:val="clear" w:color="000000" w:fill="FFFFFF"/>
      <w:spacing w:before="100" w:beforeAutospacing="1" w:after="100" w:afterAutospacing="1" w:line="240" w:lineRule="auto"/>
      <w:jc w:val="center"/>
    </w:pPr>
    <w:rPr>
      <w:rFonts w:eastAsia="Times New Roman"/>
      <w:szCs w:val="24"/>
    </w:rPr>
  </w:style>
  <w:style w:type="paragraph" w:customStyle="1" w:styleId="xl91">
    <w:name w:val="xl91"/>
    <w:basedOn w:val="Normal"/>
    <w:rsid w:val="004E2107"/>
    <w:pPr>
      <w:pBdr>
        <w:top w:val="single" w:sz="4" w:space="0" w:color="808080"/>
        <w:left w:val="single" w:sz="4" w:space="0" w:color="808080"/>
        <w:right w:val="single" w:sz="4" w:space="0" w:color="808080"/>
      </w:pBdr>
      <w:shd w:val="clear" w:color="000000" w:fill="FFFFFF"/>
      <w:spacing w:before="100" w:beforeAutospacing="1" w:after="100" w:afterAutospacing="1" w:line="240" w:lineRule="auto"/>
      <w:jc w:val="center"/>
      <w:textAlignment w:val="center"/>
    </w:pPr>
    <w:rPr>
      <w:rFonts w:eastAsia="Times New Roman"/>
      <w:szCs w:val="24"/>
    </w:rPr>
  </w:style>
  <w:style w:type="paragraph" w:customStyle="1" w:styleId="xl92">
    <w:name w:val="xl92"/>
    <w:basedOn w:val="Normal"/>
    <w:rsid w:val="004E2107"/>
    <w:pPr>
      <w:pBdr>
        <w:left w:val="single" w:sz="4" w:space="0" w:color="808080"/>
        <w:bottom w:val="single" w:sz="4" w:space="0" w:color="808080"/>
        <w:right w:val="single" w:sz="4" w:space="0" w:color="808080"/>
      </w:pBdr>
      <w:shd w:val="clear" w:color="000000" w:fill="FFFFFF"/>
      <w:spacing w:before="100" w:beforeAutospacing="1" w:after="100" w:afterAutospacing="1" w:line="240" w:lineRule="auto"/>
      <w:jc w:val="center"/>
      <w:textAlignment w:val="center"/>
    </w:pPr>
    <w:rPr>
      <w:rFonts w:eastAsia="Times New Roman"/>
      <w:szCs w:val="24"/>
    </w:rPr>
  </w:style>
  <w:style w:type="paragraph" w:customStyle="1" w:styleId="xl93">
    <w:name w:val="xl93"/>
    <w:basedOn w:val="Normal"/>
    <w:rsid w:val="004E2107"/>
    <w:pPr>
      <w:pBdr>
        <w:top w:val="single" w:sz="4" w:space="0" w:color="808080"/>
        <w:left w:val="single" w:sz="4" w:space="0" w:color="808080"/>
        <w:right w:val="single" w:sz="4" w:space="0" w:color="808080"/>
      </w:pBdr>
      <w:shd w:val="clear" w:color="000000" w:fill="FFFFFF"/>
      <w:spacing w:before="100" w:beforeAutospacing="1" w:after="100" w:afterAutospacing="1" w:line="240" w:lineRule="auto"/>
      <w:textAlignment w:val="center"/>
    </w:pPr>
    <w:rPr>
      <w:rFonts w:eastAsia="Times New Roman"/>
      <w:szCs w:val="24"/>
    </w:rPr>
  </w:style>
  <w:style w:type="paragraph" w:customStyle="1" w:styleId="xl94">
    <w:name w:val="xl94"/>
    <w:basedOn w:val="Normal"/>
    <w:rsid w:val="004E2107"/>
    <w:pPr>
      <w:pBdr>
        <w:left w:val="single" w:sz="4" w:space="0" w:color="808080"/>
        <w:bottom w:val="single" w:sz="4" w:space="0" w:color="808080"/>
        <w:right w:val="single" w:sz="4" w:space="0" w:color="808080"/>
      </w:pBdr>
      <w:shd w:val="clear" w:color="000000" w:fill="FFFFFF"/>
      <w:spacing w:before="100" w:beforeAutospacing="1" w:after="100" w:afterAutospacing="1" w:line="240" w:lineRule="auto"/>
      <w:textAlignment w:val="center"/>
    </w:pPr>
    <w:rPr>
      <w:rFonts w:eastAsia="Times New Roman"/>
      <w:szCs w:val="24"/>
    </w:rPr>
  </w:style>
  <w:style w:type="paragraph" w:customStyle="1" w:styleId="xl95">
    <w:name w:val="xl95"/>
    <w:basedOn w:val="Normal"/>
    <w:rsid w:val="004E2107"/>
    <w:pPr>
      <w:pBdr>
        <w:top w:val="single" w:sz="4" w:space="0" w:color="808080"/>
        <w:left w:val="single" w:sz="4" w:space="0" w:color="808080"/>
        <w:right w:val="single" w:sz="4" w:space="0" w:color="808080"/>
      </w:pBdr>
      <w:spacing w:before="100" w:beforeAutospacing="1" w:after="100" w:afterAutospacing="1" w:line="240" w:lineRule="auto"/>
      <w:textAlignment w:val="center"/>
    </w:pPr>
    <w:rPr>
      <w:rFonts w:eastAsia="Times New Roman"/>
      <w:szCs w:val="24"/>
    </w:rPr>
  </w:style>
  <w:style w:type="paragraph" w:customStyle="1" w:styleId="xl96">
    <w:name w:val="xl96"/>
    <w:basedOn w:val="Normal"/>
    <w:rsid w:val="004E2107"/>
    <w:pPr>
      <w:pBdr>
        <w:left w:val="single" w:sz="4" w:space="0" w:color="808080"/>
        <w:bottom w:val="single" w:sz="4" w:space="0" w:color="808080"/>
        <w:right w:val="single" w:sz="4" w:space="0" w:color="808080"/>
      </w:pBdr>
      <w:spacing w:before="100" w:beforeAutospacing="1" w:after="100" w:afterAutospacing="1" w:line="240" w:lineRule="auto"/>
      <w:textAlignment w:val="center"/>
    </w:pPr>
    <w:rPr>
      <w:rFonts w:eastAsia="Times New Roman"/>
      <w:szCs w:val="24"/>
    </w:rPr>
  </w:style>
  <w:style w:type="paragraph" w:customStyle="1" w:styleId="xl97">
    <w:name w:val="xl97"/>
    <w:basedOn w:val="Normal"/>
    <w:rsid w:val="004E2107"/>
    <w:pPr>
      <w:pBdr>
        <w:top w:val="single" w:sz="4" w:space="0" w:color="808080"/>
        <w:left w:val="single" w:sz="4" w:space="0" w:color="808080"/>
        <w:right w:val="single" w:sz="4" w:space="0" w:color="808080"/>
      </w:pBdr>
      <w:spacing w:before="100" w:beforeAutospacing="1" w:after="100" w:afterAutospacing="1" w:line="240" w:lineRule="auto"/>
      <w:textAlignment w:val="center"/>
    </w:pPr>
    <w:rPr>
      <w:rFonts w:eastAsia="Times New Roman"/>
      <w:szCs w:val="24"/>
    </w:rPr>
  </w:style>
  <w:style w:type="paragraph" w:customStyle="1" w:styleId="xl98">
    <w:name w:val="xl98"/>
    <w:basedOn w:val="Normal"/>
    <w:rsid w:val="004E2107"/>
    <w:pPr>
      <w:pBdr>
        <w:left w:val="single" w:sz="4" w:space="0" w:color="808080"/>
        <w:bottom w:val="single" w:sz="4" w:space="0" w:color="808080"/>
        <w:right w:val="single" w:sz="4" w:space="0" w:color="808080"/>
      </w:pBdr>
      <w:spacing w:before="100" w:beforeAutospacing="1" w:after="100" w:afterAutospacing="1" w:line="240" w:lineRule="auto"/>
      <w:textAlignment w:val="center"/>
    </w:pPr>
    <w:rPr>
      <w:rFonts w:eastAsia="Times New Roman"/>
      <w:szCs w:val="24"/>
    </w:rPr>
  </w:style>
  <w:style w:type="paragraph" w:customStyle="1" w:styleId="xl99">
    <w:name w:val="xl99"/>
    <w:basedOn w:val="Normal"/>
    <w:rsid w:val="004E2107"/>
    <w:pPr>
      <w:pBdr>
        <w:top w:val="single" w:sz="4" w:space="0" w:color="808080"/>
        <w:left w:val="single" w:sz="4" w:space="0" w:color="808080"/>
        <w:right w:val="single" w:sz="4" w:space="0" w:color="808080"/>
      </w:pBdr>
      <w:spacing w:before="100" w:beforeAutospacing="1" w:after="100" w:afterAutospacing="1" w:line="240" w:lineRule="auto"/>
      <w:textAlignment w:val="center"/>
    </w:pPr>
    <w:rPr>
      <w:rFonts w:eastAsia="Times New Roman"/>
      <w:szCs w:val="24"/>
    </w:rPr>
  </w:style>
  <w:style w:type="paragraph" w:customStyle="1" w:styleId="xl100">
    <w:name w:val="xl100"/>
    <w:basedOn w:val="Normal"/>
    <w:rsid w:val="004E2107"/>
    <w:pPr>
      <w:pBdr>
        <w:left w:val="single" w:sz="4" w:space="0" w:color="808080"/>
        <w:bottom w:val="single" w:sz="4" w:space="0" w:color="808080"/>
        <w:right w:val="single" w:sz="4" w:space="0" w:color="808080"/>
      </w:pBdr>
      <w:spacing w:before="100" w:beforeAutospacing="1" w:after="100" w:afterAutospacing="1" w:line="240" w:lineRule="auto"/>
      <w:textAlignment w:val="center"/>
    </w:pPr>
    <w:rPr>
      <w:rFonts w:eastAsia="Times New Roman"/>
      <w:szCs w:val="24"/>
    </w:rPr>
  </w:style>
  <w:style w:type="paragraph" w:customStyle="1" w:styleId="xl101">
    <w:name w:val="xl101"/>
    <w:basedOn w:val="Normal"/>
    <w:rsid w:val="004E2107"/>
    <w:pPr>
      <w:pBdr>
        <w:top w:val="single" w:sz="4" w:space="0" w:color="808080"/>
        <w:left w:val="single" w:sz="4" w:space="0" w:color="808080"/>
        <w:right w:val="single" w:sz="4" w:space="0" w:color="808080"/>
      </w:pBdr>
      <w:shd w:val="clear" w:color="000000" w:fill="DCE6F1"/>
      <w:spacing w:before="100" w:beforeAutospacing="1" w:after="100" w:afterAutospacing="1" w:line="240" w:lineRule="auto"/>
      <w:jc w:val="center"/>
      <w:textAlignment w:val="center"/>
    </w:pPr>
    <w:rPr>
      <w:rFonts w:eastAsia="Times New Roman"/>
      <w:szCs w:val="24"/>
    </w:rPr>
  </w:style>
  <w:style w:type="paragraph" w:customStyle="1" w:styleId="xl102">
    <w:name w:val="xl102"/>
    <w:basedOn w:val="Normal"/>
    <w:rsid w:val="004E2107"/>
    <w:pPr>
      <w:pBdr>
        <w:left w:val="single" w:sz="4" w:space="0" w:color="808080"/>
        <w:bottom w:val="single" w:sz="4" w:space="0" w:color="808080"/>
        <w:right w:val="single" w:sz="4" w:space="0" w:color="808080"/>
      </w:pBdr>
      <w:shd w:val="clear" w:color="000000" w:fill="DCE6F1"/>
      <w:spacing w:before="100" w:beforeAutospacing="1" w:after="100" w:afterAutospacing="1" w:line="240" w:lineRule="auto"/>
      <w:jc w:val="center"/>
      <w:textAlignment w:val="center"/>
    </w:pPr>
    <w:rPr>
      <w:rFonts w:eastAsia="Times New Roman"/>
      <w:szCs w:val="24"/>
    </w:rPr>
  </w:style>
  <w:style w:type="paragraph" w:customStyle="1" w:styleId="xl103">
    <w:name w:val="xl103"/>
    <w:basedOn w:val="Normal"/>
    <w:rsid w:val="004E2107"/>
    <w:pPr>
      <w:pBdr>
        <w:top w:val="single" w:sz="4" w:space="0" w:color="808080"/>
        <w:left w:val="single" w:sz="4" w:space="0" w:color="808080"/>
      </w:pBdr>
      <w:shd w:val="clear" w:color="000000" w:fill="FFFFFF"/>
      <w:spacing w:before="100" w:beforeAutospacing="1" w:after="100" w:afterAutospacing="1" w:line="240" w:lineRule="auto"/>
      <w:jc w:val="center"/>
    </w:pPr>
    <w:rPr>
      <w:rFonts w:eastAsia="Times New Roman"/>
      <w:szCs w:val="24"/>
    </w:rPr>
  </w:style>
  <w:style w:type="paragraph" w:customStyle="1" w:styleId="xl104">
    <w:name w:val="xl104"/>
    <w:basedOn w:val="Normal"/>
    <w:rsid w:val="004E2107"/>
    <w:pPr>
      <w:pBdr>
        <w:top w:val="single" w:sz="4" w:space="0" w:color="808080"/>
        <w:right w:val="single" w:sz="4" w:space="0" w:color="808080"/>
      </w:pBdr>
      <w:shd w:val="clear" w:color="000000" w:fill="FFFFFF"/>
      <w:spacing w:before="100" w:beforeAutospacing="1" w:after="100" w:afterAutospacing="1" w:line="240" w:lineRule="auto"/>
      <w:jc w:val="center"/>
    </w:pPr>
    <w:rPr>
      <w:rFonts w:eastAsia="Times New Roman"/>
      <w:szCs w:val="24"/>
    </w:rPr>
  </w:style>
  <w:style w:type="paragraph" w:customStyle="1" w:styleId="xl105">
    <w:name w:val="xl105"/>
    <w:basedOn w:val="Normal"/>
    <w:rsid w:val="004E2107"/>
    <w:pPr>
      <w:pBdr>
        <w:top w:val="single" w:sz="4" w:space="0" w:color="808080"/>
        <w:left w:val="single" w:sz="4" w:space="0" w:color="808080"/>
      </w:pBdr>
      <w:shd w:val="clear" w:color="000000" w:fill="FFFFFF"/>
      <w:spacing w:before="100" w:beforeAutospacing="1" w:after="100" w:afterAutospacing="1" w:line="240" w:lineRule="auto"/>
      <w:jc w:val="center"/>
      <w:textAlignment w:val="center"/>
    </w:pPr>
    <w:rPr>
      <w:rFonts w:eastAsia="Times New Roman"/>
      <w:szCs w:val="24"/>
    </w:rPr>
  </w:style>
  <w:style w:type="paragraph" w:customStyle="1" w:styleId="xl106">
    <w:name w:val="xl106"/>
    <w:basedOn w:val="Normal"/>
    <w:rsid w:val="004E2107"/>
    <w:pPr>
      <w:pBdr>
        <w:top w:val="single" w:sz="4" w:space="0" w:color="808080"/>
        <w:right w:val="single" w:sz="4" w:space="0" w:color="808080"/>
      </w:pBdr>
      <w:shd w:val="clear" w:color="000000" w:fill="FFFFFF"/>
      <w:spacing w:before="100" w:beforeAutospacing="1" w:after="100" w:afterAutospacing="1" w:line="240" w:lineRule="auto"/>
      <w:jc w:val="center"/>
      <w:textAlignment w:val="center"/>
    </w:pPr>
    <w:rPr>
      <w:rFonts w:eastAsia="Times New Roman"/>
      <w:szCs w:val="24"/>
    </w:rPr>
  </w:style>
  <w:style w:type="paragraph" w:customStyle="1" w:styleId="xl107">
    <w:name w:val="xl107"/>
    <w:basedOn w:val="Normal"/>
    <w:rsid w:val="004E2107"/>
    <w:pPr>
      <w:pBdr>
        <w:left w:val="single" w:sz="4" w:space="0" w:color="808080"/>
        <w:bottom w:val="single" w:sz="4" w:space="0" w:color="808080"/>
      </w:pBdr>
      <w:shd w:val="clear" w:color="000000" w:fill="FFFFFF"/>
      <w:spacing w:before="100" w:beforeAutospacing="1" w:after="100" w:afterAutospacing="1" w:line="240" w:lineRule="auto"/>
      <w:jc w:val="center"/>
      <w:textAlignment w:val="center"/>
    </w:pPr>
    <w:rPr>
      <w:rFonts w:eastAsia="Times New Roman"/>
      <w:szCs w:val="24"/>
    </w:rPr>
  </w:style>
  <w:style w:type="paragraph" w:customStyle="1" w:styleId="xl108">
    <w:name w:val="xl108"/>
    <w:basedOn w:val="Normal"/>
    <w:rsid w:val="004E2107"/>
    <w:pPr>
      <w:pBdr>
        <w:bottom w:val="single" w:sz="4" w:space="0" w:color="808080"/>
        <w:right w:val="single" w:sz="4" w:space="0" w:color="808080"/>
      </w:pBdr>
      <w:shd w:val="clear" w:color="000000" w:fill="FFFFFF"/>
      <w:spacing w:before="100" w:beforeAutospacing="1" w:after="100" w:afterAutospacing="1" w:line="240" w:lineRule="auto"/>
      <w:jc w:val="center"/>
      <w:textAlignment w:val="center"/>
    </w:pPr>
    <w:rPr>
      <w:rFonts w:eastAsia="Times New Roman"/>
      <w:szCs w:val="24"/>
    </w:rPr>
  </w:style>
  <w:style w:type="paragraph" w:customStyle="1" w:styleId="xl109">
    <w:name w:val="xl109"/>
    <w:basedOn w:val="Normal"/>
    <w:rsid w:val="004E2107"/>
    <w:pPr>
      <w:pBdr>
        <w:top w:val="single" w:sz="4" w:space="0" w:color="808080"/>
      </w:pBdr>
      <w:shd w:val="clear" w:color="000000" w:fill="FFFFFF"/>
      <w:spacing w:before="100" w:beforeAutospacing="1" w:after="100" w:afterAutospacing="1" w:line="240" w:lineRule="auto"/>
      <w:jc w:val="center"/>
      <w:textAlignment w:val="center"/>
    </w:pPr>
    <w:rPr>
      <w:rFonts w:eastAsia="Times New Roman"/>
      <w:szCs w:val="24"/>
    </w:rPr>
  </w:style>
  <w:style w:type="paragraph" w:customStyle="1" w:styleId="xl110">
    <w:name w:val="xl110"/>
    <w:basedOn w:val="Normal"/>
    <w:rsid w:val="004E2107"/>
    <w:pPr>
      <w:pBdr>
        <w:bottom w:val="single" w:sz="4" w:space="0" w:color="808080"/>
      </w:pBdr>
      <w:shd w:val="clear" w:color="000000" w:fill="FFFFFF"/>
      <w:spacing w:before="100" w:beforeAutospacing="1" w:after="100" w:afterAutospacing="1" w:line="240" w:lineRule="auto"/>
      <w:jc w:val="center"/>
      <w:textAlignment w:val="center"/>
    </w:pPr>
    <w:rPr>
      <w:rFonts w:eastAsia="Times New Roman"/>
      <w:szCs w:val="24"/>
    </w:rPr>
  </w:style>
  <w:style w:type="paragraph" w:customStyle="1" w:styleId="xl111">
    <w:name w:val="xl111"/>
    <w:basedOn w:val="Normal"/>
    <w:rsid w:val="004E2107"/>
    <w:pPr>
      <w:pBdr>
        <w:top w:val="single" w:sz="4" w:space="0" w:color="808080"/>
        <w:left w:val="single" w:sz="4" w:space="0" w:color="808080"/>
        <w:right w:val="single" w:sz="4" w:space="0" w:color="808080"/>
      </w:pBdr>
      <w:shd w:val="clear" w:color="000000" w:fill="FFFFFF"/>
      <w:spacing w:before="100" w:beforeAutospacing="1" w:after="100" w:afterAutospacing="1" w:line="240" w:lineRule="auto"/>
      <w:jc w:val="center"/>
      <w:textAlignment w:val="center"/>
    </w:pPr>
    <w:rPr>
      <w:rFonts w:eastAsia="Times New Roman"/>
      <w:szCs w:val="24"/>
    </w:rPr>
  </w:style>
  <w:style w:type="paragraph" w:customStyle="1" w:styleId="xl112">
    <w:name w:val="xl112"/>
    <w:basedOn w:val="Normal"/>
    <w:rsid w:val="004E2107"/>
    <w:pPr>
      <w:pBdr>
        <w:left w:val="single" w:sz="4" w:space="0" w:color="808080"/>
        <w:bottom w:val="single" w:sz="4" w:space="0" w:color="808080"/>
        <w:right w:val="single" w:sz="4" w:space="0" w:color="808080"/>
      </w:pBdr>
      <w:shd w:val="clear" w:color="000000" w:fill="FFFFFF"/>
      <w:spacing w:before="100" w:beforeAutospacing="1" w:after="100" w:afterAutospacing="1" w:line="240" w:lineRule="auto"/>
      <w:jc w:val="center"/>
      <w:textAlignment w:val="center"/>
    </w:pPr>
    <w:rPr>
      <w:rFonts w:eastAsia="Times New Roman"/>
      <w:szCs w:val="24"/>
    </w:rPr>
  </w:style>
  <w:style w:type="paragraph" w:customStyle="1" w:styleId="xl113">
    <w:name w:val="xl113"/>
    <w:basedOn w:val="Normal"/>
    <w:rsid w:val="004E2107"/>
    <w:pPr>
      <w:pBdr>
        <w:top w:val="single" w:sz="4" w:space="0" w:color="808080"/>
        <w:left w:val="single" w:sz="4" w:space="0" w:color="808080"/>
        <w:right w:val="single" w:sz="4" w:space="0" w:color="808080"/>
      </w:pBdr>
      <w:spacing w:before="100" w:beforeAutospacing="1" w:after="100" w:afterAutospacing="1" w:line="240" w:lineRule="auto"/>
    </w:pPr>
    <w:rPr>
      <w:rFonts w:eastAsia="Times New Roman"/>
      <w:szCs w:val="24"/>
    </w:rPr>
  </w:style>
  <w:style w:type="paragraph" w:customStyle="1" w:styleId="xl114">
    <w:name w:val="xl114"/>
    <w:basedOn w:val="Normal"/>
    <w:rsid w:val="004E2107"/>
    <w:pPr>
      <w:pBdr>
        <w:left w:val="single" w:sz="4" w:space="0" w:color="808080"/>
        <w:bottom w:val="single" w:sz="4" w:space="0" w:color="808080"/>
        <w:right w:val="single" w:sz="4" w:space="0" w:color="808080"/>
      </w:pBdr>
      <w:spacing w:before="100" w:beforeAutospacing="1" w:after="100" w:afterAutospacing="1" w:line="240" w:lineRule="auto"/>
    </w:pPr>
    <w:rPr>
      <w:rFonts w:eastAsia="Times New Roman"/>
      <w:szCs w:val="24"/>
    </w:rPr>
  </w:style>
  <w:style w:type="paragraph" w:customStyle="1" w:styleId="xl115">
    <w:name w:val="xl115"/>
    <w:basedOn w:val="Normal"/>
    <w:rsid w:val="004E2107"/>
    <w:pPr>
      <w:pBdr>
        <w:top w:val="single" w:sz="4" w:space="0" w:color="808080"/>
      </w:pBdr>
      <w:shd w:val="clear" w:color="000000" w:fill="FFFFFF"/>
      <w:spacing w:before="100" w:beforeAutospacing="1" w:after="100" w:afterAutospacing="1" w:line="240" w:lineRule="auto"/>
      <w:jc w:val="center"/>
    </w:pPr>
    <w:rPr>
      <w:rFonts w:eastAsia="Times New Roman"/>
      <w:szCs w:val="24"/>
    </w:rPr>
  </w:style>
  <w:style w:type="paragraph" w:customStyle="1" w:styleId="xl116">
    <w:name w:val="xl116"/>
    <w:basedOn w:val="Normal"/>
    <w:rsid w:val="004E2107"/>
    <w:pPr>
      <w:pBdr>
        <w:top w:val="single" w:sz="4" w:space="0" w:color="808080"/>
        <w:left w:val="single" w:sz="4" w:space="0" w:color="808080"/>
      </w:pBdr>
      <w:shd w:val="clear" w:color="000000" w:fill="FFFFFF"/>
      <w:spacing w:before="100" w:beforeAutospacing="1" w:after="100" w:afterAutospacing="1" w:line="240" w:lineRule="auto"/>
      <w:jc w:val="center"/>
      <w:textAlignment w:val="center"/>
    </w:pPr>
    <w:rPr>
      <w:rFonts w:eastAsia="Times New Roman"/>
      <w:szCs w:val="24"/>
    </w:rPr>
  </w:style>
  <w:style w:type="paragraph" w:customStyle="1" w:styleId="xl117">
    <w:name w:val="xl117"/>
    <w:basedOn w:val="Normal"/>
    <w:rsid w:val="004E2107"/>
    <w:pPr>
      <w:pBdr>
        <w:top w:val="single" w:sz="4" w:space="0" w:color="808080"/>
      </w:pBdr>
      <w:shd w:val="clear" w:color="000000" w:fill="FFFFFF"/>
      <w:spacing w:before="100" w:beforeAutospacing="1" w:after="100" w:afterAutospacing="1" w:line="240" w:lineRule="auto"/>
      <w:jc w:val="center"/>
      <w:textAlignment w:val="center"/>
    </w:pPr>
    <w:rPr>
      <w:rFonts w:eastAsia="Times New Roman"/>
      <w:szCs w:val="24"/>
    </w:rPr>
  </w:style>
  <w:style w:type="paragraph" w:customStyle="1" w:styleId="xl118">
    <w:name w:val="xl118"/>
    <w:basedOn w:val="Normal"/>
    <w:rsid w:val="004E2107"/>
    <w:pPr>
      <w:pBdr>
        <w:top w:val="single" w:sz="4" w:space="0" w:color="808080"/>
        <w:right w:val="single" w:sz="4" w:space="0" w:color="808080"/>
      </w:pBdr>
      <w:shd w:val="clear" w:color="000000" w:fill="FFFFFF"/>
      <w:spacing w:before="100" w:beforeAutospacing="1" w:after="100" w:afterAutospacing="1" w:line="240" w:lineRule="auto"/>
      <w:jc w:val="center"/>
      <w:textAlignment w:val="center"/>
    </w:pPr>
    <w:rPr>
      <w:rFonts w:eastAsia="Times New Roman"/>
      <w:szCs w:val="24"/>
    </w:rPr>
  </w:style>
  <w:style w:type="paragraph" w:customStyle="1" w:styleId="xl119">
    <w:name w:val="xl119"/>
    <w:basedOn w:val="Normal"/>
    <w:rsid w:val="004E2107"/>
    <w:pPr>
      <w:pBdr>
        <w:left w:val="single" w:sz="4" w:space="0" w:color="808080"/>
        <w:bottom w:val="single" w:sz="4" w:space="0" w:color="808080"/>
      </w:pBdr>
      <w:shd w:val="clear" w:color="000000" w:fill="FFFFFF"/>
      <w:spacing w:before="100" w:beforeAutospacing="1" w:after="100" w:afterAutospacing="1" w:line="240" w:lineRule="auto"/>
      <w:jc w:val="center"/>
      <w:textAlignment w:val="center"/>
    </w:pPr>
    <w:rPr>
      <w:rFonts w:eastAsia="Times New Roman"/>
      <w:szCs w:val="24"/>
    </w:rPr>
  </w:style>
  <w:style w:type="paragraph" w:customStyle="1" w:styleId="xl120">
    <w:name w:val="xl120"/>
    <w:basedOn w:val="Normal"/>
    <w:rsid w:val="004E2107"/>
    <w:pPr>
      <w:pBdr>
        <w:bottom w:val="single" w:sz="4" w:space="0" w:color="808080"/>
      </w:pBdr>
      <w:shd w:val="clear" w:color="000000" w:fill="FFFFFF"/>
      <w:spacing w:before="100" w:beforeAutospacing="1" w:after="100" w:afterAutospacing="1" w:line="240" w:lineRule="auto"/>
      <w:jc w:val="center"/>
      <w:textAlignment w:val="center"/>
    </w:pPr>
    <w:rPr>
      <w:rFonts w:eastAsia="Times New Roman"/>
      <w:szCs w:val="24"/>
    </w:rPr>
  </w:style>
  <w:style w:type="paragraph" w:customStyle="1" w:styleId="xl121">
    <w:name w:val="xl121"/>
    <w:basedOn w:val="Normal"/>
    <w:rsid w:val="004E2107"/>
    <w:pPr>
      <w:pBdr>
        <w:bottom w:val="single" w:sz="4" w:space="0" w:color="808080"/>
        <w:right w:val="single" w:sz="4" w:space="0" w:color="808080"/>
      </w:pBdr>
      <w:shd w:val="clear" w:color="000000" w:fill="FFFFFF"/>
      <w:spacing w:before="100" w:beforeAutospacing="1" w:after="100" w:afterAutospacing="1" w:line="240" w:lineRule="auto"/>
      <w:jc w:val="center"/>
      <w:textAlignment w:val="center"/>
    </w:pPr>
    <w:rPr>
      <w:rFonts w:eastAsia="Times New Roman"/>
      <w:szCs w:val="24"/>
    </w:rPr>
  </w:style>
  <w:style w:type="paragraph" w:customStyle="1" w:styleId="xl122">
    <w:name w:val="xl122"/>
    <w:basedOn w:val="Normal"/>
    <w:rsid w:val="004E2107"/>
    <w:pPr>
      <w:pBdr>
        <w:top w:val="single" w:sz="4" w:space="0" w:color="808080"/>
        <w:left w:val="single" w:sz="4" w:space="0" w:color="808080"/>
      </w:pBdr>
      <w:shd w:val="clear" w:color="000000" w:fill="FFFFFF"/>
      <w:spacing w:before="100" w:beforeAutospacing="1" w:after="100" w:afterAutospacing="1" w:line="240" w:lineRule="auto"/>
      <w:jc w:val="center"/>
      <w:textAlignment w:val="center"/>
    </w:pPr>
    <w:rPr>
      <w:rFonts w:eastAsia="Times New Roman"/>
      <w:szCs w:val="24"/>
    </w:rPr>
  </w:style>
  <w:style w:type="paragraph" w:customStyle="1" w:styleId="xl123">
    <w:name w:val="xl123"/>
    <w:basedOn w:val="Normal"/>
    <w:rsid w:val="004E2107"/>
    <w:pPr>
      <w:pBdr>
        <w:top w:val="single" w:sz="4" w:space="0" w:color="808080"/>
      </w:pBdr>
      <w:shd w:val="clear" w:color="000000" w:fill="FFFFFF"/>
      <w:spacing w:before="100" w:beforeAutospacing="1" w:after="100" w:afterAutospacing="1" w:line="240" w:lineRule="auto"/>
      <w:jc w:val="center"/>
      <w:textAlignment w:val="center"/>
    </w:pPr>
    <w:rPr>
      <w:rFonts w:eastAsia="Times New Roman"/>
      <w:szCs w:val="24"/>
    </w:rPr>
  </w:style>
  <w:style w:type="paragraph" w:customStyle="1" w:styleId="xl124">
    <w:name w:val="xl124"/>
    <w:basedOn w:val="Normal"/>
    <w:rsid w:val="004E2107"/>
    <w:pPr>
      <w:pBdr>
        <w:top w:val="single" w:sz="4" w:space="0" w:color="808080"/>
        <w:right w:val="single" w:sz="4" w:space="0" w:color="808080"/>
      </w:pBdr>
      <w:shd w:val="clear" w:color="000000" w:fill="FFFFFF"/>
      <w:spacing w:before="100" w:beforeAutospacing="1" w:after="100" w:afterAutospacing="1" w:line="240" w:lineRule="auto"/>
      <w:jc w:val="center"/>
      <w:textAlignment w:val="center"/>
    </w:pPr>
    <w:rPr>
      <w:rFonts w:eastAsia="Times New Roman"/>
      <w:szCs w:val="24"/>
    </w:rPr>
  </w:style>
  <w:style w:type="paragraph" w:customStyle="1" w:styleId="xl125">
    <w:name w:val="xl125"/>
    <w:basedOn w:val="Normal"/>
    <w:rsid w:val="004E2107"/>
    <w:pPr>
      <w:pBdr>
        <w:left w:val="single" w:sz="4" w:space="0" w:color="808080"/>
        <w:bottom w:val="single" w:sz="4" w:space="0" w:color="808080"/>
      </w:pBdr>
      <w:shd w:val="clear" w:color="000000" w:fill="FFFFFF"/>
      <w:spacing w:before="100" w:beforeAutospacing="1" w:after="100" w:afterAutospacing="1" w:line="240" w:lineRule="auto"/>
      <w:jc w:val="center"/>
      <w:textAlignment w:val="center"/>
    </w:pPr>
    <w:rPr>
      <w:rFonts w:eastAsia="Times New Roman"/>
      <w:szCs w:val="24"/>
    </w:rPr>
  </w:style>
  <w:style w:type="paragraph" w:customStyle="1" w:styleId="xl126">
    <w:name w:val="xl126"/>
    <w:basedOn w:val="Normal"/>
    <w:rsid w:val="004E2107"/>
    <w:pPr>
      <w:pBdr>
        <w:bottom w:val="single" w:sz="4" w:space="0" w:color="808080"/>
      </w:pBdr>
      <w:shd w:val="clear" w:color="000000" w:fill="FFFFFF"/>
      <w:spacing w:before="100" w:beforeAutospacing="1" w:after="100" w:afterAutospacing="1" w:line="240" w:lineRule="auto"/>
      <w:jc w:val="center"/>
      <w:textAlignment w:val="center"/>
    </w:pPr>
    <w:rPr>
      <w:rFonts w:eastAsia="Times New Roman"/>
      <w:szCs w:val="24"/>
    </w:rPr>
  </w:style>
  <w:style w:type="paragraph" w:customStyle="1" w:styleId="xl127">
    <w:name w:val="xl127"/>
    <w:basedOn w:val="Normal"/>
    <w:rsid w:val="004E2107"/>
    <w:pPr>
      <w:pBdr>
        <w:bottom w:val="single" w:sz="4" w:space="0" w:color="808080"/>
        <w:right w:val="single" w:sz="4" w:space="0" w:color="808080"/>
      </w:pBdr>
      <w:shd w:val="clear" w:color="000000" w:fill="FFFFFF"/>
      <w:spacing w:before="100" w:beforeAutospacing="1" w:after="100" w:afterAutospacing="1" w:line="240" w:lineRule="auto"/>
      <w:jc w:val="center"/>
      <w:textAlignment w:val="center"/>
    </w:pPr>
    <w:rPr>
      <w:rFonts w:eastAsia="Times New Roman"/>
      <w:szCs w:val="24"/>
    </w:rPr>
  </w:style>
  <w:style w:type="paragraph" w:customStyle="1" w:styleId="xl128">
    <w:name w:val="xl128"/>
    <w:basedOn w:val="Normal"/>
    <w:rsid w:val="004E2107"/>
    <w:pPr>
      <w:pBdr>
        <w:top w:val="single" w:sz="4" w:space="0" w:color="808080"/>
        <w:left w:val="single" w:sz="4" w:space="0" w:color="808080"/>
        <w:bottom w:val="single" w:sz="12" w:space="0" w:color="808080"/>
      </w:pBdr>
      <w:shd w:val="clear" w:color="000000" w:fill="FFFFFF"/>
      <w:spacing w:before="100" w:beforeAutospacing="1" w:after="100" w:afterAutospacing="1" w:line="240" w:lineRule="auto"/>
      <w:jc w:val="center"/>
      <w:textAlignment w:val="center"/>
    </w:pPr>
    <w:rPr>
      <w:rFonts w:eastAsia="Times New Roman"/>
      <w:szCs w:val="24"/>
    </w:rPr>
  </w:style>
  <w:style w:type="paragraph" w:customStyle="1" w:styleId="xl129">
    <w:name w:val="xl129"/>
    <w:basedOn w:val="Normal"/>
    <w:rsid w:val="004E2107"/>
    <w:pPr>
      <w:pBdr>
        <w:top w:val="single" w:sz="4" w:space="0" w:color="808080"/>
        <w:bottom w:val="single" w:sz="12" w:space="0" w:color="808080"/>
      </w:pBdr>
      <w:shd w:val="clear" w:color="000000" w:fill="FFFFFF"/>
      <w:spacing w:before="100" w:beforeAutospacing="1" w:after="100" w:afterAutospacing="1" w:line="240" w:lineRule="auto"/>
      <w:jc w:val="center"/>
      <w:textAlignment w:val="center"/>
    </w:pPr>
    <w:rPr>
      <w:rFonts w:eastAsia="Times New Roman"/>
      <w:szCs w:val="24"/>
    </w:rPr>
  </w:style>
  <w:style w:type="paragraph" w:customStyle="1" w:styleId="xl130">
    <w:name w:val="xl130"/>
    <w:basedOn w:val="Normal"/>
    <w:rsid w:val="004E2107"/>
    <w:pPr>
      <w:pBdr>
        <w:top w:val="single" w:sz="4" w:space="0" w:color="808080"/>
        <w:bottom w:val="single" w:sz="12" w:space="0" w:color="808080"/>
        <w:right w:val="single" w:sz="4" w:space="0" w:color="808080"/>
      </w:pBdr>
      <w:shd w:val="clear" w:color="000000" w:fill="FFFFFF"/>
      <w:spacing w:before="100" w:beforeAutospacing="1" w:after="100" w:afterAutospacing="1" w:line="240" w:lineRule="auto"/>
      <w:jc w:val="center"/>
      <w:textAlignment w:val="center"/>
    </w:pPr>
    <w:rPr>
      <w:rFonts w:eastAsia="Times New Roman"/>
      <w:szCs w:val="24"/>
    </w:rPr>
  </w:style>
  <w:style w:type="paragraph" w:customStyle="1" w:styleId="xl131">
    <w:name w:val="xl131"/>
    <w:basedOn w:val="Normal"/>
    <w:rsid w:val="004E2107"/>
    <w:pPr>
      <w:pBdr>
        <w:top w:val="single" w:sz="4" w:space="0" w:color="808080"/>
        <w:left w:val="single" w:sz="4" w:space="0" w:color="808080"/>
        <w:right w:val="single" w:sz="4" w:space="0" w:color="808080"/>
      </w:pBdr>
      <w:spacing w:before="100" w:beforeAutospacing="1" w:after="100" w:afterAutospacing="1" w:line="240" w:lineRule="auto"/>
      <w:textAlignment w:val="center"/>
    </w:pPr>
    <w:rPr>
      <w:rFonts w:eastAsia="Times New Roman"/>
      <w:szCs w:val="24"/>
    </w:rPr>
  </w:style>
  <w:style w:type="paragraph" w:customStyle="1" w:styleId="xl132">
    <w:name w:val="xl132"/>
    <w:basedOn w:val="Normal"/>
    <w:rsid w:val="004E2107"/>
    <w:pPr>
      <w:pBdr>
        <w:left w:val="single" w:sz="4" w:space="0" w:color="808080"/>
        <w:bottom w:val="single" w:sz="4" w:space="0" w:color="808080"/>
        <w:right w:val="single" w:sz="4" w:space="0" w:color="808080"/>
      </w:pBdr>
      <w:spacing w:before="100" w:beforeAutospacing="1" w:after="100" w:afterAutospacing="1" w:line="240" w:lineRule="auto"/>
      <w:textAlignment w:val="center"/>
    </w:pPr>
    <w:rPr>
      <w:rFonts w:eastAsia="Times New Roman"/>
      <w:szCs w:val="24"/>
    </w:rPr>
  </w:style>
  <w:style w:type="paragraph" w:customStyle="1" w:styleId="xl133">
    <w:name w:val="xl133"/>
    <w:basedOn w:val="Normal"/>
    <w:rsid w:val="004E2107"/>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textAlignment w:val="center"/>
    </w:pPr>
    <w:rPr>
      <w:rFonts w:eastAsia="Times New Roman"/>
      <w:szCs w:val="24"/>
    </w:rPr>
  </w:style>
  <w:style w:type="paragraph" w:customStyle="1" w:styleId="xl134">
    <w:name w:val="xl134"/>
    <w:basedOn w:val="Normal"/>
    <w:rsid w:val="004E2107"/>
    <w:pPr>
      <w:pBdr>
        <w:top w:val="single" w:sz="4" w:space="0" w:color="808080"/>
        <w:left w:val="single" w:sz="4" w:space="0" w:color="808080"/>
        <w:right w:val="single" w:sz="4" w:space="0" w:color="808080"/>
      </w:pBdr>
      <w:spacing w:before="100" w:beforeAutospacing="1" w:after="100" w:afterAutospacing="1" w:line="240" w:lineRule="auto"/>
      <w:textAlignment w:val="center"/>
    </w:pPr>
    <w:rPr>
      <w:rFonts w:eastAsia="Times New Roman"/>
      <w:szCs w:val="24"/>
    </w:rPr>
  </w:style>
  <w:style w:type="paragraph" w:customStyle="1" w:styleId="xl135">
    <w:name w:val="xl135"/>
    <w:basedOn w:val="Normal"/>
    <w:rsid w:val="004E2107"/>
    <w:pPr>
      <w:pBdr>
        <w:left w:val="single" w:sz="4" w:space="0" w:color="808080"/>
        <w:bottom w:val="single" w:sz="4" w:space="0" w:color="808080"/>
        <w:right w:val="single" w:sz="4" w:space="0" w:color="808080"/>
      </w:pBdr>
      <w:spacing w:before="100" w:beforeAutospacing="1" w:after="100" w:afterAutospacing="1" w:line="240" w:lineRule="auto"/>
      <w:textAlignment w:val="center"/>
    </w:pPr>
    <w:rPr>
      <w:rFonts w:eastAsia="Times New Roman"/>
      <w:szCs w:val="24"/>
    </w:rPr>
  </w:style>
  <w:style w:type="paragraph" w:customStyle="1" w:styleId="xl136">
    <w:name w:val="xl136"/>
    <w:basedOn w:val="Normal"/>
    <w:rsid w:val="004E2107"/>
    <w:pPr>
      <w:pBdr>
        <w:left w:val="single" w:sz="4" w:space="0" w:color="808080"/>
        <w:bottom w:val="single" w:sz="4" w:space="0" w:color="808080"/>
        <w:right w:val="single" w:sz="4" w:space="0" w:color="808080"/>
      </w:pBdr>
      <w:shd w:val="clear" w:color="000000" w:fill="FFFFFF"/>
      <w:spacing w:before="100" w:beforeAutospacing="1" w:after="100" w:afterAutospacing="1" w:line="240" w:lineRule="auto"/>
      <w:jc w:val="center"/>
      <w:textAlignment w:val="top"/>
    </w:pPr>
    <w:rPr>
      <w:rFonts w:eastAsia="Times New Roman"/>
      <w:b/>
      <w:bCs/>
      <w:szCs w:val="24"/>
    </w:rPr>
  </w:style>
  <w:style w:type="paragraph" w:customStyle="1" w:styleId="xl137">
    <w:name w:val="xl137"/>
    <w:basedOn w:val="Normal"/>
    <w:rsid w:val="004E2107"/>
    <w:pPr>
      <w:pBdr>
        <w:left w:val="single" w:sz="4" w:space="0" w:color="808080"/>
        <w:bottom w:val="single" w:sz="4" w:space="0" w:color="808080"/>
      </w:pBdr>
      <w:shd w:val="clear" w:color="000000" w:fill="FFFFFF"/>
      <w:spacing w:before="100" w:beforeAutospacing="1" w:after="100" w:afterAutospacing="1" w:line="240" w:lineRule="auto"/>
      <w:jc w:val="center"/>
      <w:textAlignment w:val="top"/>
    </w:pPr>
    <w:rPr>
      <w:rFonts w:eastAsia="Times New Roman"/>
      <w:b/>
      <w:bCs/>
      <w:szCs w:val="24"/>
    </w:rPr>
  </w:style>
  <w:style w:type="paragraph" w:customStyle="1" w:styleId="xl138">
    <w:name w:val="xl138"/>
    <w:basedOn w:val="Normal"/>
    <w:rsid w:val="004E2107"/>
    <w:pPr>
      <w:pBdr>
        <w:bottom w:val="single" w:sz="4" w:space="0" w:color="808080"/>
      </w:pBdr>
      <w:shd w:val="clear" w:color="000000" w:fill="FFFFFF"/>
      <w:spacing w:before="100" w:beforeAutospacing="1" w:after="100" w:afterAutospacing="1" w:line="240" w:lineRule="auto"/>
      <w:jc w:val="center"/>
      <w:textAlignment w:val="top"/>
    </w:pPr>
    <w:rPr>
      <w:rFonts w:eastAsia="Times New Roman"/>
      <w:b/>
      <w:bCs/>
      <w:szCs w:val="24"/>
    </w:rPr>
  </w:style>
  <w:style w:type="paragraph" w:customStyle="1" w:styleId="xl139">
    <w:name w:val="xl139"/>
    <w:basedOn w:val="Normal"/>
    <w:rsid w:val="004E2107"/>
    <w:pPr>
      <w:pBdr>
        <w:bottom w:val="single" w:sz="4" w:space="0" w:color="808080"/>
        <w:right w:val="single" w:sz="4" w:space="0" w:color="808080"/>
      </w:pBdr>
      <w:shd w:val="clear" w:color="000000" w:fill="FFFFFF"/>
      <w:spacing w:before="100" w:beforeAutospacing="1" w:after="100" w:afterAutospacing="1" w:line="240" w:lineRule="auto"/>
      <w:jc w:val="center"/>
      <w:textAlignment w:val="top"/>
    </w:pPr>
    <w:rPr>
      <w:rFonts w:eastAsia="Times New Roman"/>
      <w:b/>
      <w:bCs/>
      <w:szCs w:val="24"/>
    </w:rPr>
  </w:style>
  <w:style w:type="paragraph" w:customStyle="1" w:styleId="xl140">
    <w:name w:val="xl140"/>
    <w:basedOn w:val="Normal"/>
    <w:rsid w:val="004E2107"/>
    <w:pPr>
      <w:pBdr>
        <w:left w:val="single" w:sz="4" w:space="0" w:color="808080"/>
        <w:bottom w:val="single" w:sz="4" w:space="0" w:color="808080"/>
      </w:pBdr>
      <w:shd w:val="clear" w:color="000000" w:fill="FFFFFF"/>
      <w:spacing w:before="100" w:beforeAutospacing="1" w:after="100" w:afterAutospacing="1" w:line="240" w:lineRule="auto"/>
      <w:jc w:val="center"/>
    </w:pPr>
    <w:rPr>
      <w:rFonts w:eastAsia="Times New Roman"/>
      <w:b/>
      <w:bCs/>
      <w:szCs w:val="24"/>
    </w:rPr>
  </w:style>
  <w:style w:type="paragraph" w:customStyle="1" w:styleId="xl141">
    <w:name w:val="xl141"/>
    <w:basedOn w:val="Normal"/>
    <w:rsid w:val="004E2107"/>
    <w:pPr>
      <w:pBdr>
        <w:bottom w:val="single" w:sz="4" w:space="0" w:color="808080"/>
      </w:pBdr>
      <w:shd w:val="clear" w:color="000000" w:fill="FFFFFF"/>
      <w:spacing w:before="100" w:beforeAutospacing="1" w:after="100" w:afterAutospacing="1" w:line="240" w:lineRule="auto"/>
      <w:jc w:val="center"/>
    </w:pPr>
    <w:rPr>
      <w:rFonts w:eastAsia="Times New Roman"/>
      <w:b/>
      <w:bCs/>
      <w:szCs w:val="24"/>
    </w:rPr>
  </w:style>
  <w:style w:type="paragraph" w:customStyle="1" w:styleId="xl142">
    <w:name w:val="xl142"/>
    <w:basedOn w:val="Normal"/>
    <w:rsid w:val="004E2107"/>
    <w:pPr>
      <w:pBdr>
        <w:bottom w:val="single" w:sz="4" w:space="0" w:color="808080"/>
        <w:right w:val="single" w:sz="4" w:space="0" w:color="808080"/>
      </w:pBdr>
      <w:shd w:val="clear" w:color="000000" w:fill="FFFFFF"/>
      <w:spacing w:before="100" w:beforeAutospacing="1" w:after="100" w:afterAutospacing="1" w:line="240" w:lineRule="auto"/>
      <w:jc w:val="center"/>
    </w:pPr>
    <w:rPr>
      <w:rFonts w:eastAsia="Times New Roman"/>
      <w:b/>
      <w:bCs/>
      <w:szCs w:val="24"/>
    </w:rPr>
  </w:style>
  <w:style w:type="paragraph" w:customStyle="1" w:styleId="xl143">
    <w:name w:val="xl143"/>
    <w:basedOn w:val="Normal"/>
    <w:rsid w:val="004E2107"/>
    <w:pPr>
      <w:pBdr>
        <w:top w:val="single" w:sz="4" w:space="0" w:color="808080"/>
        <w:left w:val="single" w:sz="4" w:space="0" w:color="808080"/>
      </w:pBdr>
      <w:shd w:val="clear" w:color="000000" w:fill="FFFFFF"/>
      <w:spacing w:before="100" w:beforeAutospacing="1" w:after="100" w:afterAutospacing="1" w:line="240" w:lineRule="auto"/>
      <w:jc w:val="center"/>
      <w:textAlignment w:val="center"/>
    </w:pPr>
    <w:rPr>
      <w:rFonts w:eastAsia="Times New Roman"/>
      <w:b/>
      <w:bCs/>
      <w:szCs w:val="24"/>
    </w:rPr>
  </w:style>
  <w:style w:type="paragraph" w:customStyle="1" w:styleId="xl144">
    <w:name w:val="xl144"/>
    <w:basedOn w:val="Normal"/>
    <w:rsid w:val="004E2107"/>
    <w:pPr>
      <w:pBdr>
        <w:top w:val="single" w:sz="4" w:space="0" w:color="808080"/>
      </w:pBdr>
      <w:shd w:val="clear" w:color="000000" w:fill="FFFFFF"/>
      <w:spacing w:before="100" w:beforeAutospacing="1" w:after="100" w:afterAutospacing="1" w:line="240" w:lineRule="auto"/>
      <w:jc w:val="center"/>
      <w:textAlignment w:val="center"/>
    </w:pPr>
    <w:rPr>
      <w:rFonts w:eastAsia="Times New Roman"/>
      <w:b/>
      <w:bCs/>
      <w:szCs w:val="24"/>
    </w:rPr>
  </w:style>
  <w:style w:type="paragraph" w:customStyle="1" w:styleId="xl145">
    <w:name w:val="xl145"/>
    <w:basedOn w:val="Normal"/>
    <w:rsid w:val="004E2107"/>
    <w:pPr>
      <w:pBdr>
        <w:top w:val="single" w:sz="4" w:space="0" w:color="808080"/>
        <w:right w:val="single" w:sz="4" w:space="0" w:color="808080"/>
      </w:pBdr>
      <w:shd w:val="clear" w:color="000000" w:fill="FFFFFF"/>
      <w:spacing w:before="100" w:beforeAutospacing="1" w:after="100" w:afterAutospacing="1" w:line="240" w:lineRule="auto"/>
      <w:jc w:val="center"/>
      <w:textAlignment w:val="center"/>
    </w:pPr>
    <w:rPr>
      <w:rFonts w:eastAsia="Times New Roman"/>
      <w:b/>
      <w:bCs/>
      <w:szCs w:val="24"/>
    </w:rPr>
  </w:style>
  <w:style w:type="paragraph" w:customStyle="1" w:styleId="xl146">
    <w:name w:val="xl146"/>
    <w:basedOn w:val="Normal"/>
    <w:rsid w:val="004E2107"/>
    <w:pPr>
      <w:pBdr>
        <w:left w:val="single" w:sz="4" w:space="0" w:color="808080"/>
        <w:bottom w:val="single" w:sz="4" w:space="0" w:color="808080"/>
      </w:pBdr>
      <w:shd w:val="clear" w:color="000000" w:fill="FFFFFF"/>
      <w:spacing w:before="100" w:beforeAutospacing="1" w:after="100" w:afterAutospacing="1" w:line="240" w:lineRule="auto"/>
      <w:jc w:val="center"/>
      <w:textAlignment w:val="center"/>
    </w:pPr>
    <w:rPr>
      <w:rFonts w:eastAsia="Times New Roman"/>
      <w:b/>
      <w:bCs/>
      <w:szCs w:val="24"/>
    </w:rPr>
  </w:style>
  <w:style w:type="paragraph" w:customStyle="1" w:styleId="xl147">
    <w:name w:val="xl147"/>
    <w:basedOn w:val="Normal"/>
    <w:rsid w:val="004E2107"/>
    <w:pPr>
      <w:pBdr>
        <w:bottom w:val="single" w:sz="4" w:space="0" w:color="808080"/>
      </w:pBdr>
      <w:shd w:val="clear" w:color="000000" w:fill="FFFFFF"/>
      <w:spacing w:before="100" w:beforeAutospacing="1" w:after="100" w:afterAutospacing="1" w:line="240" w:lineRule="auto"/>
      <w:jc w:val="center"/>
      <w:textAlignment w:val="center"/>
    </w:pPr>
    <w:rPr>
      <w:rFonts w:eastAsia="Times New Roman"/>
      <w:b/>
      <w:bCs/>
      <w:szCs w:val="24"/>
    </w:rPr>
  </w:style>
  <w:style w:type="paragraph" w:customStyle="1" w:styleId="xl148">
    <w:name w:val="xl148"/>
    <w:basedOn w:val="Normal"/>
    <w:rsid w:val="004E2107"/>
    <w:pPr>
      <w:pBdr>
        <w:bottom w:val="single" w:sz="4" w:space="0" w:color="808080"/>
        <w:right w:val="single" w:sz="4" w:space="0" w:color="808080"/>
      </w:pBdr>
      <w:shd w:val="clear" w:color="000000" w:fill="FFFFFF"/>
      <w:spacing w:before="100" w:beforeAutospacing="1" w:after="100" w:afterAutospacing="1" w:line="240" w:lineRule="auto"/>
      <w:jc w:val="center"/>
      <w:textAlignment w:val="center"/>
    </w:pPr>
    <w:rPr>
      <w:rFonts w:eastAsia="Times New Roman"/>
      <w:b/>
      <w:bCs/>
      <w:szCs w:val="24"/>
    </w:rPr>
  </w:style>
  <w:style w:type="paragraph" w:customStyle="1" w:styleId="xl149">
    <w:name w:val="xl149"/>
    <w:basedOn w:val="Normal"/>
    <w:rsid w:val="004E2107"/>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jc w:val="center"/>
      <w:textAlignment w:val="center"/>
    </w:pPr>
    <w:rPr>
      <w:rFonts w:eastAsia="Times New Roman"/>
      <w:b/>
      <w:bCs/>
      <w:szCs w:val="24"/>
    </w:rPr>
  </w:style>
  <w:style w:type="paragraph" w:customStyle="1" w:styleId="xl150">
    <w:name w:val="xl150"/>
    <w:basedOn w:val="Normal"/>
    <w:rsid w:val="004E2107"/>
    <w:pPr>
      <w:pBdr>
        <w:top w:val="single" w:sz="4" w:space="0" w:color="808080"/>
        <w:left w:val="single" w:sz="4" w:space="0" w:color="808080"/>
        <w:bottom w:val="single" w:sz="4" w:space="0" w:color="808080"/>
      </w:pBdr>
      <w:shd w:val="clear" w:color="000000" w:fill="FFFFFF"/>
      <w:spacing w:before="100" w:beforeAutospacing="1" w:after="100" w:afterAutospacing="1" w:line="240" w:lineRule="auto"/>
      <w:jc w:val="center"/>
      <w:textAlignment w:val="center"/>
    </w:pPr>
    <w:rPr>
      <w:rFonts w:eastAsia="Times New Roman"/>
      <w:b/>
      <w:bCs/>
      <w:szCs w:val="24"/>
    </w:rPr>
  </w:style>
  <w:style w:type="paragraph" w:customStyle="1" w:styleId="xl151">
    <w:name w:val="xl151"/>
    <w:basedOn w:val="Normal"/>
    <w:rsid w:val="004E2107"/>
    <w:pPr>
      <w:pBdr>
        <w:top w:val="single" w:sz="4" w:space="0" w:color="808080"/>
        <w:bottom w:val="single" w:sz="4" w:space="0" w:color="808080"/>
      </w:pBdr>
      <w:shd w:val="clear" w:color="000000" w:fill="FFFFFF"/>
      <w:spacing w:before="100" w:beforeAutospacing="1" w:after="100" w:afterAutospacing="1" w:line="240" w:lineRule="auto"/>
      <w:jc w:val="center"/>
      <w:textAlignment w:val="center"/>
    </w:pPr>
    <w:rPr>
      <w:rFonts w:eastAsia="Times New Roman"/>
      <w:b/>
      <w:bCs/>
      <w:szCs w:val="24"/>
    </w:rPr>
  </w:style>
  <w:style w:type="paragraph" w:customStyle="1" w:styleId="xl152">
    <w:name w:val="xl152"/>
    <w:basedOn w:val="Normal"/>
    <w:rsid w:val="004E2107"/>
    <w:pPr>
      <w:pBdr>
        <w:top w:val="single" w:sz="4" w:space="0" w:color="808080"/>
        <w:bottom w:val="single" w:sz="4" w:space="0" w:color="808080"/>
        <w:right w:val="single" w:sz="4" w:space="0" w:color="808080"/>
      </w:pBdr>
      <w:shd w:val="clear" w:color="000000" w:fill="FFFFFF"/>
      <w:spacing w:before="100" w:beforeAutospacing="1" w:after="100" w:afterAutospacing="1" w:line="240" w:lineRule="auto"/>
      <w:jc w:val="center"/>
      <w:textAlignment w:val="center"/>
    </w:pPr>
    <w:rPr>
      <w:rFonts w:eastAsia="Times New Roman"/>
      <w:b/>
      <w:bCs/>
      <w:szCs w:val="24"/>
    </w:rPr>
  </w:style>
  <w:style w:type="paragraph" w:customStyle="1" w:styleId="xl153">
    <w:name w:val="xl153"/>
    <w:basedOn w:val="Normal"/>
    <w:rsid w:val="004E2107"/>
    <w:pPr>
      <w:pBdr>
        <w:top w:val="single" w:sz="4" w:space="0" w:color="808080"/>
        <w:left w:val="single" w:sz="4" w:space="0" w:color="808080"/>
        <w:bottom w:val="single" w:sz="12" w:space="0" w:color="808080"/>
        <w:right w:val="single" w:sz="4" w:space="0" w:color="808080"/>
      </w:pBdr>
      <w:shd w:val="clear" w:color="000000" w:fill="FFFFFF"/>
      <w:spacing w:before="100" w:beforeAutospacing="1" w:after="100" w:afterAutospacing="1" w:line="240" w:lineRule="auto"/>
      <w:jc w:val="center"/>
      <w:textAlignment w:val="center"/>
    </w:pPr>
    <w:rPr>
      <w:rFonts w:eastAsia="Times New Roman"/>
      <w:b/>
      <w:bCs/>
      <w:szCs w:val="24"/>
    </w:rPr>
  </w:style>
  <w:style w:type="paragraph" w:customStyle="1" w:styleId="xl154">
    <w:name w:val="xl154"/>
    <w:basedOn w:val="Normal"/>
    <w:rsid w:val="004E2107"/>
    <w:pPr>
      <w:pBdr>
        <w:left w:val="single" w:sz="4" w:space="0" w:color="808080"/>
        <w:bottom w:val="single" w:sz="4" w:space="0" w:color="808080"/>
      </w:pBdr>
      <w:shd w:val="clear" w:color="000000" w:fill="FFFFFF"/>
      <w:spacing w:before="100" w:beforeAutospacing="1" w:after="100" w:afterAutospacing="1" w:line="240" w:lineRule="auto"/>
      <w:jc w:val="center"/>
      <w:textAlignment w:val="top"/>
    </w:pPr>
    <w:rPr>
      <w:rFonts w:eastAsia="Times New Roman"/>
      <w:b/>
      <w:bCs/>
      <w:szCs w:val="24"/>
    </w:rPr>
  </w:style>
  <w:style w:type="paragraph" w:customStyle="1" w:styleId="xl155">
    <w:name w:val="xl155"/>
    <w:basedOn w:val="Normal"/>
    <w:rsid w:val="004E2107"/>
    <w:pPr>
      <w:pBdr>
        <w:bottom w:val="single" w:sz="4" w:space="0" w:color="808080"/>
      </w:pBdr>
      <w:shd w:val="clear" w:color="000000" w:fill="FFFFFF"/>
      <w:spacing w:before="100" w:beforeAutospacing="1" w:after="100" w:afterAutospacing="1" w:line="240" w:lineRule="auto"/>
      <w:jc w:val="center"/>
      <w:textAlignment w:val="top"/>
    </w:pPr>
    <w:rPr>
      <w:rFonts w:eastAsia="Times New Roman"/>
      <w:b/>
      <w:bCs/>
      <w:szCs w:val="24"/>
    </w:rPr>
  </w:style>
  <w:style w:type="paragraph" w:customStyle="1" w:styleId="xl156">
    <w:name w:val="xl156"/>
    <w:basedOn w:val="Normal"/>
    <w:rsid w:val="004E2107"/>
    <w:pPr>
      <w:pBdr>
        <w:bottom w:val="single" w:sz="4" w:space="0" w:color="808080"/>
        <w:right w:val="single" w:sz="4" w:space="0" w:color="808080"/>
      </w:pBdr>
      <w:shd w:val="clear" w:color="000000" w:fill="FFFFFF"/>
      <w:spacing w:before="100" w:beforeAutospacing="1" w:after="100" w:afterAutospacing="1" w:line="240" w:lineRule="auto"/>
      <w:jc w:val="center"/>
      <w:textAlignment w:val="top"/>
    </w:pPr>
    <w:rPr>
      <w:rFonts w:eastAsia="Times New Roman"/>
      <w:b/>
      <w:bCs/>
      <w:szCs w:val="24"/>
    </w:rPr>
  </w:style>
  <w:style w:type="paragraph" w:customStyle="1" w:styleId="xl157">
    <w:name w:val="xl157"/>
    <w:basedOn w:val="Normal"/>
    <w:rsid w:val="004E2107"/>
    <w:pPr>
      <w:pBdr>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eastAsia="Times New Roman"/>
      <w:b/>
      <w:bCs/>
      <w:sz w:val="20"/>
      <w:szCs w:val="20"/>
    </w:rPr>
  </w:style>
  <w:style w:type="paragraph" w:customStyle="1" w:styleId="xl158">
    <w:name w:val="xl158"/>
    <w:basedOn w:val="Normal"/>
    <w:rsid w:val="004E2107"/>
    <w:pPr>
      <w:pBdr>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eastAsia="Times New Roman"/>
      <w:b/>
      <w:bCs/>
      <w:sz w:val="20"/>
      <w:szCs w:val="20"/>
    </w:rPr>
  </w:style>
  <w:style w:type="paragraph" w:customStyle="1" w:styleId="xl159">
    <w:name w:val="xl159"/>
    <w:basedOn w:val="Normal"/>
    <w:rsid w:val="004E2107"/>
    <w:pPr>
      <w:pBdr>
        <w:left w:val="single" w:sz="4" w:space="0" w:color="808080"/>
        <w:bottom w:val="single" w:sz="4" w:space="0" w:color="808080"/>
        <w:right w:val="single" w:sz="4" w:space="0" w:color="808080"/>
      </w:pBdr>
      <w:shd w:val="clear" w:color="000000" w:fill="FFFFFF"/>
      <w:spacing w:before="100" w:beforeAutospacing="1" w:after="100" w:afterAutospacing="1" w:line="240" w:lineRule="auto"/>
      <w:jc w:val="center"/>
      <w:textAlignment w:val="center"/>
    </w:pPr>
    <w:rPr>
      <w:rFonts w:eastAsia="Times New Roman"/>
      <w:b/>
      <w:bCs/>
      <w:sz w:val="20"/>
      <w:szCs w:val="20"/>
    </w:rPr>
  </w:style>
  <w:style w:type="paragraph" w:customStyle="1" w:styleId="xl160">
    <w:name w:val="xl160"/>
    <w:basedOn w:val="Normal"/>
    <w:rsid w:val="004E210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szCs w:val="24"/>
    </w:rPr>
  </w:style>
  <w:style w:type="paragraph" w:customStyle="1" w:styleId="xl161">
    <w:name w:val="xl161"/>
    <w:basedOn w:val="Normal"/>
    <w:rsid w:val="004E2107"/>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szCs w:val="24"/>
    </w:rPr>
  </w:style>
  <w:style w:type="paragraph" w:customStyle="1" w:styleId="xl162">
    <w:name w:val="xl162"/>
    <w:basedOn w:val="Normal"/>
    <w:rsid w:val="004E210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rPr>
  </w:style>
  <w:style w:type="character" w:customStyle="1" w:styleId="normaltextrun">
    <w:name w:val="normaltextrun"/>
    <w:basedOn w:val="DefaultParagraphFont"/>
    <w:rsid w:val="00083AD3"/>
  </w:style>
  <w:style w:type="character" w:customStyle="1" w:styleId="advancedproofingissue">
    <w:name w:val="advancedproofingissue"/>
    <w:basedOn w:val="DefaultParagraphFont"/>
    <w:rsid w:val="00083AD3"/>
  </w:style>
  <w:style w:type="character" w:customStyle="1" w:styleId="findhit">
    <w:name w:val="findhit"/>
    <w:basedOn w:val="DefaultParagraphFont"/>
    <w:rsid w:val="00183E45"/>
  </w:style>
  <w:style w:type="numbering" w:customStyle="1" w:styleId="NoList2">
    <w:name w:val="No List2"/>
    <w:next w:val="NoList"/>
    <w:uiPriority w:val="99"/>
    <w:semiHidden/>
    <w:unhideWhenUsed/>
    <w:rsid w:val="00A51104"/>
  </w:style>
  <w:style w:type="paragraph" w:customStyle="1" w:styleId="msonormal0">
    <w:name w:val="msonormal"/>
    <w:basedOn w:val="Normal"/>
    <w:rsid w:val="00A51104"/>
    <w:pPr>
      <w:spacing w:before="100" w:beforeAutospacing="1" w:after="100" w:afterAutospacing="1" w:line="240" w:lineRule="auto"/>
    </w:pPr>
    <w:rPr>
      <w:rFonts w:eastAsia="Times New Roman"/>
      <w:szCs w:val="24"/>
    </w:rPr>
  </w:style>
  <w:style w:type="paragraph" w:customStyle="1" w:styleId="font5">
    <w:name w:val="font5"/>
    <w:basedOn w:val="Normal"/>
    <w:rsid w:val="00A51104"/>
    <w:pPr>
      <w:spacing w:before="100" w:beforeAutospacing="1" w:after="100" w:afterAutospacing="1" w:line="240" w:lineRule="auto"/>
    </w:pPr>
    <w:rPr>
      <w:rFonts w:eastAsia="Times New Roman"/>
      <w:color w:val="000000"/>
      <w:sz w:val="20"/>
      <w:szCs w:val="20"/>
    </w:rPr>
  </w:style>
  <w:style w:type="paragraph" w:customStyle="1" w:styleId="font6">
    <w:name w:val="font6"/>
    <w:basedOn w:val="Normal"/>
    <w:rsid w:val="00A51104"/>
    <w:pPr>
      <w:spacing w:before="100" w:beforeAutospacing="1" w:after="100" w:afterAutospacing="1" w:line="240" w:lineRule="auto"/>
    </w:pPr>
    <w:rPr>
      <w:rFonts w:eastAsia="Times New Roman"/>
      <w:i/>
      <w:iCs/>
      <w:color w:val="000000"/>
      <w:sz w:val="20"/>
      <w:szCs w:val="20"/>
    </w:rPr>
  </w:style>
  <w:style w:type="paragraph" w:customStyle="1" w:styleId="xl52695">
    <w:name w:val="xl52695"/>
    <w:basedOn w:val="Normal"/>
    <w:rsid w:val="00A51104"/>
    <w:pPr>
      <w:pBdr>
        <w:right w:val="single" w:sz="8" w:space="0" w:color="808080"/>
      </w:pBd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52696">
    <w:name w:val="xl52696"/>
    <w:basedOn w:val="Normal"/>
    <w:rsid w:val="00A51104"/>
    <w:pPr>
      <w:pBdr>
        <w:bottom w:val="single" w:sz="8" w:space="0" w:color="808080"/>
        <w:right w:val="single" w:sz="8" w:space="0" w:color="808080"/>
      </w:pBdr>
      <w:shd w:val="clear" w:color="000000" w:fill="FFFFFF"/>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52697">
    <w:name w:val="xl52697"/>
    <w:basedOn w:val="Normal"/>
    <w:rsid w:val="00A51104"/>
    <w:pPr>
      <w:pBdr>
        <w:bottom w:val="single" w:sz="8" w:space="0" w:color="808080"/>
      </w:pBdr>
      <w:shd w:val="clear" w:color="000000" w:fill="FFFFFF"/>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52698">
    <w:name w:val="xl52698"/>
    <w:basedOn w:val="Normal"/>
    <w:rsid w:val="00A51104"/>
    <w:pPr>
      <w:pBdr>
        <w:bottom w:val="single" w:sz="8" w:space="0" w:color="auto"/>
        <w:right w:val="single" w:sz="8" w:space="0" w:color="808080"/>
      </w:pBdr>
      <w:shd w:val="clear" w:color="000000" w:fill="FFFFFF"/>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52699">
    <w:name w:val="xl52699"/>
    <w:basedOn w:val="Normal"/>
    <w:rsid w:val="00A51104"/>
    <w:pPr>
      <w:pBdr>
        <w:top w:val="single" w:sz="8" w:space="0" w:color="808080"/>
        <w:left w:val="single" w:sz="8" w:space="0" w:color="808080"/>
        <w:right w:val="single" w:sz="8" w:space="0" w:color="808080"/>
      </w:pBdr>
      <w:spacing w:before="100" w:beforeAutospacing="1" w:after="100" w:afterAutospacing="1" w:line="240" w:lineRule="auto"/>
      <w:textAlignment w:val="center"/>
    </w:pPr>
    <w:rPr>
      <w:rFonts w:eastAsia="Times New Roman"/>
      <w:color w:val="000000"/>
      <w:sz w:val="20"/>
      <w:szCs w:val="20"/>
    </w:rPr>
  </w:style>
  <w:style w:type="paragraph" w:customStyle="1" w:styleId="xl52700">
    <w:name w:val="xl52700"/>
    <w:basedOn w:val="Normal"/>
    <w:rsid w:val="00A51104"/>
    <w:pPr>
      <w:pBdr>
        <w:left w:val="single" w:sz="8" w:space="0" w:color="808080"/>
        <w:bottom w:val="single" w:sz="8" w:space="0" w:color="808080"/>
        <w:right w:val="single" w:sz="8" w:space="0" w:color="808080"/>
      </w:pBdr>
      <w:spacing w:before="100" w:beforeAutospacing="1" w:after="100" w:afterAutospacing="1" w:line="240" w:lineRule="auto"/>
      <w:textAlignment w:val="center"/>
    </w:pPr>
    <w:rPr>
      <w:rFonts w:eastAsia="Times New Roman"/>
      <w:color w:val="000000"/>
      <w:sz w:val="20"/>
      <w:szCs w:val="20"/>
    </w:rPr>
  </w:style>
  <w:style w:type="paragraph" w:customStyle="1" w:styleId="xl52701">
    <w:name w:val="xl52701"/>
    <w:basedOn w:val="Normal"/>
    <w:rsid w:val="00A51104"/>
    <w:pPr>
      <w:pBdr>
        <w:top w:val="single" w:sz="8" w:space="0" w:color="808080"/>
        <w:left w:val="single" w:sz="8" w:space="0" w:color="808080"/>
      </w:pBd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52702">
    <w:name w:val="xl52702"/>
    <w:basedOn w:val="Normal"/>
    <w:rsid w:val="00A51104"/>
    <w:pPr>
      <w:pBdr>
        <w:top w:val="single" w:sz="8" w:space="0" w:color="808080"/>
      </w:pBd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52703">
    <w:name w:val="xl52703"/>
    <w:basedOn w:val="Normal"/>
    <w:rsid w:val="00A51104"/>
    <w:pPr>
      <w:pBdr>
        <w:top w:val="single" w:sz="8" w:space="0" w:color="808080"/>
        <w:right w:val="single" w:sz="8" w:space="0" w:color="808080"/>
      </w:pBd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52704">
    <w:name w:val="xl52704"/>
    <w:basedOn w:val="Normal"/>
    <w:rsid w:val="00A51104"/>
    <w:pPr>
      <w:pBdr>
        <w:left w:val="single" w:sz="8" w:space="0" w:color="808080"/>
        <w:bottom w:val="single" w:sz="8" w:space="0" w:color="808080"/>
      </w:pBdr>
      <w:shd w:val="clear" w:color="000000" w:fill="FFFFFF"/>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52705">
    <w:name w:val="xl52705"/>
    <w:basedOn w:val="Normal"/>
    <w:rsid w:val="00A51104"/>
    <w:pPr>
      <w:pBdr>
        <w:top w:val="single" w:sz="8" w:space="0" w:color="808080"/>
        <w:left w:val="single" w:sz="8" w:space="0" w:color="808080"/>
        <w:bottom w:val="single" w:sz="8" w:space="0" w:color="FFFFFF"/>
      </w:pBd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52706">
    <w:name w:val="xl52706"/>
    <w:basedOn w:val="Normal"/>
    <w:rsid w:val="00A51104"/>
    <w:pPr>
      <w:pBdr>
        <w:top w:val="single" w:sz="8" w:space="0" w:color="808080"/>
        <w:bottom w:val="single" w:sz="8" w:space="0" w:color="FFFFFF"/>
      </w:pBd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52707">
    <w:name w:val="xl52707"/>
    <w:basedOn w:val="Normal"/>
    <w:rsid w:val="00A51104"/>
    <w:pPr>
      <w:pBdr>
        <w:top w:val="single" w:sz="8" w:space="0" w:color="808080"/>
        <w:bottom w:val="single" w:sz="8" w:space="0" w:color="FFFFFF"/>
        <w:right w:val="single" w:sz="8" w:space="0" w:color="808080"/>
      </w:pBd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52708">
    <w:name w:val="xl52708"/>
    <w:basedOn w:val="Normal"/>
    <w:rsid w:val="00A51104"/>
    <w:pPr>
      <w:pBdr>
        <w:left w:val="single" w:sz="8" w:space="0" w:color="808080"/>
        <w:bottom w:val="single" w:sz="8" w:space="0" w:color="auto"/>
        <w:right w:val="single" w:sz="8" w:space="0" w:color="808080"/>
      </w:pBdr>
      <w:spacing w:before="100" w:beforeAutospacing="1" w:after="100" w:afterAutospacing="1" w:line="240" w:lineRule="auto"/>
      <w:textAlignment w:val="center"/>
    </w:pPr>
    <w:rPr>
      <w:rFonts w:eastAsia="Times New Roman"/>
      <w:color w:val="000000"/>
      <w:sz w:val="20"/>
      <w:szCs w:val="20"/>
    </w:rPr>
  </w:style>
  <w:style w:type="paragraph" w:customStyle="1" w:styleId="xl52709">
    <w:name w:val="xl52709"/>
    <w:basedOn w:val="Normal"/>
    <w:rsid w:val="00A51104"/>
    <w:pPr>
      <w:pBdr>
        <w:top w:val="single" w:sz="8" w:space="0" w:color="auto"/>
        <w:left w:val="single" w:sz="8" w:space="0" w:color="808080"/>
        <w:right w:val="single" w:sz="8" w:space="0" w:color="808080"/>
      </w:pBdr>
      <w:spacing w:before="100" w:beforeAutospacing="1" w:after="100" w:afterAutospacing="1" w:line="240" w:lineRule="auto"/>
      <w:textAlignment w:val="center"/>
    </w:pPr>
    <w:rPr>
      <w:rFonts w:eastAsia="Times New Roman"/>
      <w:color w:val="000000"/>
      <w:sz w:val="20"/>
      <w:szCs w:val="20"/>
    </w:rPr>
  </w:style>
  <w:style w:type="paragraph" w:customStyle="1" w:styleId="xl52710">
    <w:name w:val="xl52710"/>
    <w:basedOn w:val="Normal"/>
    <w:rsid w:val="00A51104"/>
    <w:pPr>
      <w:pBdr>
        <w:top w:val="single" w:sz="8" w:space="0" w:color="808080"/>
        <w:left w:val="single" w:sz="8" w:space="0" w:color="808080"/>
        <w:right w:val="single" w:sz="8" w:space="0" w:color="808080"/>
      </w:pBd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52711">
    <w:name w:val="xl52711"/>
    <w:basedOn w:val="Normal"/>
    <w:rsid w:val="00A51104"/>
    <w:pPr>
      <w:pBdr>
        <w:left w:val="single" w:sz="8" w:space="0" w:color="808080"/>
        <w:bottom w:val="single" w:sz="8" w:space="0" w:color="808080"/>
        <w:right w:val="single" w:sz="8" w:space="0" w:color="808080"/>
      </w:pBd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52712">
    <w:name w:val="xl52712"/>
    <w:basedOn w:val="Normal"/>
    <w:rsid w:val="00A51104"/>
    <w:pPr>
      <w:pBdr>
        <w:left w:val="single" w:sz="8" w:space="0" w:color="808080"/>
        <w:bottom w:val="single" w:sz="8" w:space="0" w:color="auto"/>
        <w:right w:val="single" w:sz="8" w:space="0" w:color="808080"/>
      </w:pBd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52713">
    <w:name w:val="xl52713"/>
    <w:basedOn w:val="Normal"/>
    <w:rsid w:val="00A51104"/>
    <w:pPr>
      <w:pBdr>
        <w:top w:val="single" w:sz="8" w:space="0" w:color="auto"/>
        <w:left w:val="single" w:sz="8" w:space="0" w:color="808080"/>
        <w:right w:val="single" w:sz="8" w:space="0" w:color="808080"/>
      </w:pBd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52714">
    <w:name w:val="xl52714"/>
    <w:basedOn w:val="Normal"/>
    <w:rsid w:val="00A51104"/>
    <w:pPr>
      <w:pBdr>
        <w:left w:val="single" w:sz="8" w:space="0" w:color="808080"/>
        <w:bottom w:val="single" w:sz="8" w:space="0" w:color="808080"/>
      </w:pBd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52715">
    <w:name w:val="xl52715"/>
    <w:basedOn w:val="Normal"/>
    <w:rsid w:val="00A51104"/>
    <w:pPr>
      <w:pBdr>
        <w:bottom w:val="single" w:sz="8" w:space="0" w:color="808080"/>
      </w:pBd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52716">
    <w:name w:val="xl52716"/>
    <w:basedOn w:val="Normal"/>
    <w:rsid w:val="00A51104"/>
    <w:pPr>
      <w:pBdr>
        <w:bottom w:val="single" w:sz="8" w:space="0" w:color="808080"/>
        <w:right w:val="single" w:sz="8" w:space="0" w:color="808080"/>
      </w:pBd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52717">
    <w:name w:val="xl52717"/>
    <w:basedOn w:val="Normal"/>
    <w:rsid w:val="00A51104"/>
    <w:pPr>
      <w:pBdr>
        <w:left w:val="single" w:sz="8" w:space="0" w:color="808080"/>
        <w:bottom w:val="single" w:sz="8" w:space="0" w:color="808080"/>
      </w:pBd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52718">
    <w:name w:val="xl52718"/>
    <w:basedOn w:val="Normal"/>
    <w:rsid w:val="00A51104"/>
    <w:pPr>
      <w:pBdr>
        <w:bottom w:val="single" w:sz="8" w:space="0" w:color="808080"/>
      </w:pBd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52719">
    <w:name w:val="xl52719"/>
    <w:basedOn w:val="Normal"/>
    <w:rsid w:val="00A51104"/>
    <w:pPr>
      <w:pBdr>
        <w:bottom w:val="single" w:sz="8" w:space="0" w:color="808080"/>
        <w:right w:val="single" w:sz="8" w:space="0" w:color="808080"/>
      </w:pBd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52720">
    <w:name w:val="xl52720"/>
    <w:basedOn w:val="Normal"/>
    <w:rsid w:val="00A51104"/>
    <w:pPr>
      <w:pBdr>
        <w:top w:val="single" w:sz="8" w:space="0" w:color="808080"/>
        <w:left w:val="single" w:sz="8" w:space="0" w:color="808080"/>
        <w:right w:val="single" w:sz="8" w:space="0" w:color="808080"/>
      </w:pBd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52721">
    <w:name w:val="xl52721"/>
    <w:basedOn w:val="Normal"/>
    <w:rsid w:val="00A51104"/>
    <w:pPr>
      <w:pBdr>
        <w:left w:val="single" w:sz="8" w:space="0" w:color="808080"/>
        <w:bottom w:val="single" w:sz="8" w:space="0" w:color="808080"/>
        <w:right w:val="single" w:sz="8" w:space="0" w:color="808080"/>
      </w:pBd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52722">
    <w:name w:val="xl52722"/>
    <w:basedOn w:val="Normal"/>
    <w:rsid w:val="00A51104"/>
    <w:pPr>
      <w:pBdr>
        <w:bottom w:val="single" w:sz="8" w:space="0" w:color="808080"/>
        <w:right w:val="single" w:sz="8" w:space="0" w:color="808080"/>
      </w:pBdr>
      <w:shd w:val="clear" w:color="000000" w:fill="FFFFFF"/>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52723">
    <w:name w:val="xl52723"/>
    <w:basedOn w:val="Normal"/>
    <w:rsid w:val="00A51104"/>
    <w:pPr>
      <w:pBdr>
        <w:left w:val="single" w:sz="8" w:space="0" w:color="808080"/>
        <w:bottom w:val="single" w:sz="8" w:space="0" w:color="808080"/>
      </w:pBdr>
      <w:shd w:val="clear" w:color="000000" w:fill="FFFFFF"/>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52724">
    <w:name w:val="xl52724"/>
    <w:basedOn w:val="Normal"/>
    <w:rsid w:val="00A51104"/>
    <w:pPr>
      <w:pBdr>
        <w:bottom w:val="single" w:sz="8" w:space="0" w:color="808080"/>
      </w:pBdr>
      <w:shd w:val="clear" w:color="000000" w:fill="FFFFFF"/>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52725">
    <w:name w:val="xl52725"/>
    <w:basedOn w:val="Normal"/>
    <w:rsid w:val="00A51104"/>
    <w:pPr>
      <w:pBdr>
        <w:top w:val="single" w:sz="8" w:space="0" w:color="FFFFFF"/>
        <w:left w:val="single" w:sz="8" w:space="0" w:color="808080"/>
        <w:bottom w:val="single" w:sz="8" w:space="0" w:color="808080"/>
      </w:pBdr>
      <w:shd w:val="clear" w:color="000000" w:fill="FFFFFF"/>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52726">
    <w:name w:val="xl52726"/>
    <w:basedOn w:val="Normal"/>
    <w:rsid w:val="00A51104"/>
    <w:pPr>
      <w:pBdr>
        <w:top w:val="single" w:sz="8" w:space="0" w:color="FFFFFF"/>
        <w:bottom w:val="single" w:sz="8" w:space="0" w:color="808080"/>
      </w:pBdr>
      <w:shd w:val="clear" w:color="000000" w:fill="FFFFFF"/>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52727">
    <w:name w:val="xl52727"/>
    <w:basedOn w:val="Normal"/>
    <w:rsid w:val="00A51104"/>
    <w:pPr>
      <w:pBdr>
        <w:top w:val="single" w:sz="8" w:space="0" w:color="FFFFFF"/>
        <w:bottom w:val="single" w:sz="8" w:space="0" w:color="808080"/>
        <w:right w:val="single" w:sz="8" w:space="0" w:color="808080"/>
      </w:pBdr>
      <w:shd w:val="clear" w:color="000000" w:fill="FFFFFF"/>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52728">
    <w:name w:val="xl52728"/>
    <w:basedOn w:val="Normal"/>
    <w:rsid w:val="00A51104"/>
    <w:pPr>
      <w:pBdr>
        <w:left w:val="single" w:sz="8" w:space="0" w:color="808080"/>
        <w:bottom w:val="single" w:sz="8" w:space="0" w:color="808080"/>
      </w:pBd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52729">
    <w:name w:val="xl52729"/>
    <w:basedOn w:val="Normal"/>
    <w:rsid w:val="00A51104"/>
    <w:pPr>
      <w:pBdr>
        <w:bottom w:val="single" w:sz="8" w:space="0" w:color="808080"/>
      </w:pBd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52730">
    <w:name w:val="xl52730"/>
    <w:basedOn w:val="Normal"/>
    <w:rsid w:val="00A51104"/>
    <w:pPr>
      <w:pBdr>
        <w:bottom w:val="single" w:sz="8" w:space="0" w:color="808080"/>
        <w:right w:val="single" w:sz="8" w:space="0" w:color="808080"/>
      </w:pBd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52731">
    <w:name w:val="xl52731"/>
    <w:basedOn w:val="Normal"/>
    <w:rsid w:val="00A51104"/>
    <w:pPr>
      <w:pBdr>
        <w:top w:val="single" w:sz="8" w:space="0" w:color="808080"/>
        <w:left w:val="single" w:sz="8" w:space="0" w:color="808080"/>
      </w:pBd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52732">
    <w:name w:val="xl52732"/>
    <w:basedOn w:val="Normal"/>
    <w:rsid w:val="00A51104"/>
    <w:pPr>
      <w:pBdr>
        <w:top w:val="single" w:sz="8" w:space="0" w:color="808080"/>
      </w:pBd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52733">
    <w:name w:val="xl52733"/>
    <w:basedOn w:val="Normal"/>
    <w:rsid w:val="00A51104"/>
    <w:pPr>
      <w:pBdr>
        <w:top w:val="single" w:sz="8" w:space="0" w:color="808080"/>
        <w:right w:val="single" w:sz="8" w:space="0" w:color="808080"/>
      </w:pBd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52734">
    <w:name w:val="xl52734"/>
    <w:basedOn w:val="Normal"/>
    <w:rsid w:val="00A51104"/>
    <w:pPr>
      <w:pBdr>
        <w:top w:val="single" w:sz="8" w:space="0" w:color="808080"/>
        <w:left w:val="single" w:sz="8" w:space="0" w:color="808080"/>
      </w:pBd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52735">
    <w:name w:val="xl52735"/>
    <w:basedOn w:val="Normal"/>
    <w:rsid w:val="00A51104"/>
    <w:pPr>
      <w:pBdr>
        <w:top w:val="single" w:sz="8" w:space="0" w:color="808080"/>
      </w:pBd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52736">
    <w:name w:val="xl52736"/>
    <w:basedOn w:val="Normal"/>
    <w:rsid w:val="00A51104"/>
    <w:pPr>
      <w:pBdr>
        <w:top w:val="single" w:sz="8" w:space="0" w:color="808080"/>
        <w:right w:val="single" w:sz="8" w:space="0" w:color="808080"/>
      </w:pBd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52737">
    <w:name w:val="xl52737"/>
    <w:basedOn w:val="Normal"/>
    <w:rsid w:val="00A51104"/>
    <w:pPr>
      <w:spacing w:before="100" w:beforeAutospacing="1" w:after="100" w:afterAutospacing="1" w:line="240" w:lineRule="auto"/>
      <w:jc w:val="center"/>
      <w:textAlignment w:val="center"/>
    </w:pPr>
    <w:rPr>
      <w:rFonts w:eastAsia="Times New Roman"/>
      <w:sz w:val="20"/>
      <w:szCs w:val="20"/>
    </w:rPr>
  </w:style>
  <w:style w:type="paragraph" w:customStyle="1" w:styleId="xl52738">
    <w:name w:val="xl52738"/>
    <w:basedOn w:val="Normal"/>
    <w:rsid w:val="00A51104"/>
    <w:pPr>
      <w:pBdr>
        <w:left w:val="single" w:sz="8" w:space="0" w:color="808080"/>
        <w:bottom w:val="single" w:sz="8" w:space="0" w:color="808080"/>
      </w:pBd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52739">
    <w:name w:val="xl52739"/>
    <w:basedOn w:val="Normal"/>
    <w:rsid w:val="00A51104"/>
    <w:pPr>
      <w:pBdr>
        <w:bottom w:val="single" w:sz="8" w:space="0" w:color="808080"/>
      </w:pBd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52740">
    <w:name w:val="xl52740"/>
    <w:basedOn w:val="Normal"/>
    <w:rsid w:val="00A51104"/>
    <w:pPr>
      <w:pBdr>
        <w:bottom w:val="single" w:sz="8" w:space="0" w:color="808080"/>
        <w:right w:val="single" w:sz="8" w:space="0" w:color="808080"/>
      </w:pBd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52741">
    <w:name w:val="xl52741"/>
    <w:basedOn w:val="Normal"/>
    <w:rsid w:val="00A51104"/>
    <w:pPr>
      <w:spacing w:before="100" w:beforeAutospacing="1" w:after="100" w:afterAutospacing="1" w:line="240" w:lineRule="auto"/>
      <w:jc w:val="center"/>
      <w:textAlignment w:val="center"/>
    </w:pPr>
    <w:rPr>
      <w:rFonts w:eastAsia="Times New Roman"/>
      <w:b/>
      <w:bCs/>
      <w:sz w:val="20"/>
      <w:szCs w:val="20"/>
    </w:rPr>
  </w:style>
  <w:style w:type="paragraph" w:customStyle="1" w:styleId="xl52742">
    <w:name w:val="xl52742"/>
    <w:basedOn w:val="Normal"/>
    <w:rsid w:val="00A51104"/>
    <w:pPr>
      <w:spacing w:before="100" w:beforeAutospacing="1" w:after="100" w:afterAutospacing="1" w:line="240" w:lineRule="auto"/>
      <w:jc w:val="center"/>
      <w:textAlignment w:val="center"/>
    </w:pPr>
    <w:rPr>
      <w:rFonts w:eastAsia="Times New Roman"/>
      <w:sz w:val="20"/>
      <w:szCs w:val="20"/>
    </w:rPr>
  </w:style>
  <w:style w:type="paragraph" w:customStyle="1" w:styleId="xl52743">
    <w:name w:val="xl52743"/>
    <w:basedOn w:val="Normal"/>
    <w:rsid w:val="00A51104"/>
    <w:pPr>
      <w:pBdr>
        <w:bottom w:val="single" w:sz="8" w:space="0" w:color="808080"/>
        <w:right w:val="single" w:sz="8" w:space="0" w:color="808080"/>
      </w:pBdr>
      <w:shd w:val="clear" w:color="000000" w:fill="FFF2CC"/>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52744">
    <w:name w:val="xl52744"/>
    <w:basedOn w:val="Normal"/>
    <w:rsid w:val="00A51104"/>
    <w:pPr>
      <w:pBdr>
        <w:top w:val="single" w:sz="8" w:space="0" w:color="808080"/>
        <w:left w:val="single" w:sz="8" w:space="0" w:color="808080"/>
        <w:right w:val="single" w:sz="8" w:space="0" w:color="808080"/>
      </w:pBdr>
      <w:shd w:val="clear" w:color="000000" w:fill="FFF2CC"/>
      <w:spacing w:before="100" w:beforeAutospacing="1" w:after="100" w:afterAutospacing="1" w:line="240" w:lineRule="auto"/>
      <w:textAlignment w:val="center"/>
    </w:pPr>
    <w:rPr>
      <w:rFonts w:eastAsia="Times New Roman"/>
      <w:color w:val="000000"/>
      <w:sz w:val="20"/>
      <w:szCs w:val="20"/>
    </w:rPr>
  </w:style>
  <w:style w:type="paragraph" w:customStyle="1" w:styleId="xl52745">
    <w:name w:val="xl52745"/>
    <w:basedOn w:val="Normal"/>
    <w:rsid w:val="00A51104"/>
    <w:pPr>
      <w:pBdr>
        <w:left w:val="single" w:sz="8" w:space="0" w:color="808080"/>
        <w:bottom w:val="single" w:sz="8" w:space="0" w:color="808080"/>
        <w:right w:val="single" w:sz="8" w:space="0" w:color="808080"/>
      </w:pBdr>
      <w:shd w:val="clear" w:color="000000" w:fill="FFF2CC"/>
      <w:spacing w:before="100" w:beforeAutospacing="1" w:after="100" w:afterAutospacing="1" w:line="240" w:lineRule="auto"/>
      <w:textAlignment w:val="center"/>
    </w:pPr>
    <w:rPr>
      <w:rFonts w:eastAsia="Times New Roman"/>
      <w:color w:val="000000"/>
      <w:sz w:val="20"/>
      <w:szCs w:val="20"/>
    </w:rPr>
  </w:style>
  <w:style w:type="paragraph" w:customStyle="1" w:styleId="xl52746">
    <w:name w:val="xl52746"/>
    <w:basedOn w:val="Normal"/>
    <w:rsid w:val="00A51104"/>
    <w:pPr>
      <w:pBdr>
        <w:bottom w:val="single" w:sz="8" w:space="0" w:color="808080"/>
        <w:right w:val="single" w:sz="8" w:space="0" w:color="808080"/>
      </w:pBdr>
      <w:shd w:val="clear" w:color="000000" w:fill="FFF2CC"/>
      <w:spacing w:before="100" w:beforeAutospacing="1" w:after="100" w:afterAutospacing="1" w:line="240" w:lineRule="auto"/>
      <w:jc w:val="center"/>
      <w:textAlignment w:val="center"/>
    </w:pPr>
    <w:rPr>
      <w:rFonts w:eastAsia="Times New Roman"/>
      <w:b/>
      <w:bCs/>
      <w:color w:val="000000"/>
      <w:sz w:val="20"/>
      <w:szCs w:val="20"/>
    </w:rPr>
  </w:style>
  <w:style w:type="numbering" w:customStyle="1" w:styleId="NoList3">
    <w:name w:val="No List3"/>
    <w:next w:val="NoList"/>
    <w:uiPriority w:val="99"/>
    <w:semiHidden/>
    <w:unhideWhenUsed/>
    <w:rsid w:val="000676CD"/>
  </w:style>
  <w:style w:type="table" w:customStyle="1" w:styleId="TableGrid8">
    <w:name w:val="Table Grid8"/>
    <w:basedOn w:val="TableNormal"/>
    <w:next w:val="TableGrid"/>
    <w:rsid w:val="00320E3B"/>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320E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2">
    <w:name w:val="Light List2"/>
    <w:basedOn w:val="TableNormal"/>
    <w:next w:val="LightList"/>
    <w:uiPriority w:val="61"/>
    <w:rsid w:val="00320E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Grid2">
    <w:name w:val="Light Grid2"/>
    <w:basedOn w:val="TableNormal"/>
    <w:next w:val="LightGrid"/>
    <w:uiPriority w:val="62"/>
    <w:rsid w:val="00320E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22">
    <w:name w:val="Table Grid22"/>
    <w:basedOn w:val="TableNormal"/>
    <w:next w:val="TableGrid"/>
    <w:rsid w:val="00320E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320E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320E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320E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320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320E3B"/>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320E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
    <w:name w:val="Light List11"/>
    <w:basedOn w:val="TableNormal"/>
    <w:next w:val="LightList"/>
    <w:uiPriority w:val="61"/>
    <w:rsid w:val="00320E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Grid11">
    <w:name w:val="Light Grid11"/>
    <w:basedOn w:val="TableNormal"/>
    <w:next w:val="LightGrid"/>
    <w:uiPriority w:val="62"/>
    <w:rsid w:val="00320E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211">
    <w:name w:val="Table Grid211"/>
    <w:basedOn w:val="TableNormal"/>
    <w:next w:val="TableGrid"/>
    <w:rsid w:val="00320E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320E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320E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320E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320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6100"/>
    <w:rPr>
      <w:color w:val="605E5C"/>
      <w:shd w:val="clear" w:color="auto" w:fill="E1DFDD"/>
    </w:rPr>
  </w:style>
  <w:style w:type="character" w:styleId="Mention">
    <w:name w:val="Mention"/>
    <w:basedOn w:val="DefaultParagraphFont"/>
    <w:uiPriority w:val="99"/>
    <w:unhideWhenUsed/>
    <w:rsid w:val="00471028"/>
    <w:rPr>
      <w:color w:val="2B579A"/>
      <w:shd w:val="clear" w:color="auto" w:fill="E6E6E6"/>
    </w:rPr>
  </w:style>
  <w:style w:type="character" w:customStyle="1" w:styleId="Heading7Char">
    <w:name w:val="Heading 7 Char"/>
    <w:basedOn w:val="DefaultParagraphFont"/>
    <w:link w:val="Heading7"/>
    <w:uiPriority w:val="9"/>
    <w:semiHidden/>
    <w:rsid w:val="00183E6F"/>
    <w:rPr>
      <w:rFonts w:asciiTheme="majorHAnsi" w:eastAsiaTheme="majorEastAsia" w:hAnsiTheme="majorHAnsi" w:cstheme="majorBidi"/>
      <w:i/>
      <w:iCs/>
      <w:color w:val="243F60"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528">
      <w:bodyDiv w:val="1"/>
      <w:marLeft w:val="0"/>
      <w:marRight w:val="0"/>
      <w:marTop w:val="0"/>
      <w:marBottom w:val="0"/>
      <w:divBdr>
        <w:top w:val="none" w:sz="0" w:space="0" w:color="auto"/>
        <w:left w:val="none" w:sz="0" w:space="0" w:color="auto"/>
        <w:bottom w:val="none" w:sz="0" w:space="0" w:color="auto"/>
        <w:right w:val="none" w:sz="0" w:space="0" w:color="auto"/>
      </w:divBdr>
    </w:div>
    <w:div w:id="3362391">
      <w:bodyDiv w:val="1"/>
      <w:marLeft w:val="0"/>
      <w:marRight w:val="0"/>
      <w:marTop w:val="0"/>
      <w:marBottom w:val="0"/>
      <w:divBdr>
        <w:top w:val="none" w:sz="0" w:space="0" w:color="auto"/>
        <w:left w:val="none" w:sz="0" w:space="0" w:color="auto"/>
        <w:bottom w:val="none" w:sz="0" w:space="0" w:color="auto"/>
        <w:right w:val="none" w:sz="0" w:space="0" w:color="auto"/>
      </w:divBdr>
    </w:div>
    <w:div w:id="7295298">
      <w:bodyDiv w:val="1"/>
      <w:marLeft w:val="0"/>
      <w:marRight w:val="0"/>
      <w:marTop w:val="0"/>
      <w:marBottom w:val="0"/>
      <w:divBdr>
        <w:top w:val="none" w:sz="0" w:space="0" w:color="auto"/>
        <w:left w:val="none" w:sz="0" w:space="0" w:color="auto"/>
        <w:bottom w:val="none" w:sz="0" w:space="0" w:color="auto"/>
        <w:right w:val="none" w:sz="0" w:space="0" w:color="auto"/>
      </w:divBdr>
    </w:div>
    <w:div w:id="11541413">
      <w:bodyDiv w:val="1"/>
      <w:marLeft w:val="0"/>
      <w:marRight w:val="0"/>
      <w:marTop w:val="0"/>
      <w:marBottom w:val="0"/>
      <w:divBdr>
        <w:top w:val="none" w:sz="0" w:space="0" w:color="auto"/>
        <w:left w:val="none" w:sz="0" w:space="0" w:color="auto"/>
        <w:bottom w:val="none" w:sz="0" w:space="0" w:color="auto"/>
        <w:right w:val="none" w:sz="0" w:space="0" w:color="auto"/>
      </w:divBdr>
    </w:div>
    <w:div w:id="31424455">
      <w:bodyDiv w:val="1"/>
      <w:marLeft w:val="0"/>
      <w:marRight w:val="0"/>
      <w:marTop w:val="0"/>
      <w:marBottom w:val="0"/>
      <w:divBdr>
        <w:top w:val="none" w:sz="0" w:space="0" w:color="auto"/>
        <w:left w:val="none" w:sz="0" w:space="0" w:color="auto"/>
        <w:bottom w:val="none" w:sz="0" w:space="0" w:color="auto"/>
        <w:right w:val="none" w:sz="0" w:space="0" w:color="auto"/>
      </w:divBdr>
    </w:div>
    <w:div w:id="32388630">
      <w:bodyDiv w:val="1"/>
      <w:marLeft w:val="0"/>
      <w:marRight w:val="0"/>
      <w:marTop w:val="0"/>
      <w:marBottom w:val="0"/>
      <w:divBdr>
        <w:top w:val="none" w:sz="0" w:space="0" w:color="auto"/>
        <w:left w:val="none" w:sz="0" w:space="0" w:color="auto"/>
        <w:bottom w:val="none" w:sz="0" w:space="0" w:color="auto"/>
        <w:right w:val="none" w:sz="0" w:space="0" w:color="auto"/>
      </w:divBdr>
    </w:div>
    <w:div w:id="34240929">
      <w:bodyDiv w:val="1"/>
      <w:marLeft w:val="0"/>
      <w:marRight w:val="0"/>
      <w:marTop w:val="0"/>
      <w:marBottom w:val="0"/>
      <w:divBdr>
        <w:top w:val="none" w:sz="0" w:space="0" w:color="auto"/>
        <w:left w:val="none" w:sz="0" w:space="0" w:color="auto"/>
        <w:bottom w:val="none" w:sz="0" w:space="0" w:color="auto"/>
        <w:right w:val="none" w:sz="0" w:space="0" w:color="auto"/>
      </w:divBdr>
    </w:div>
    <w:div w:id="34502250">
      <w:bodyDiv w:val="1"/>
      <w:marLeft w:val="0"/>
      <w:marRight w:val="0"/>
      <w:marTop w:val="0"/>
      <w:marBottom w:val="0"/>
      <w:divBdr>
        <w:top w:val="none" w:sz="0" w:space="0" w:color="auto"/>
        <w:left w:val="none" w:sz="0" w:space="0" w:color="auto"/>
        <w:bottom w:val="none" w:sz="0" w:space="0" w:color="auto"/>
        <w:right w:val="none" w:sz="0" w:space="0" w:color="auto"/>
      </w:divBdr>
    </w:div>
    <w:div w:id="40568023">
      <w:bodyDiv w:val="1"/>
      <w:marLeft w:val="0"/>
      <w:marRight w:val="0"/>
      <w:marTop w:val="0"/>
      <w:marBottom w:val="0"/>
      <w:divBdr>
        <w:top w:val="none" w:sz="0" w:space="0" w:color="auto"/>
        <w:left w:val="none" w:sz="0" w:space="0" w:color="auto"/>
        <w:bottom w:val="none" w:sz="0" w:space="0" w:color="auto"/>
        <w:right w:val="none" w:sz="0" w:space="0" w:color="auto"/>
      </w:divBdr>
    </w:div>
    <w:div w:id="43987684">
      <w:bodyDiv w:val="1"/>
      <w:marLeft w:val="0"/>
      <w:marRight w:val="0"/>
      <w:marTop w:val="0"/>
      <w:marBottom w:val="0"/>
      <w:divBdr>
        <w:top w:val="none" w:sz="0" w:space="0" w:color="auto"/>
        <w:left w:val="none" w:sz="0" w:space="0" w:color="auto"/>
        <w:bottom w:val="none" w:sz="0" w:space="0" w:color="auto"/>
        <w:right w:val="none" w:sz="0" w:space="0" w:color="auto"/>
      </w:divBdr>
    </w:div>
    <w:div w:id="51581995">
      <w:bodyDiv w:val="1"/>
      <w:marLeft w:val="0"/>
      <w:marRight w:val="0"/>
      <w:marTop w:val="0"/>
      <w:marBottom w:val="0"/>
      <w:divBdr>
        <w:top w:val="none" w:sz="0" w:space="0" w:color="auto"/>
        <w:left w:val="none" w:sz="0" w:space="0" w:color="auto"/>
        <w:bottom w:val="none" w:sz="0" w:space="0" w:color="auto"/>
        <w:right w:val="none" w:sz="0" w:space="0" w:color="auto"/>
      </w:divBdr>
    </w:div>
    <w:div w:id="52504436">
      <w:bodyDiv w:val="1"/>
      <w:marLeft w:val="0"/>
      <w:marRight w:val="0"/>
      <w:marTop w:val="0"/>
      <w:marBottom w:val="0"/>
      <w:divBdr>
        <w:top w:val="none" w:sz="0" w:space="0" w:color="auto"/>
        <w:left w:val="none" w:sz="0" w:space="0" w:color="auto"/>
        <w:bottom w:val="none" w:sz="0" w:space="0" w:color="auto"/>
        <w:right w:val="none" w:sz="0" w:space="0" w:color="auto"/>
      </w:divBdr>
    </w:div>
    <w:div w:id="60568500">
      <w:bodyDiv w:val="1"/>
      <w:marLeft w:val="0"/>
      <w:marRight w:val="0"/>
      <w:marTop w:val="0"/>
      <w:marBottom w:val="0"/>
      <w:divBdr>
        <w:top w:val="none" w:sz="0" w:space="0" w:color="auto"/>
        <w:left w:val="none" w:sz="0" w:space="0" w:color="auto"/>
        <w:bottom w:val="none" w:sz="0" w:space="0" w:color="auto"/>
        <w:right w:val="none" w:sz="0" w:space="0" w:color="auto"/>
      </w:divBdr>
    </w:div>
    <w:div w:id="61102987">
      <w:bodyDiv w:val="1"/>
      <w:marLeft w:val="0"/>
      <w:marRight w:val="0"/>
      <w:marTop w:val="0"/>
      <w:marBottom w:val="0"/>
      <w:divBdr>
        <w:top w:val="none" w:sz="0" w:space="0" w:color="auto"/>
        <w:left w:val="none" w:sz="0" w:space="0" w:color="auto"/>
        <w:bottom w:val="none" w:sz="0" w:space="0" w:color="auto"/>
        <w:right w:val="none" w:sz="0" w:space="0" w:color="auto"/>
      </w:divBdr>
    </w:div>
    <w:div w:id="62220568">
      <w:bodyDiv w:val="1"/>
      <w:marLeft w:val="0"/>
      <w:marRight w:val="0"/>
      <w:marTop w:val="0"/>
      <w:marBottom w:val="0"/>
      <w:divBdr>
        <w:top w:val="none" w:sz="0" w:space="0" w:color="auto"/>
        <w:left w:val="none" w:sz="0" w:space="0" w:color="auto"/>
        <w:bottom w:val="none" w:sz="0" w:space="0" w:color="auto"/>
        <w:right w:val="none" w:sz="0" w:space="0" w:color="auto"/>
      </w:divBdr>
    </w:div>
    <w:div w:id="62602852">
      <w:bodyDiv w:val="1"/>
      <w:marLeft w:val="0"/>
      <w:marRight w:val="0"/>
      <w:marTop w:val="0"/>
      <w:marBottom w:val="0"/>
      <w:divBdr>
        <w:top w:val="none" w:sz="0" w:space="0" w:color="auto"/>
        <w:left w:val="none" w:sz="0" w:space="0" w:color="auto"/>
        <w:bottom w:val="none" w:sz="0" w:space="0" w:color="auto"/>
        <w:right w:val="none" w:sz="0" w:space="0" w:color="auto"/>
      </w:divBdr>
    </w:div>
    <w:div w:id="65109318">
      <w:bodyDiv w:val="1"/>
      <w:marLeft w:val="0"/>
      <w:marRight w:val="0"/>
      <w:marTop w:val="0"/>
      <w:marBottom w:val="0"/>
      <w:divBdr>
        <w:top w:val="none" w:sz="0" w:space="0" w:color="auto"/>
        <w:left w:val="none" w:sz="0" w:space="0" w:color="auto"/>
        <w:bottom w:val="none" w:sz="0" w:space="0" w:color="auto"/>
        <w:right w:val="none" w:sz="0" w:space="0" w:color="auto"/>
      </w:divBdr>
    </w:div>
    <w:div w:id="73476492">
      <w:bodyDiv w:val="1"/>
      <w:marLeft w:val="0"/>
      <w:marRight w:val="0"/>
      <w:marTop w:val="0"/>
      <w:marBottom w:val="0"/>
      <w:divBdr>
        <w:top w:val="none" w:sz="0" w:space="0" w:color="auto"/>
        <w:left w:val="none" w:sz="0" w:space="0" w:color="auto"/>
        <w:bottom w:val="none" w:sz="0" w:space="0" w:color="auto"/>
        <w:right w:val="none" w:sz="0" w:space="0" w:color="auto"/>
      </w:divBdr>
    </w:div>
    <w:div w:id="77287775">
      <w:bodyDiv w:val="1"/>
      <w:marLeft w:val="0"/>
      <w:marRight w:val="0"/>
      <w:marTop w:val="0"/>
      <w:marBottom w:val="0"/>
      <w:divBdr>
        <w:top w:val="none" w:sz="0" w:space="0" w:color="auto"/>
        <w:left w:val="none" w:sz="0" w:space="0" w:color="auto"/>
        <w:bottom w:val="none" w:sz="0" w:space="0" w:color="auto"/>
        <w:right w:val="none" w:sz="0" w:space="0" w:color="auto"/>
      </w:divBdr>
    </w:div>
    <w:div w:id="77950554">
      <w:bodyDiv w:val="1"/>
      <w:marLeft w:val="0"/>
      <w:marRight w:val="0"/>
      <w:marTop w:val="0"/>
      <w:marBottom w:val="0"/>
      <w:divBdr>
        <w:top w:val="none" w:sz="0" w:space="0" w:color="auto"/>
        <w:left w:val="none" w:sz="0" w:space="0" w:color="auto"/>
        <w:bottom w:val="none" w:sz="0" w:space="0" w:color="auto"/>
        <w:right w:val="none" w:sz="0" w:space="0" w:color="auto"/>
      </w:divBdr>
    </w:div>
    <w:div w:id="81529735">
      <w:bodyDiv w:val="1"/>
      <w:marLeft w:val="0"/>
      <w:marRight w:val="0"/>
      <w:marTop w:val="0"/>
      <w:marBottom w:val="0"/>
      <w:divBdr>
        <w:top w:val="none" w:sz="0" w:space="0" w:color="auto"/>
        <w:left w:val="none" w:sz="0" w:space="0" w:color="auto"/>
        <w:bottom w:val="none" w:sz="0" w:space="0" w:color="auto"/>
        <w:right w:val="none" w:sz="0" w:space="0" w:color="auto"/>
      </w:divBdr>
    </w:div>
    <w:div w:id="87119609">
      <w:bodyDiv w:val="1"/>
      <w:marLeft w:val="0"/>
      <w:marRight w:val="0"/>
      <w:marTop w:val="0"/>
      <w:marBottom w:val="0"/>
      <w:divBdr>
        <w:top w:val="none" w:sz="0" w:space="0" w:color="auto"/>
        <w:left w:val="none" w:sz="0" w:space="0" w:color="auto"/>
        <w:bottom w:val="none" w:sz="0" w:space="0" w:color="auto"/>
        <w:right w:val="none" w:sz="0" w:space="0" w:color="auto"/>
      </w:divBdr>
    </w:div>
    <w:div w:id="87626733">
      <w:bodyDiv w:val="1"/>
      <w:marLeft w:val="0"/>
      <w:marRight w:val="0"/>
      <w:marTop w:val="0"/>
      <w:marBottom w:val="0"/>
      <w:divBdr>
        <w:top w:val="none" w:sz="0" w:space="0" w:color="auto"/>
        <w:left w:val="none" w:sz="0" w:space="0" w:color="auto"/>
        <w:bottom w:val="none" w:sz="0" w:space="0" w:color="auto"/>
        <w:right w:val="none" w:sz="0" w:space="0" w:color="auto"/>
      </w:divBdr>
    </w:div>
    <w:div w:id="88160522">
      <w:bodyDiv w:val="1"/>
      <w:marLeft w:val="0"/>
      <w:marRight w:val="0"/>
      <w:marTop w:val="0"/>
      <w:marBottom w:val="0"/>
      <w:divBdr>
        <w:top w:val="none" w:sz="0" w:space="0" w:color="auto"/>
        <w:left w:val="none" w:sz="0" w:space="0" w:color="auto"/>
        <w:bottom w:val="none" w:sz="0" w:space="0" w:color="auto"/>
        <w:right w:val="none" w:sz="0" w:space="0" w:color="auto"/>
      </w:divBdr>
    </w:div>
    <w:div w:id="95516633">
      <w:bodyDiv w:val="1"/>
      <w:marLeft w:val="0"/>
      <w:marRight w:val="0"/>
      <w:marTop w:val="0"/>
      <w:marBottom w:val="0"/>
      <w:divBdr>
        <w:top w:val="none" w:sz="0" w:space="0" w:color="auto"/>
        <w:left w:val="none" w:sz="0" w:space="0" w:color="auto"/>
        <w:bottom w:val="none" w:sz="0" w:space="0" w:color="auto"/>
        <w:right w:val="none" w:sz="0" w:space="0" w:color="auto"/>
      </w:divBdr>
    </w:div>
    <w:div w:id="96289371">
      <w:bodyDiv w:val="1"/>
      <w:marLeft w:val="0"/>
      <w:marRight w:val="0"/>
      <w:marTop w:val="0"/>
      <w:marBottom w:val="0"/>
      <w:divBdr>
        <w:top w:val="none" w:sz="0" w:space="0" w:color="auto"/>
        <w:left w:val="none" w:sz="0" w:space="0" w:color="auto"/>
        <w:bottom w:val="none" w:sz="0" w:space="0" w:color="auto"/>
        <w:right w:val="none" w:sz="0" w:space="0" w:color="auto"/>
      </w:divBdr>
    </w:div>
    <w:div w:id="97020020">
      <w:bodyDiv w:val="1"/>
      <w:marLeft w:val="0"/>
      <w:marRight w:val="0"/>
      <w:marTop w:val="0"/>
      <w:marBottom w:val="0"/>
      <w:divBdr>
        <w:top w:val="none" w:sz="0" w:space="0" w:color="auto"/>
        <w:left w:val="none" w:sz="0" w:space="0" w:color="auto"/>
        <w:bottom w:val="none" w:sz="0" w:space="0" w:color="auto"/>
        <w:right w:val="none" w:sz="0" w:space="0" w:color="auto"/>
      </w:divBdr>
    </w:div>
    <w:div w:id="98528446">
      <w:bodyDiv w:val="1"/>
      <w:marLeft w:val="0"/>
      <w:marRight w:val="0"/>
      <w:marTop w:val="0"/>
      <w:marBottom w:val="0"/>
      <w:divBdr>
        <w:top w:val="none" w:sz="0" w:space="0" w:color="auto"/>
        <w:left w:val="none" w:sz="0" w:space="0" w:color="auto"/>
        <w:bottom w:val="none" w:sz="0" w:space="0" w:color="auto"/>
        <w:right w:val="none" w:sz="0" w:space="0" w:color="auto"/>
      </w:divBdr>
    </w:div>
    <w:div w:id="99617438">
      <w:bodyDiv w:val="1"/>
      <w:marLeft w:val="0"/>
      <w:marRight w:val="0"/>
      <w:marTop w:val="0"/>
      <w:marBottom w:val="0"/>
      <w:divBdr>
        <w:top w:val="none" w:sz="0" w:space="0" w:color="auto"/>
        <w:left w:val="none" w:sz="0" w:space="0" w:color="auto"/>
        <w:bottom w:val="none" w:sz="0" w:space="0" w:color="auto"/>
        <w:right w:val="none" w:sz="0" w:space="0" w:color="auto"/>
      </w:divBdr>
    </w:div>
    <w:div w:id="103617503">
      <w:bodyDiv w:val="1"/>
      <w:marLeft w:val="0"/>
      <w:marRight w:val="0"/>
      <w:marTop w:val="0"/>
      <w:marBottom w:val="0"/>
      <w:divBdr>
        <w:top w:val="none" w:sz="0" w:space="0" w:color="auto"/>
        <w:left w:val="none" w:sz="0" w:space="0" w:color="auto"/>
        <w:bottom w:val="none" w:sz="0" w:space="0" w:color="auto"/>
        <w:right w:val="none" w:sz="0" w:space="0" w:color="auto"/>
      </w:divBdr>
    </w:div>
    <w:div w:id="104735541">
      <w:bodyDiv w:val="1"/>
      <w:marLeft w:val="0"/>
      <w:marRight w:val="0"/>
      <w:marTop w:val="0"/>
      <w:marBottom w:val="0"/>
      <w:divBdr>
        <w:top w:val="none" w:sz="0" w:space="0" w:color="auto"/>
        <w:left w:val="none" w:sz="0" w:space="0" w:color="auto"/>
        <w:bottom w:val="none" w:sz="0" w:space="0" w:color="auto"/>
        <w:right w:val="none" w:sz="0" w:space="0" w:color="auto"/>
      </w:divBdr>
    </w:div>
    <w:div w:id="109207888">
      <w:bodyDiv w:val="1"/>
      <w:marLeft w:val="0"/>
      <w:marRight w:val="0"/>
      <w:marTop w:val="0"/>
      <w:marBottom w:val="0"/>
      <w:divBdr>
        <w:top w:val="none" w:sz="0" w:space="0" w:color="auto"/>
        <w:left w:val="none" w:sz="0" w:space="0" w:color="auto"/>
        <w:bottom w:val="none" w:sz="0" w:space="0" w:color="auto"/>
        <w:right w:val="none" w:sz="0" w:space="0" w:color="auto"/>
      </w:divBdr>
    </w:div>
    <w:div w:id="110519894">
      <w:bodyDiv w:val="1"/>
      <w:marLeft w:val="0"/>
      <w:marRight w:val="0"/>
      <w:marTop w:val="0"/>
      <w:marBottom w:val="0"/>
      <w:divBdr>
        <w:top w:val="none" w:sz="0" w:space="0" w:color="auto"/>
        <w:left w:val="none" w:sz="0" w:space="0" w:color="auto"/>
        <w:bottom w:val="none" w:sz="0" w:space="0" w:color="auto"/>
        <w:right w:val="none" w:sz="0" w:space="0" w:color="auto"/>
      </w:divBdr>
    </w:div>
    <w:div w:id="113330037">
      <w:bodyDiv w:val="1"/>
      <w:marLeft w:val="0"/>
      <w:marRight w:val="0"/>
      <w:marTop w:val="0"/>
      <w:marBottom w:val="0"/>
      <w:divBdr>
        <w:top w:val="none" w:sz="0" w:space="0" w:color="auto"/>
        <w:left w:val="none" w:sz="0" w:space="0" w:color="auto"/>
        <w:bottom w:val="none" w:sz="0" w:space="0" w:color="auto"/>
        <w:right w:val="none" w:sz="0" w:space="0" w:color="auto"/>
      </w:divBdr>
    </w:div>
    <w:div w:id="113912307">
      <w:bodyDiv w:val="1"/>
      <w:marLeft w:val="0"/>
      <w:marRight w:val="0"/>
      <w:marTop w:val="0"/>
      <w:marBottom w:val="0"/>
      <w:divBdr>
        <w:top w:val="none" w:sz="0" w:space="0" w:color="auto"/>
        <w:left w:val="none" w:sz="0" w:space="0" w:color="auto"/>
        <w:bottom w:val="none" w:sz="0" w:space="0" w:color="auto"/>
        <w:right w:val="none" w:sz="0" w:space="0" w:color="auto"/>
      </w:divBdr>
    </w:div>
    <w:div w:id="117844338">
      <w:bodyDiv w:val="1"/>
      <w:marLeft w:val="0"/>
      <w:marRight w:val="0"/>
      <w:marTop w:val="0"/>
      <w:marBottom w:val="0"/>
      <w:divBdr>
        <w:top w:val="none" w:sz="0" w:space="0" w:color="auto"/>
        <w:left w:val="none" w:sz="0" w:space="0" w:color="auto"/>
        <w:bottom w:val="none" w:sz="0" w:space="0" w:color="auto"/>
        <w:right w:val="none" w:sz="0" w:space="0" w:color="auto"/>
      </w:divBdr>
    </w:div>
    <w:div w:id="122121442">
      <w:bodyDiv w:val="1"/>
      <w:marLeft w:val="0"/>
      <w:marRight w:val="0"/>
      <w:marTop w:val="0"/>
      <w:marBottom w:val="0"/>
      <w:divBdr>
        <w:top w:val="none" w:sz="0" w:space="0" w:color="auto"/>
        <w:left w:val="none" w:sz="0" w:space="0" w:color="auto"/>
        <w:bottom w:val="none" w:sz="0" w:space="0" w:color="auto"/>
        <w:right w:val="none" w:sz="0" w:space="0" w:color="auto"/>
      </w:divBdr>
    </w:div>
    <w:div w:id="129590186">
      <w:bodyDiv w:val="1"/>
      <w:marLeft w:val="0"/>
      <w:marRight w:val="0"/>
      <w:marTop w:val="0"/>
      <w:marBottom w:val="0"/>
      <w:divBdr>
        <w:top w:val="none" w:sz="0" w:space="0" w:color="auto"/>
        <w:left w:val="none" w:sz="0" w:space="0" w:color="auto"/>
        <w:bottom w:val="none" w:sz="0" w:space="0" w:color="auto"/>
        <w:right w:val="none" w:sz="0" w:space="0" w:color="auto"/>
      </w:divBdr>
    </w:div>
    <w:div w:id="138767406">
      <w:bodyDiv w:val="1"/>
      <w:marLeft w:val="0"/>
      <w:marRight w:val="0"/>
      <w:marTop w:val="0"/>
      <w:marBottom w:val="0"/>
      <w:divBdr>
        <w:top w:val="none" w:sz="0" w:space="0" w:color="auto"/>
        <w:left w:val="none" w:sz="0" w:space="0" w:color="auto"/>
        <w:bottom w:val="none" w:sz="0" w:space="0" w:color="auto"/>
        <w:right w:val="none" w:sz="0" w:space="0" w:color="auto"/>
      </w:divBdr>
    </w:div>
    <w:div w:id="141586522">
      <w:bodyDiv w:val="1"/>
      <w:marLeft w:val="0"/>
      <w:marRight w:val="0"/>
      <w:marTop w:val="0"/>
      <w:marBottom w:val="0"/>
      <w:divBdr>
        <w:top w:val="none" w:sz="0" w:space="0" w:color="auto"/>
        <w:left w:val="none" w:sz="0" w:space="0" w:color="auto"/>
        <w:bottom w:val="none" w:sz="0" w:space="0" w:color="auto"/>
        <w:right w:val="none" w:sz="0" w:space="0" w:color="auto"/>
      </w:divBdr>
    </w:div>
    <w:div w:id="144861612">
      <w:bodyDiv w:val="1"/>
      <w:marLeft w:val="0"/>
      <w:marRight w:val="0"/>
      <w:marTop w:val="0"/>
      <w:marBottom w:val="0"/>
      <w:divBdr>
        <w:top w:val="none" w:sz="0" w:space="0" w:color="auto"/>
        <w:left w:val="none" w:sz="0" w:space="0" w:color="auto"/>
        <w:bottom w:val="none" w:sz="0" w:space="0" w:color="auto"/>
        <w:right w:val="none" w:sz="0" w:space="0" w:color="auto"/>
      </w:divBdr>
    </w:div>
    <w:div w:id="145054728">
      <w:bodyDiv w:val="1"/>
      <w:marLeft w:val="0"/>
      <w:marRight w:val="0"/>
      <w:marTop w:val="0"/>
      <w:marBottom w:val="0"/>
      <w:divBdr>
        <w:top w:val="none" w:sz="0" w:space="0" w:color="auto"/>
        <w:left w:val="none" w:sz="0" w:space="0" w:color="auto"/>
        <w:bottom w:val="none" w:sz="0" w:space="0" w:color="auto"/>
        <w:right w:val="none" w:sz="0" w:space="0" w:color="auto"/>
      </w:divBdr>
    </w:div>
    <w:div w:id="145245258">
      <w:bodyDiv w:val="1"/>
      <w:marLeft w:val="0"/>
      <w:marRight w:val="0"/>
      <w:marTop w:val="0"/>
      <w:marBottom w:val="0"/>
      <w:divBdr>
        <w:top w:val="none" w:sz="0" w:space="0" w:color="auto"/>
        <w:left w:val="none" w:sz="0" w:space="0" w:color="auto"/>
        <w:bottom w:val="none" w:sz="0" w:space="0" w:color="auto"/>
        <w:right w:val="none" w:sz="0" w:space="0" w:color="auto"/>
      </w:divBdr>
    </w:div>
    <w:div w:id="148982946">
      <w:bodyDiv w:val="1"/>
      <w:marLeft w:val="0"/>
      <w:marRight w:val="0"/>
      <w:marTop w:val="0"/>
      <w:marBottom w:val="0"/>
      <w:divBdr>
        <w:top w:val="none" w:sz="0" w:space="0" w:color="auto"/>
        <w:left w:val="none" w:sz="0" w:space="0" w:color="auto"/>
        <w:bottom w:val="none" w:sz="0" w:space="0" w:color="auto"/>
        <w:right w:val="none" w:sz="0" w:space="0" w:color="auto"/>
      </w:divBdr>
    </w:div>
    <w:div w:id="151065520">
      <w:bodyDiv w:val="1"/>
      <w:marLeft w:val="0"/>
      <w:marRight w:val="0"/>
      <w:marTop w:val="0"/>
      <w:marBottom w:val="0"/>
      <w:divBdr>
        <w:top w:val="none" w:sz="0" w:space="0" w:color="auto"/>
        <w:left w:val="none" w:sz="0" w:space="0" w:color="auto"/>
        <w:bottom w:val="none" w:sz="0" w:space="0" w:color="auto"/>
        <w:right w:val="none" w:sz="0" w:space="0" w:color="auto"/>
      </w:divBdr>
    </w:div>
    <w:div w:id="155538122">
      <w:bodyDiv w:val="1"/>
      <w:marLeft w:val="0"/>
      <w:marRight w:val="0"/>
      <w:marTop w:val="0"/>
      <w:marBottom w:val="0"/>
      <w:divBdr>
        <w:top w:val="none" w:sz="0" w:space="0" w:color="auto"/>
        <w:left w:val="none" w:sz="0" w:space="0" w:color="auto"/>
        <w:bottom w:val="none" w:sz="0" w:space="0" w:color="auto"/>
        <w:right w:val="none" w:sz="0" w:space="0" w:color="auto"/>
      </w:divBdr>
    </w:div>
    <w:div w:id="156773686">
      <w:bodyDiv w:val="1"/>
      <w:marLeft w:val="0"/>
      <w:marRight w:val="0"/>
      <w:marTop w:val="0"/>
      <w:marBottom w:val="0"/>
      <w:divBdr>
        <w:top w:val="none" w:sz="0" w:space="0" w:color="auto"/>
        <w:left w:val="none" w:sz="0" w:space="0" w:color="auto"/>
        <w:bottom w:val="none" w:sz="0" w:space="0" w:color="auto"/>
        <w:right w:val="none" w:sz="0" w:space="0" w:color="auto"/>
      </w:divBdr>
    </w:div>
    <w:div w:id="160968815">
      <w:bodyDiv w:val="1"/>
      <w:marLeft w:val="0"/>
      <w:marRight w:val="0"/>
      <w:marTop w:val="0"/>
      <w:marBottom w:val="0"/>
      <w:divBdr>
        <w:top w:val="none" w:sz="0" w:space="0" w:color="auto"/>
        <w:left w:val="none" w:sz="0" w:space="0" w:color="auto"/>
        <w:bottom w:val="none" w:sz="0" w:space="0" w:color="auto"/>
        <w:right w:val="none" w:sz="0" w:space="0" w:color="auto"/>
      </w:divBdr>
    </w:div>
    <w:div w:id="161624825">
      <w:bodyDiv w:val="1"/>
      <w:marLeft w:val="0"/>
      <w:marRight w:val="0"/>
      <w:marTop w:val="0"/>
      <w:marBottom w:val="0"/>
      <w:divBdr>
        <w:top w:val="none" w:sz="0" w:space="0" w:color="auto"/>
        <w:left w:val="none" w:sz="0" w:space="0" w:color="auto"/>
        <w:bottom w:val="none" w:sz="0" w:space="0" w:color="auto"/>
        <w:right w:val="none" w:sz="0" w:space="0" w:color="auto"/>
      </w:divBdr>
    </w:div>
    <w:div w:id="166988760">
      <w:bodyDiv w:val="1"/>
      <w:marLeft w:val="0"/>
      <w:marRight w:val="0"/>
      <w:marTop w:val="0"/>
      <w:marBottom w:val="0"/>
      <w:divBdr>
        <w:top w:val="none" w:sz="0" w:space="0" w:color="auto"/>
        <w:left w:val="none" w:sz="0" w:space="0" w:color="auto"/>
        <w:bottom w:val="none" w:sz="0" w:space="0" w:color="auto"/>
        <w:right w:val="none" w:sz="0" w:space="0" w:color="auto"/>
      </w:divBdr>
    </w:div>
    <w:div w:id="167335643">
      <w:bodyDiv w:val="1"/>
      <w:marLeft w:val="0"/>
      <w:marRight w:val="0"/>
      <w:marTop w:val="0"/>
      <w:marBottom w:val="0"/>
      <w:divBdr>
        <w:top w:val="none" w:sz="0" w:space="0" w:color="auto"/>
        <w:left w:val="none" w:sz="0" w:space="0" w:color="auto"/>
        <w:bottom w:val="none" w:sz="0" w:space="0" w:color="auto"/>
        <w:right w:val="none" w:sz="0" w:space="0" w:color="auto"/>
      </w:divBdr>
    </w:div>
    <w:div w:id="175074258">
      <w:bodyDiv w:val="1"/>
      <w:marLeft w:val="0"/>
      <w:marRight w:val="0"/>
      <w:marTop w:val="0"/>
      <w:marBottom w:val="0"/>
      <w:divBdr>
        <w:top w:val="none" w:sz="0" w:space="0" w:color="auto"/>
        <w:left w:val="none" w:sz="0" w:space="0" w:color="auto"/>
        <w:bottom w:val="none" w:sz="0" w:space="0" w:color="auto"/>
        <w:right w:val="none" w:sz="0" w:space="0" w:color="auto"/>
      </w:divBdr>
    </w:div>
    <w:div w:id="178551172">
      <w:bodyDiv w:val="1"/>
      <w:marLeft w:val="0"/>
      <w:marRight w:val="0"/>
      <w:marTop w:val="0"/>
      <w:marBottom w:val="0"/>
      <w:divBdr>
        <w:top w:val="none" w:sz="0" w:space="0" w:color="auto"/>
        <w:left w:val="none" w:sz="0" w:space="0" w:color="auto"/>
        <w:bottom w:val="none" w:sz="0" w:space="0" w:color="auto"/>
        <w:right w:val="none" w:sz="0" w:space="0" w:color="auto"/>
      </w:divBdr>
    </w:div>
    <w:div w:id="184295535">
      <w:bodyDiv w:val="1"/>
      <w:marLeft w:val="0"/>
      <w:marRight w:val="0"/>
      <w:marTop w:val="0"/>
      <w:marBottom w:val="0"/>
      <w:divBdr>
        <w:top w:val="none" w:sz="0" w:space="0" w:color="auto"/>
        <w:left w:val="none" w:sz="0" w:space="0" w:color="auto"/>
        <w:bottom w:val="none" w:sz="0" w:space="0" w:color="auto"/>
        <w:right w:val="none" w:sz="0" w:space="0" w:color="auto"/>
      </w:divBdr>
    </w:div>
    <w:div w:id="187257839">
      <w:bodyDiv w:val="1"/>
      <w:marLeft w:val="0"/>
      <w:marRight w:val="0"/>
      <w:marTop w:val="0"/>
      <w:marBottom w:val="0"/>
      <w:divBdr>
        <w:top w:val="none" w:sz="0" w:space="0" w:color="auto"/>
        <w:left w:val="none" w:sz="0" w:space="0" w:color="auto"/>
        <w:bottom w:val="none" w:sz="0" w:space="0" w:color="auto"/>
        <w:right w:val="none" w:sz="0" w:space="0" w:color="auto"/>
      </w:divBdr>
    </w:div>
    <w:div w:id="188177859">
      <w:bodyDiv w:val="1"/>
      <w:marLeft w:val="0"/>
      <w:marRight w:val="0"/>
      <w:marTop w:val="0"/>
      <w:marBottom w:val="0"/>
      <w:divBdr>
        <w:top w:val="none" w:sz="0" w:space="0" w:color="auto"/>
        <w:left w:val="none" w:sz="0" w:space="0" w:color="auto"/>
        <w:bottom w:val="none" w:sz="0" w:space="0" w:color="auto"/>
        <w:right w:val="none" w:sz="0" w:space="0" w:color="auto"/>
      </w:divBdr>
    </w:div>
    <w:div w:id="201283375">
      <w:bodyDiv w:val="1"/>
      <w:marLeft w:val="0"/>
      <w:marRight w:val="0"/>
      <w:marTop w:val="0"/>
      <w:marBottom w:val="0"/>
      <w:divBdr>
        <w:top w:val="none" w:sz="0" w:space="0" w:color="auto"/>
        <w:left w:val="none" w:sz="0" w:space="0" w:color="auto"/>
        <w:bottom w:val="none" w:sz="0" w:space="0" w:color="auto"/>
        <w:right w:val="none" w:sz="0" w:space="0" w:color="auto"/>
      </w:divBdr>
    </w:div>
    <w:div w:id="205217199">
      <w:bodyDiv w:val="1"/>
      <w:marLeft w:val="0"/>
      <w:marRight w:val="0"/>
      <w:marTop w:val="0"/>
      <w:marBottom w:val="0"/>
      <w:divBdr>
        <w:top w:val="none" w:sz="0" w:space="0" w:color="auto"/>
        <w:left w:val="none" w:sz="0" w:space="0" w:color="auto"/>
        <w:bottom w:val="none" w:sz="0" w:space="0" w:color="auto"/>
        <w:right w:val="none" w:sz="0" w:space="0" w:color="auto"/>
      </w:divBdr>
    </w:div>
    <w:div w:id="206527173">
      <w:bodyDiv w:val="1"/>
      <w:marLeft w:val="0"/>
      <w:marRight w:val="0"/>
      <w:marTop w:val="0"/>
      <w:marBottom w:val="0"/>
      <w:divBdr>
        <w:top w:val="none" w:sz="0" w:space="0" w:color="auto"/>
        <w:left w:val="none" w:sz="0" w:space="0" w:color="auto"/>
        <w:bottom w:val="none" w:sz="0" w:space="0" w:color="auto"/>
        <w:right w:val="none" w:sz="0" w:space="0" w:color="auto"/>
      </w:divBdr>
    </w:div>
    <w:div w:id="210533941">
      <w:bodyDiv w:val="1"/>
      <w:marLeft w:val="0"/>
      <w:marRight w:val="0"/>
      <w:marTop w:val="0"/>
      <w:marBottom w:val="0"/>
      <w:divBdr>
        <w:top w:val="none" w:sz="0" w:space="0" w:color="auto"/>
        <w:left w:val="none" w:sz="0" w:space="0" w:color="auto"/>
        <w:bottom w:val="none" w:sz="0" w:space="0" w:color="auto"/>
        <w:right w:val="none" w:sz="0" w:space="0" w:color="auto"/>
      </w:divBdr>
    </w:div>
    <w:div w:id="211769768">
      <w:bodyDiv w:val="1"/>
      <w:marLeft w:val="0"/>
      <w:marRight w:val="0"/>
      <w:marTop w:val="0"/>
      <w:marBottom w:val="0"/>
      <w:divBdr>
        <w:top w:val="none" w:sz="0" w:space="0" w:color="auto"/>
        <w:left w:val="none" w:sz="0" w:space="0" w:color="auto"/>
        <w:bottom w:val="none" w:sz="0" w:space="0" w:color="auto"/>
        <w:right w:val="none" w:sz="0" w:space="0" w:color="auto"/>
      </w:divBdr>
    </w:div>
    <w:div w:id="212155976">
      <w:bodyDiv w:val="1"/>
      <w:marLeft w:val="0"/>
      <w:marRight w:val="0"/>
      <w:marTop w:val="0"/>
      <w:marBottom w:val="0"/>
      <w:divBdr>
        <w:top w:val="none" w:sz="0" w:space="0" w:color="auto"/>
        <w:left w:val="none" w:sz="0" w:space="0" w:color="auto"/>
        <w:bottom w:val="none" w:sz="0" w:space="0" w:color="auto"/>
        <w:right w:val="none" w:sz="0" w:space="0" w:color="auto"/>
      </w:divBdr>
    </w:div>
    <w:div w:id="214972212">
      <w:bodyDiv w:val="1"/>
      <w:marLeft w:val="0"/>
      <w:marRight w:val="0"/>
      <w:marTop w:val="0"/>
      <w:marBottom w:val="0"/>
      <w:divBdr>
        <w:top w:val="none" w:sz="0" w:space="0" w:color="auto"/>
        <w:left w:val="none" w:sz="0" w:space="0" w:color="auto"/>
        <w:bottom w:val="none" w:sz="0" w:space="0" w:color="auto"/>
        <w:right w:val="none" w:sz="0" w:space="0" w:color="auto"/>
      </w:divBdr>
    </w:div>
    <w:div w:id="215749920">
      <w:bodyDiv w:val="1"/>
      <w:marLeft w:val="0"/>
      <w:marRight w:val="0"/>
      <w:marTop w:val="0"/>
      <w:marBottom w:val="0"/>
      <w:divBdr>
        <w:top w:val="none" w:sz="0" w:space="0" w:color="auto"/>
        <w:left w:val="none" w:sz="0" w:space="0" w:color="auto"/>
        <w:bottom w:val="none" w:sz="0" w:space="0" w:color="auto"/>
        <w:right w:val="none" w:sz="0" w:space="0" w:color="auto"/>
      </w:divBdr>
    </w:div>
    <w:div w:id="219748694">
      <w:bodyDiv w:val="1"/>
      <w:marLeft w:val="0"/>
      <w:marRight w:val="0"/>
      <w:marTop w:val="0"/>
      <w:marBottom w:val="0"/>
      <w:divBdr>
        <w:top w:val="none" w:sz="0" w:space="0" w:color="auto"/>
        <w:left w:val="none" w:sz="0" w:space="0" w:color="auto"/>
        <w:bottom w:val="none" w:sz="0" w:space="0" w:color="auto"/>
        <w:right w:val="none" w:sz="0" w:space="0" w:color="auto"/>
      </w:divBdr>
    </w:div>
    <w:div w:id="224530488">
      <w:bodyDiv w:val="1"/>
      <w:marLeft w:val="0"/>
      <w:marRight w:val="0"/>
      <w:marTop w:val="0"/>
      <w:marBottom w:val="0"/>
      <w:divBdr>
        <w:top w:val="none" w:sz="0" w:space="0" w:color="auto"/>
        <w:left w:val="none" w:sz="0" w:space="0" w:color="auto"/>
        <w:bottom w:val="none" w:sz="0" w:space="0" w:color="auto"/>
        <w:right w:val="none" w:sz="0" w:space="0" w:color="auto"/>
      </w:divBdr>
    </w:div>
    <w:div w:id="226309718">
      <w:bodyDiv w:val="1"/>
      <w:marLeft w:val="0"/>
      <w:marRight w:val="0"/>
      <w:marTop w:val="0"/>
      <w:marBottom w:val="0"/>
      <w:divBdr>
        <w:top w:val="none" w:sz="0" w:space="0" w:color="auto"/>
        <w:left w:val="none" w:sz="0" w:space="0" w:color="auto"/>
        <w:bottom w:val="none" w:sz="0" w:space="0" w:color="auto"/>
        <w:right w:val="none" w:sz="0" w:space="0" w:color="auto"/>
      </w:divBdr>
    </w:div>
    <w:div w:id="230387928">
      <w:bodyDiv w:val="1"/>
      <w:marLeft w:val="0"/>
      <w:marRight w:val="0"/>
      <w:marTop w:val="0"/>
      <w:marBottom w:val="0"/>
      <w:divBdr>
        <w:top w:val="none" w:sz="0" w:space="0" w:color="auto"/>
        <w:left w:val="none" w:sz="0" w:space="0" w:color="auto"/>
        <w:bottom w:val="none" w:sz="0" w:space="0" w:color="auto"/>
        <w:right w:val="none" w:sz="0" w:space="0" w:color="auto"/>
      </w:divBdr>
    </w:div>
    <w:div w:id="230969573">
      <w:bodyDiv w:val="1"/>
      <w:marLeft w:val="0"/>
      <w:marRight w:val="0"/>
      <w:marTop w:val="0"/>
      <w:marBottom w:val="0"/>
      <w:divBdr>
        <w:top w:val="none" w:sz="0" w:space="0" w:color="auto"/>
        <w:left w:val="none" w:sz="0" w:space="0" w:color="auto"/>
        <w:bottom w:val="none" w:sz="0" w:space="0" w:color="auto"/>
        <w:right w:val="none" w:sz="0" w:space="0" w:color="auto"/>
      </w:divBdr>
    </w:div>
    <w:div w:id="232349033">
      <w:bodyDiv w:val="1"/>
      <w:marLeft w:val="0"/>
      <w:marRight w:val="0"/>
      <w:marTop w:val="0"/>
      <w:marBottom w:val="0"/>
      <w:divBdr>
        <w:top w:val="none" w:sz="0" w:space="0" w:color="auto"/>
        <w:left w:val="none" w:sz="0" w:space="0" w:color="auto"/>
        <w:bottom w:val="none" w:sz="0" w:space="0" w:color="auto"/>
        <w:right w:val="none" w:sz="0" w:space="0" w:color="auto"/>
      </w:divBdr>
    </w:div>
    <w:div w:id="235867381">
      <w:bodyDiv w:val="1"/>
      <w:marLeft w:val="0"/>
      <w:marRight w:val="0"/>
      <w:marTop w:val="0"/>
      <w:marBottom w:val="0"/>
      <w:divBdr>
        <w:top w:val="none" w:sz="0" w:space="0" w:color="auto"/>
        <w:left w:val="none" w:sz="0" w:space="0" w:color="auto"/>
        <w:bottom w:val="none" w:sz="0" w:space="0" w:color="auto"/>
        <w:right w:val="none" w:sz="0" w:space="0" w:color="auto"/>
      </w:divBdr>
    </w:div>
    <w:div w:id="236474289">
      <w:bodyDiv w:val="1"/>
      <w:marLeft w:val="0"/>
      <w:marRight w:val="0"/>
      <w:marTop w:val="0"/>
      <w:marBottom w:val="0"/>
      <w:divBdr>
        <w:top w:val="none" w:sz="0" w:space="0" w:color="auto"/>
        <w:left w:val="none" w:sz="0" w:space="0" w:color="auto"/>
        <w:bottom w:val="none" w:sz="0" w:space="0" w:color="auto"/>
        <w:right w:val="none" w:sz="0" w:space="0" w:color="auto"/>
      </w:divBdr>
    </w:div>
    <w:div w:id="237057290">
      <w:bodyDiv w:val="1"/>
      <w:marLeft w:val="0"/>
      <w:marRight w:val="0"/>
      <w:marTop w:val="0"/>
      <w:marBottom w:val="0"/>
      <w:divBdr>
        <w:top w:val="none" w:sz="0" w:space="0" w:color="auto"/>
        <w:left w:val="none" w:sz="0" w:space="0" w:color="auto"/>
        <w:bottom w:val="none" w:sz="0" w:space="0" w:color="auto"/>
        <w:right w:val="none" w:sz="0" w:space="0" w:color="auto"/>
      </w:divBdr>
    </w:div>
    <w:div w:id="263192944">
      <w:bodyDiv w:val="1"/>
      <w:marLeft w:val="0"/>
      <w:marRight w:val="0"/>
      <w:marTop w:val="0"/>
      <w:marBottom w:val="0"/>
      <w:divBdr>
        <w:top w:val="none" w:sz="0" w:space="0" w:color="auto"/>
        <w:left w:val="none" w:sz="0" w:space="0" w:color="auto"/>
        <w:bottom w:val="none" w:sz="0" w:space="0" w:color="auto"/>
        <w:right w:val="none" w:sz="0" w:space="0" w:color="auto"/>
      </w:divBdr>
    </w:div>
    <w:div w:id="271060983">
      <w:bodyDiv w:val="1"/>
      <w:marLeft w:val="0"/>
      <w:marRight w:val="0"/>
      <w:marTop w:val="0"/>
      <w:marBottom w:val="0"/>
      <w:divBdr>
        <w:top w:val="none" w:sz="0" w:space="0" w:color="auto"/>
        <w:left w:val="none" w:sz="0" w:space="0" w:color="auto"/>
        <w:bottom w:val="none" w:sz="0" w:space="0" w:color="auto"/>
        <w:right w:val="none" w:sz="0" w:space="0" w:color="auto"/>
      </w:divBdr>
    </w:div>
    <w:div w:id="271788383">
      <w:bodyDiv w:val="1"/>
      <w:marLeft w:val="0"/>
      <w:marRight w:val="0"/>
      <w:marTop w:val="0"/>
      <w:marBottom w:val="0"/>
      <w:divBdr>
        <w:top w:val="none" w:sz="0" w:space="0" w:color="auto"/>
        <w:left w:val="none" w:sz="0" w:space="0" w:color="auto"/>
        <w:bottom w:val="none" w:sz="0" w:space="0" w:color="auto"/>
        <w:right w:val="none" w:sz="0" w:space="0" w:color="auto"/>
      </w:divBdr>
    </w:div>
    <w:div w:id="271867067">
      <w:bodyDiv w:val="1"/>
      <w:marLeft w:val="0"/>
      <w:marRight w:val="0"/>
      <w:marTop w:val="0"/>
      <w:marBottom w:val="0"/>
      <w:divBdr>
        <w:top w:val="none" w:sz="0" w:space="0" w:color="auto"/>
        <w:left w:val="none" w:sz="0" w:space="0" w:color="auto"/>
        <w:bottom w:val="none" w:sz="0" w:space="0" w:color="auto"/>
        <w:right w:val="none" w:sz="0" w:space="0" w:color="auto"/>
      </w:divBdr>
    </w:div>
    <w:div w:id="279655461">
      <w:bodyDiv w:val="1"/>
      <w:marLeft w:val="0"/>
      <w:marRight w:val="0"/>
      <w:marTop w:val="0"/>
      <w:marBottom w:val="0"/>
      <w:divBdr>
        <w:top w:val="none" w:sz="0" w:space="0" w:color="auto"/>
        <w:left w:val="none" w:sz="0" w:space="0" w:color="auto"/>
        <w:bottom w:val="none" w:sz="0" w:space="0" w:color="auto"/>
        <w:right w:val="none" w:sz="0" w:space="0" w:color="auto"/>
      </w:divBdr>
    </w:div>
    <w:div w:id="280769328">
      <w:bodyDiv w:val="1"/>
      <w:marLeft w:val="0"/>
      <w:marRight w:val="0"/>
      <w:marTop w:val="0"/>
      <w:marBottom w:val="0"/>
      <w:divBdr>
        <w:top w:val="none" w:sz="0" w:space="0" w:color="auto"/>
        <w:left w:val="none" w:sz="0" w:space="0" w:color="auto"/>
        <w:bottom w:val="none" w:sz="0" w:space="0" w:color="auto"/>
        <w:right w:val="none" w:sz="0" w:space="0" w:color="auto"/>
      </w:divBdr>
    </w:div>
    <w:div w:id="289670442">
      <w:bodyDiv w:val="1"/>
      <w:marLeft w:val="0"/>
      <w:marRight w:val="0"/>
      <w:marTop w:val="0"/>
      <w:marBottom w:val="450"/>
      <w:divBdr>
        <w:top w:val="none" w:sz="0" w:space="0" w:color="auto"/>
        <w:left w:val="none" w:sz="0" w:space="0" w:color="auto"/>
        <w:bottom w:val="none" w:sz="0" w:space="0" w:color="auto"/>
        <w:right w:val="none" w:sz="0" w:space="0" w:color="auto"/>
      </w:divBdr>
      <w:divsChild>
        <w:div w:id="1600945115">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294259179">
      <w:bodyDiv w:val="1"/>
      <w:marLeft w:val="0"/>
      <w:marRight w:val="0"/>
      <w:marTop w:val="0"/>
      <w:marBottom w:val="0"/>
      <w:divBdr>
        <w:top w:val="none" w:sz="0" w:space="0" w:color="auto"/>
        <w:left w:val="none" w:sz="0" w:space="0" w:color="auto"/>
        <w:bottom w:val="none" w:sz="0" w:space="0" w:color="auto"/>
        <w:right w:val="none" w:sz="0" w:space="0" w:color="auto"/>
      </w:divBdr>
    </w:div>
    <w:div w:id="299848368">
      <w:bodyDiv w:val="1"/>
      <w:marLeft w:val="0"/>
      <w:marRight w:val="0"/>
      <w:marTop w:val="0"/>
      <w:marBottom w:val="0"/>
      <w:divBdr>
        <w:top w:val="none" w:sz="0" w:space="0" w:color="auto"/>
        <w:left w:val="none" w:sz="0" w:space="0" w:color="auto"/>
        <w:bottom w:val="none" w:sz="0" w:space="0" w:color="auto"/>
        <w:right w:val="none" w:sz="0" w:space="0" w:color="auto"/>
      </w:divBdr>
    </w:div>
    <w:div w:id="300622116">
      <w:bodyDiv w:val="1"/>
      <w:marLeft w:val="0"/>
      <w:marRight w:val="0"/>
      <w:marTop w:val="0"/>
      <w:marBottom w:val="0"/>
      <w:divBdr>
        <w:top w:val="none" w:sz="0" w:space="0" w:color="auto"/>
        <w:left w:val="none" w:sz="0" w:space="0" w:color="auto"/>
        <w:bottom w:val="none" w:sz="0" w:space="0" w:color="auto"/>
        <w:right w:val="none" w:sz="0" w:space="0" w:color="auto"/>
      </w:divBdr>
    </w:div>
    <w:div w:id="301345675">
      <w:bodyDiv w:val="1"/>
      <w:marLeft w:val="0"/>
      <w:marRight w:val="0"/>
      <w:marTop w:val="0"/>
      <w:marBottom w:val="0"/>
      <w:divBdr>
        <w:top w:val="none" w:sz="0" w:space="0" w:color="auto"/>
        <w:left w:val="none" w:sz="0" w:space="0" w:color="auto"/>
        <w:bottom w:val="none" w:sz="0" w:space="0" w:color="auto"/>
        <w:right w:val="none" w:sz="0" w:space="0" w:color="auto"/>
      </w:divBdr>
    </w:div>
    <w:div w:id="314797766">
      <w:bodyDiv w:val="1"/>
      <w:marLeft w:val="0"/>
      <w:marRight w:val="0"/>
      <w:marTop w:val="0"/>
      <w:marBottom w:val="0"/>
      <w:divBdr>
        <w:top w:val="none" w:sz="0" w:space="0" w:color="auto"/>
        <w:left w:val="none" w:sz="0" w:space="0" w:color="auto"/>
        <w:bottom w:val="none" w:sz="0" w:space="0" w:color="auto"/>
        <w:right w:val="none" w:sz="0" w:space="0" w:color="auto"/>
      </w:divBdr>
    </w:div>
    <w:div w:id="318849334">
      <w:bodyDiv w:val="1"/>
      <w:marLeft w:val="0"/>
      <w:marRight w:val="0"/>
      <w:marTop w:val="0"/>
      <w:marBottom w:val="0"/>
      <w:divBdr>
        <w:top w:val="none" w:sz="0" w:space="0" w:color="auto"/>
        <w:left w:val="none" w:sz="0" w:space="0" w:color="auto"/>
        <w:bottom w:val="none" w:sz="0" w:space="0" w:color="auto"/>
        <w:right w:val="none" w:sz="0" w:space="0" w:color="auto"/>
      </w:divBdr>
    </w:div>
    <w:div w:id="323823789">
      <w:bodyDiv w:val="1"/>
      <w:marLeft w:val="0"/>
      <w:marRight w:val="0"/>
      <w:marTop w:val="0"/>
      <w:marBottom w:val="0"/>
      <w:divBdr>
        <w:top w:val="none" w:sz="0" w:space="0" w:color="auto"/>
        <w:left w:val="none" w:sz="0" w:space="0" w:color="auto"/>
        <w:bottom w:val="none" w:sz="0" w:space="0" w:color="auto"/>
        <w:right w:val="none" w:sz="0" w:space="0" w:color="auto"/>
      </w:divBdr>
    </w:div>
    <w:div w:id="324549229">
      <w:bodyDiv w:val="1"/>
      <w:marLeft w:val="0"/>
      <w:marRight w:val="0"/>
      <w:marTop w:val="0"/>
      <w:marBottom w:val="0"/>
      <w:divBdr>
        <w:top w:val="none" w:sz="0" w:space="0" w:color="auto"/>
        <w:left w:val="none" w:sz="0" w:space="0" w:color="auto"/>
        <w:bottom w:val="none" w:sz="0" w:space="0" w:color="auto"/>
        <w:right w:val="none" w:sz="0" w:space="0" w:color="auto"/>
      </w:divBdr>
    </w:div>
    <w:div w:id="326330659">
      <w:bodyDiv w:val="1"/>
      <w:marLeft w:val="0"/>
      <w:marRight w:val="0"/>
      <w:marTop w:val="0"/>
      <w:marBottom w:val="0"/>
      <w:divBdr>
        <w:top w:val="none" w:sz="0" w:space="0" w:color="auto"/>
        <w:left w:val="none" w:sz="0" w:space="0" w:color="auto"/>
        <w:bottom w:val="none" w:sz="0" w:space="0" w:color="auto"/>
        <w:right w:val="none" w:sz="0" w:space="0" w:color="auto"/>
      </w:divBdr>
    </w:div>
    <w:div w:id="329720264">
      <w:bodyDiv w:val="1"/>
      <w:marLeft w:val="0"/>
      <w:marRight w:val="0"/>
      <w:marTop w:val="0"/>
      <w:marBottom w:val="0"/>
      <w:divBdr>
        <w:top w:val="none" w:sz="0" w:space="0" w:color="auto"/>
        <w:left w:val="none" w:sz="0" w:space="0" w:color="auto"/>
        <w:bottom w:val="none" w:sz="0" w:space="0" w:color="auto"/>
        <w:right w:val="none" w:sz="0" w:space="0" w:color="auto"/>
      </w:divBdr>
    </w:div>
    <w:div w:id="333262261">
      <w:bodyDiv w:val="1"/>
      <w:marLeft w:val="0"/>
      <w:marRight w:val="0"/>
      <w:marTop w:val="0"/>
      <w:marBottom w:val="0"/>
      <w:divBdr>
        <w:top w:val="none" w:sz="0" w:space="0" w:color="auto"/>
        <w:left w:val="none" w:sz="0" w:space="0" w:color="auto"/>
        <w:bottom w:val="none" w:sz="0" w:space="0" w:color="auto"/>
        <w:right w:val="none" w:sz="0" w:space="0" w:color="auto"/>
      </w:divBdr>
    </w:div>
    <w:div w:id="334186420">
      <w:bodyDiv w:val="1"/>
      <w:marLeft w:val="0"/>
      <w:marRight w:val="0"/>
      <w:marTop w:val="0"/>
      <w:marBottom w:val="0"/>
      <w:divBdr>
        <w:top w:val="none" w:sz="0" w:space="0" w:color="auto"/>
        <w:left w:val="none" w:sz="0" w:space="0" w:color="auto"/>
        <w:bottom w:val="none" w:sz="0" w:space="0" w:color="auto"/>
        <w:right w:val="none" w:sz="0" w:space="0" w:color="auto"/>
      </w:divBdr>
    </w:div>
    <w:div w:id="337463009">
      <w:bodyDiv w:val="1"/>
      <w:marLeft w:val="0"/>
      <w:marRight w:val="0"/>
      <w:marTop w:val="0"/>
      <w:marBottom w:val="0"/>
      <w:divBdr>
        <w:top w:val="none" w:sz="0" w:space="0" w:color="auto"/>
        <w:left w:val="none" w:sz="0" w:space="0" w:color="auto"/>
        <w:bottom w:val="none" w:sz="0" w:space="0" w:color="auto"/>
        <w:right w:val="none" w:sz="0" w:space="0" w:color="auto"/>
      </w:divBdr>
    </w:div>
    <w:div w:id="343022581">
      <w:bodyDiv w:val="1"/>
      <w:marLeft w:val="0"/>
      <w:marRight w:val="0"/>
      <w:marTop w:val="0"/>
      <w:marBottom w:val="0"/>
      <w:divBdr>
        <w:top w:val="none" w:sz="0" w:space="0" w:color="auto"/>
        <w:left w:val="none" w:sz="0" w:space="0" w:color="auto"/>
        <w:bottom w:val="none" w:sz="0" w:space="0" w:color="auto"/>
        <w:right w:val="none" w:sz="0" w:space="0" w:color="auto"/>
      </w:divBdr>
    </w:div>
    <w:div w:id="344943678">
      <w:bodyDiv w:val="1"/>
      <w:marLeft w:val="0"/>
      <w:marRight w:val="0"/>
      <w:marTop w:val="0"/>
      <w:marBottom w:val="0"/>
      <w:divBdr>
        <w:top w:val="none" w:sz="0" w:space="0" w:color="auto"/>
        <w:left w:val="none" w:sz="0" w:space="0" w:color="auto"/>
        <w:bottom w:val="none" w:sz="0" w:space="0" w:color="auto"/>
        <w:right w:val="none" w:sz="0" w:space="0" w:color="auto"/>
      </w:divBdr>
    </w:div>
    <w:div w:id="345063930">
      <w:bodyDiv w:val="1"/>
      <w:marLeft w:val="0"/>
      <w:marRight w:val="0"/>
      <w:marTop w:val="0"/>
      <w:marBottom w:val="0"/>
      <w:divBdr>
        <w:top w:val="none" w:sz="0" w:space="0" w:color="auto"/>
        <w:left w:val="none" w:sz="0" w:space="0" w:color="auto"/>
        <w:bottom w:val="none" w:sz="0" w:space="0" w:color="auto"/>
        <w:right w:val="none" w:sz="0" w:space="0" w:color="auto"/>
      </w:divBdr>
    </w:div>
    <w:div w:id="345399578">
      <w:bodyDiv w:val="1"/>
      <w:marLeft w:val="0"/>
      <w:marRight w:val="0"/>
      <w:marTop w:val="0"/>
      <w:marBottom w:val="0"/>
      <w:divBdr>
        <w:top w:val="none" w:sz="0" w:space="0" w:color="auto"/>
        <w:left w:val="none" w:sz="0" w:space="0" w:color="auto"/>
        <w:bottom w:val="none" w:sz="0" w:space="0" w:color="auto"/>
        <w:right w:val="none" w:sz="0" w:space="0" w:color="auto"/>
      </w:divBdr>
    </w:div>
    <w:div w:id="358237990">
      <w:bodyDiv w:val="1"/>
      <w:marLeft w:val="0"/>
      <w:marRight w:val="0"/>
      <w:marTop w:val="0"/>
      <w:marBottom w:val="0"/>
      <w:divBdr>
        <w:top w:val="none" w:sz="0" w:space="0" w:color="auto"/>
        <w:left w:val="none" w:sz="0" w:space="0" w:color="auto"/>
        <w:bottom w:val="none" w:sz="0" w:space="0" w:color="auto"/>
        <w:right w:val="none" w:sz="0" w:space="0" w:color="auto"/>
      </w:divBdr>
    </w:div>
    <w:div w:id="366758697">
      <w:bodyDiv w:val="1"/>
      <w:marLeft w:val="0"/>
      <w:marRight w:val="0"/>
      <w:marTop w:val="0"/>
      <w:marBottom w:val="0"/>
      <w:divBdr>
        <w:top w:val="none" w:sz="0" w:space="0" w:color="auto"/>
        <w:left w:val="none" w:sz="0" w:space="0" w:color="auto"/>
        <w:bottom w:val="none" w:sz="0" w:space="0" w:color="auto"/>
        <w:right w:val="none" w:sz="0" w:space="0" w:color="auto"/>
      </w:divBdr>
    </w:div>
    <w:div w:id="367071779">
      <w:bodyDiv w:val="1"/>
      <w:marLeft w:val="0"/>
      <w:marRight w:val="0"/>
      <w:marTop w:val="0"/>
      <w:marBottom w:val="0"/>
      <w:divBdr>
        <w:top w:val="none" w:sz="0" w:space="0" w:color="auto"/>
        <w:left w:val="none" w:sz="0" w:space="0" w:color="auto"/>
        <w:bottom w:val="none" w:sz="0" w:space="0" w:color="auto"/>
        <w:right w:val="none" w:sz="0" w:space="0" w:color="auto"/>
      </w:divBdr>
    </w:div>
    <w:div w:id="368651563">
      <w:bodyDiv w:val="1"/>
      <w:marLeft w:val="0"/>
      <w:marRight w:val="0"/>
      <w:marTop w:val="0"/>
      <w:marBottom w:val="0"/>
      <w:divBdr>
        <w:top w:val="none" w:sz="0" w:space="0" w:color="auto"/>
        <w:left w:val="none" w:sz="0" w:space="0" w:color="auto"/>
        <w:bottom w:val="none" w:sz="0" w:space="0" w:color="auto"/>
        <w:right w:val="none" w:sz="0" w:space="0" w:color="auto"/>
      </w:divBdr>
    </w:div>
    <w:div w:id="371423325">
      <w:bodyDiv w:val="1"/>
      <w:marLeft w:val="0"/>
      <w:marRight w:val="0"/>
      <w:marTop w:val="0"/>
      <w:marBottom w:val="0"/>
      <w:divBdr>
        <w:top w:val="none" w:sz="0" w:space="0" w:color="auto"/>
        <w:left w:val="none" w:sz="0" w:space="0" w:color="auto"/>
        <w:bottom w:val="none" w:sz="0" w:space="0" w:color="auto"/>
        <w:right w:val="none" w:sz="0" w:space="0" w:color="auto"/>
      </w:divBdr>
    </w:div>
    <w:div w:id="375592426">
      <w:bodyDiv w:val="1"/>
      <w:marLeft w:val="0"/>
      <w:marRight w:val="0"/>
      <w:marTop w:val="0"/>
      <w:marBottom w:val="0"/>
      <w:divBdr>
        <w:top w:val="none" w:sz="0" w:space="0" w:color="auto"/>
        <w:left w:val="none" w:sz="0" w:space="0" w:color="auto"/>
        <w:bottom w:val="none" w:sz="0" w:space="0" w:color="auto"/>
        <w:right w:val="none" w:sz="0" w:space="0" w:color="auto"/>
      </w:divBdr>
    </w:div>
    <w:div w:id="376123423">
      <w:bodyDiv w:val="1"/>
      <w:marLeft w:val="0"/>
      <w:marRight w:val="0"/>
      <w:marTop w:val="0"/>
      <w:marBottom w:val="0"/>
      <w:divBdr>
        <w:top w:val="none" w:sz="0" w:space="0" w:color="auto"/>
        <w:left w:val="none" w:sz="0" w:space="0" w:color="auto"/>
        <w:bottom w:val="none" w:sz="0" w:space="0" w:color="auto"/>
        <w:right w:val="none" w:sz="0" w:space="0" w:color="auto"/>
      </w:divBdr>
    </w:div>
    <w:div w:id="382678416">
      <w:bodyDiv w:val="1"/>
      <w:marLeft w:val="0"/>
      <w:marRight w:val="0"/>
      <w:marTop w:val="0"/>
      <w:marBottom w:val="0"/>
      <w:divBdr>
        <w:top w:val="none" w:sz="0" w:space="0" w:color="auto"/>
        <w:left w:val="none" w:sz="0" w:space="0" w:color="auto"/>
        <w:bottom w:val="none" w:sz="0" w:space="0" w:color="auto"/>
        <w:right w:val="none" w:sz="0" w:space="0" w:color="auto"/>
      </w:divBdr>
    </w:div>
    <w:div w:id="399641862">
      <w:bodyDiv w:val="1"/>
      <w:marLeft w:val="0"/>
      <w:marRight w:val="0"/>
      <w:marTop w:val="0"/>
      <w:marBottom w:val="0"/>
      <w:divBdr>
        <w:top w:val="none" w:sz="0" w:space="0" w:color="auto"/>
        <w:left w:val="none" w:sz="0" w:space="0" w:color="auto"/>
        <w:bottom w:val="none" w:sz="0" w:space="0" w:color="auto"/>
        <w:right w:val="none" w:sz="0" w:space="0" w:color="auto"/>
      </w:divBdr>
    </w:div>
    <w:div w:id="402416745">
      <w:bodyDiv w:val="1"/>
      <w:marLeft w:val="0"/>
      <w:marRight w:val="0"/>
      <w:marTop w:val="0"/>
      <w:marBottom w:val="0"/>
      <w:divBdr>
        <w:top w:val="none" w:sz="0" w:space="0" w:color="auto"/>
        <w:left w:val="none" w:sz="0" w:space="0" w:color="auto"/>
        <w:bottom w:val="none" w:sz="0" w:space="0" w:color="auto"/>
        <w:right w:val="none" w:sz="0" w:space="0" w:color="auto"/>
      </w:divBdr>
    </w:div>
    <w:div w:id="403382239">
      <w:bodyDiv w:val="1"/>
      <w:marLeft w:val="0"/>
      <w:marRight w:val="0"/>
      <w:marTop w:val="0"/>
      <w:marBottom w:val="0"/>
      <w:divBdr>
        <w:top w:val="none" w:sz="0" w:space="0" w:color="auto"/>
        <w:left w:val="none" w:sz="0" w:space="0" w:color="auto"/>
        <w:bottom w:val="none" w:sz="0" w:space="0" w:color="auto"/>
        <w:right w:val="none" w:sz="0" w:space="0" w:color="auto"/>
      </w:divBdr>
    </w:div>
    <w:div w:id="405885188">
      <w:bodyDiv w:val="1"/>
      <w:marLeft w:val="0"/>
      <w:marRight w:val="0"/>
      <w:marTop w:val="0"/>
      <w:marBottom w:val="0"/>
      <w:divBdr>
        <w:top w:val="none" w:sz="0" w:space="0" w:color="auto"/>
        <w:left w:val="none" w:sz="0" w:space="0" w:color="auto"/>
        <w:bottom w:val="none" w:sz="0" w:space="0" w:color="auto"/>
        <w:right w:val="none" w:sz="0" w:space="0" w:color="auto"/>
      </w:divBdr>
    </w:div>
    <w:div w:id="407308569">
      <w:bodyDiv w:val="1"/>
      <w:marLeft w:val="0"/>
      <w:marRight w:val="0"/>
      <w:marTop w:val="0"/>
      <w:marBottom w:val="0"/>
      <w:divBdr>
        <w:top w:val="none" w:sz="0" w:space="0" w:color="auto"/>
        <w:left w:val="none" w:sz="0" w:space="0" w:color="auto"/>
        <w:bottom w:val="none" w:sz="0" w:space="0" w:color="auto"/>
        <w:right w:val="none" w:sz="0" w:space="0" w:color="auto"/>
      </w:divBdr>
    </w:div>
    <w:div w:id="418403630">
      <w:bodyDiv w:val="1"/>
      <w:marLeft w:val="0"/>
      <w:marRight w:val="0"/>
      <w:marTop w:val="0"/>
      <w:marBottom w:val="0"/>
      <w:divBdr>
        <w:top w:val="none" w:sz="0" w:space="0" w:color="auto"/>
        <w:left w:val="none" w:sz="0" w:space="0" w:color="auto"/>
        <w:bottom w:val="none" w:sz="0" w:space="0" w:color="auto"/>
        <w:right w:val="none" w:sz="0" w:space="0" w:color="auto"/>
      </w:divBdr>
    </w:div>
    <w:div w:id="420875027">
      <w:bodyDiv w:val="1"/>
      <w:marLeft w:val="0"/>
      <w:marRight w:val="0"/>
      <w:marTop w:val="0"/>
      <w:marBottom w:val="0"/>
      <w:divBdr>
        <w:top w:val="none" w:sz="0" w:space="0" w:color="auto"/>
        <w:left w:val="none" w:sz="0" w:space="0" w:color="auto"/>
        <w:bottom w:val="none" w:sz="0" w:space="0" w:color="auto"/>
        <w:right w:val="none" w:sz="0" w:space="0" w:color="auto"/>
      </w:divBdr>
    </w:div>
    <w:div w:id="421266530">
      <w:bodyDiv w:val="1"/>
      <w:marLeft w:val="0"/>
      <w:marRight w:val="0"/>
      <w:marTop w:val="0"/>
      <w:marBottom w:val="0"/>
      <w:divBdr>
        <w:top w:val="none" w:sz="0" w:space="0" w:color="auto"/>
        <w:left w:val="none" w:sz="0" w:space="0" w:color="auto"/>
        <w:bottom w:val="none" w:sz="0" w:space="0" w:color="auto"/>
        <w:right w:val="none" w:sz="0" w:space="0" w:color="auto"/>
      </w:divBdr>
    </w:div>
    <w:div w:id="422576635">
      <w:bodyDiv w:val="1"/>
      <w:marLeft w:val="0"/>
      <w:marRight w:val="0"/>
      <w:marTop w:val="0"/>
      <w:marBottom w:val="0"/>
      <w:divBdr>
        <w:top w:val="none" w:sz="0" w:space="0" w:color="auto"/>
        <w:left w:val="none" w:sz="0" w:space="0" w:color="auto"/>
        <w:bottom w:val="none" w:sz="0" w:space="0" w:color="auto"/>
        <w:right w:val="none" w:sz="0" w:space="0" w:color="auto"/>
      </w:divBdr>
    </w:div>
    <w:div w:id="425347772">
      <w:bodyDiv w:val="1"/>
      <w:marLeft w:val="0"/>
      <w:marRight w:val="0"/>
      <w:marTop w:val="0"/>
      <w:marBottom w:val="0"/>
      <w:divBdr>
        <w:top w:val="none" w:sz="0" w:space="0" w:color="auto"/>
        <w:left w:val="none" w:sz="0" w:space="0" w:color="auto"/>
        <w:bottom w:val="none" w:sz="0" w:space="0" w:color="auto"/>
        <w:right w:val="none" w:sz="0" w:space="0" w:color="auto"/>
      </w:divBdr>
    </w:div>
    <w:div w:id="426343390">
      <w:bodyDiv w:val="1"/>
      <w:marLeft w:val="0"/>
      <w:marRight w:val="0"/>
      <w:marTop w:val="0"/>
      <w:marBottom w:val="0"/>
      <w:divBdr>
        <w:top w:val="none" w:sz="0" w:space="0" w:color="auto"/>
        <w:left w:val="none" w:sz="0" w:space="0" w:color="auto"/>
        <w:bottom w:val="none" w:sz="0" w:space="0" w:color="auto"/>
        <w:right w:val="none" w:sz="0" w:space="0" w:color="auto"/>
      </w:divBdr>
    </w:div>
    <w:div w:id="431055755">
      <w:bodyDiv w:val="1"/>
      <w:marLeft w:val="0"/>
      <w:marRight w:val="0"/>
      <w:marTop w:val="0"/>
      <w:marBottom w:val="0"/>
      <w:divBdr>
        <w:top w:val="none" w:sz="0" w:space="0" w:color="auto"/>
        <w:left w:val="none" w:sz="0" w:space="0" w:color="auto"/>
        <w:bottom w:val="none" w:sz="0" w:space="0" w:color="auto"/>
        <w:right w:val="none" w:sz="0" w:space="0" w:color="auto"/>
      </w:divBdr>
    </w:div>
    <w:div w:id="434904195">
      <w:bodyDiv w:val="1"/>
      <w:marLeft w:val="0"/>
      <w:marRight w:val="0"/>
      <w:marTop w:val="0"/>
      <w:marBottom w:val="0"/>
      <w:divBdr>
        <w:top w:val="none" w:sz="0" w:space="0" w:color="auto"/>
        <w:left w:val="none" w:sz="0" w:space="0" w:color="auto"/>
        <w:bottom w:val="none" w:sz="0" w:space="0" w:color="auto"/>
        <w:right w:val="none" w:sz="0" w:space="0" w:color="auto"/>
      </w:divBdr>
    </w:div>
    <w:div w:id="436682926">
      <w:bodyDiv w:val="1"/>
      <w:marLeft w:val="0"/>
      <w:marRight w:val="0"/>
      <w:marTop w:val="0"/>
      <w:marBottom w:val="0"/>
      <w:divBdr>
        <w:top w:val="none" w:sz="0" w:space="0" w:color="auto"/>
        <w:left w:val="none" w:sz="0" w:space="0" w:color="auto"/>
        <w:bottom w:val="none" w:sz="0" w:space="0" w:color="auto"/>
        <w:right w:val="none" w:sz="0" w:space="0" w:color="auto"/>
      </w:divBdr>
    </w:div>
    <w:div w:id="441845038">
      <w:bodyDiv w:val="1"/>
      <w:marLeft w:val="0"/>
      <w:marRight w:val="0"/>
      <w:marTop w:val="0"/>
      <w:marBottom w:val="0"/>
      <w:divBdr>
        <w:top w:val="none" w:sz="0" w:space="0" w:color="auto"/>
        <w:left w:val="none" w:sz="0" w:space="0" w:color="auto"/>
        <w:bottom w:val="none" w:sz="0" w:space="0" w:color="auto"/>
        <w:right w:val="none" w:sz="0" w:space="0" w:color="auto"/>
      </w:divBdr>
    </w:div>
    <w:div w:id="441922250">
      <w:bodyDiv w:val="1"/>
      <w:marLeft w:val="0"/>
      <w:marRight w:val="0"/>
      <w:marTop w:val="0"/>
      <w:marBottom w:val="0"/>
      <w:divBdr>
        <w:top w:val="none" w:sz="0" w:space="0" w:color="auto"/>
        <w:left w:val="none" w:sz="0" w:space="0" w:color="auto"/>
        <w:bottom w:val="none" w:sz="0" w:space="0" w:color="auto"/>
        <w:right w:val="none" w:sz="0" w:space="0" w:color="auto"/>
      </w:divBdr>
    </w:div>
    <w:div w:id="442118873">
      <w:bodyDiv w:val="1"/>
      <w:marLeft w:val="0"/>
      <w:marRight w:val="0"/>
      <w:marTop w:val="0"/>
      <w:marBottom w:val="0"/>
      <w:divBdr>
        <w:top w:val="none" w:sz="0" w:space="0" w:color="auto"/>
        <w:left w:val="none" w:sz="0" w:space="0" w:color="auto"/>
        <w:bottom w:val="none" w:sz="0" w:space="0" w:color="auto"/>
        <w:right w:val="none" w:sz="0" w:space="0" w:color="auto"/>
      </w:divBdr>
    </w:div>
    <w:div w:id="442847437">
      <w:bodyDiv w:val="1"/>
      <w:marLeft w:val="0"/>
      <w:marRight w:val="0"/>
      <w:marTop w:val="0"/>
      <w:marBottom w:val="0"/>
      <w:divBdr>
        <w:top w:val="none" w:sz="0" w:space="0" w:color="auto"/>
        <w:left w:val="none" w:sz="0" w:space="0" w:color="auto"/>
        <w:bottom w:val="none" w:sz="0" w:space="0" w:color="auto"/>
        <w:right w:val="none" w:sz="0" w:space="0" w:color="auto"/>
      </w:divBdr>
    </w:div>
    <w:div w:id="453908241">
      <w:bodyDiv w:val="1"/>
      <w:marLeft w:val="0"/>
      <w:marRight w:val="0"/>
      <w:marTop w:val="0"/>
      <w:marBottom w:val="0"/>
      <w:divBdr>
        <w:top w:val="none" w:sz="0" w:space="0" w:color="auto"/>
        <w:left w:val="none" w:sz="0" w:space="0" w:color="auto"/>
        <w:bottom w:val="none" w:sz="0" w:space="0" w:color="auto"/>
        <w:right w:val="none" w:sz="0" w:space="0" w:color="auto"/>
      </w:divBdr>
    </w:div>
    <w:div w:id="454447362">
      <w:bodyDiv w:val="1"/>
      <w:marLeft w:val="0"/>
      <w:marRight w:val="0"/>
      <w:marTop w:val="0"/>
      <w:marBottom w:val="0"/>
      <w:divBdr>
        <w:top w:val="none" w:sz="0" w:space="0" w:color="auto"/>
        <w:left w:val="none" w:sz="0" w:space="0" w:color="auto"/>
        <w:bottom w:val="none" w:sz="0" w:space="0" w:color="auto"/>
        <w:right w:val="none" w:sz="0" w:space="0" w:color="auto"/>
      </w:divBdr>
    </w:div>
    <w:div w:id="457646546">
      <w:bodyDiv w:val="1"/>
      <w:marLeft w:val="0"/>
      <w:marRight w:val="0"/>
      <w:marTop w:val="0"/>
      <w:marBottom w:val="0"/>
      <w:divBdr>
        <w:top w:val="none" w:sz="0" w:space="0" w:color="auto"/>
        <w:left w:val="none" w:sz="0" w:space="0" w:color="auto"/>
        <w:bottom w:val="none" w:sz="0" w:space="0" w:color="auto"/>
        <w:right w:val="none" w:sz="0" w:space="0" w:color="auto"/>
      </w:divBdr>
    </w:div>
    <w:div w:id="458181427">
      <w:bodyDiv w:val="1"/>
      <w:marLeft w:val="0"/>
      <w:marRight w:val="0"/>
      <w:marTop w:val="0"/>
      <w:marBottom w:val="0"/>
      <w:divBdr>
        <w:top w:val="none" w:sz="0" w:space="0" w:color="auto"/>
        <w:left w:val="none" w:sz="0" w:space="0" w:color="auto"/>
        <w:bottom w:val="none" w:sz="0" w:space="0" w:color="auto"/>
        <w:right w:val="none" w:sz="0" w:space="0" w:color="auto"/>
      </w:divBdr>
    </w:div>
    <w:div w:id="458181854">
      <w:bodyDiv w:val="1"/>
      <w:marLeft w:val="0"/>
      <w:marRight w:val="0"/>
      <w:marTop w:val="0"/>
      <w:marBottom w:val="0"/>
      <w:divBdr>
        <w:top w:val="none" w:sz="0" w:space="0" w:color="auto"/>
        <w:left w:val="none" w:sz="0" w:space="0" w:color="auto"/>
        <w:bottom w:val="none" w:sz="0" w:space="0" w:color="auto"/>
        <w:right w:val="none" w:sz="0" w:space="0" w:color="auto"/>
      </w:divBdr>
    </w:div>
    <w:div w:id="461577012">
      <w:bodyDiv w:val="1"/>
      <w:marLeft w:val="0"/>
      <w:marRight w:val="0"/>
      <w:marTop w:val="0"/>
      <w:marBottom w:val="0"/>
      <w:divBdr>
        <w:top w:val="none" w:sz="0" w:space="0" w:color="auto"/>
        <w:left w:val="none" w:sz="0" w:space="0" w:color="auto"/>
        <w:bottom w:val="none" w:sz="0" w:space="0" w:color="auto"/>
        <w:right w:val="none" w:sz="0" w:space="0" w:color="auto"/>
      </w:divBdr>
    </w:div>
    <w:div w:id="462387040">
      <w:bodyDiv w:val="1"/>
      <w:marLeft w:val="0"/>
      <w:marRight w:val="0"/>
      <w:marTop w:val="0"/>
      <w:marBottom w:val="0"/>
      <w:divBdr>
        <w:top w:val="none" w:sz="0" w:space="0" w:color="auto"/>
        <w:left w:val="none" w:sz="0" w:space="0" w:color="auto"/>
        <w:bottom w:val="none" w:sz="0" w:space="0" w:color="auto"/>
        <w:right w:val="none" w:sz="0" w:space="0" w:color="auto"/>
      </w:divBdr>
    </w:div>
    <w:div w:id="464929414">
      <w:bodyDiv w:val="1"/>
      <w:marLeft w:val="0"/>
      <w:marRight w:val="0"/>
      <w:marTop w:val="0"/>
      <w:marBottom w:val="0"/>
      <w:divBdr>
        <w:top w:val="none" w:sz="0" w:space="0" w:color="auto"/>
        <w:left w:val="none" w:sz="0" w:space="0" w:color="auto"/>
        <w:bottom w:val="none" w:sz="0" w:space="0" w:color="auto"/>
        <w:right w:val="none" w:sz="0" w:space="0" w:color="auto"/>
      </w:divBdr>
    </w:div>
    <w:div w:id="465124652">
      <w:bodyDiv w:val="1"/>
      <w:marLeft w:val="0"/>
      <w:marRight w:val="0"/>
      <w:marTop w:val="0"/>
      <w:marBottom w:val="0"/>
      <w:divBdr>
        <w:top w:val="none" w:sz="0" w:space="0" w:color="auto"/>
        <w:left w:val="none" w:sz="0" w:space="0" w:color="auto"/>
        <w:bottom w:val="none" w:sz="0" w:space="0" w:color="auto"/>
        <w:right w:val="none" w:sz="0" w:space="0" w:color="auto"/>
      </w:divBdr>
    </w:div>
    <w:div w:id="468135458">
      <w:bodyDiv w:val="1"/>
      <w:marLeft w:val="0"/>
      <w:marRight w:val="0"/>
      <w:marTop w:val="0"/>
      <w:marBottom w:val="0"/>
      <w:divBdr>
        <w:top w:val="none" w:sz="0" w:space="0" w:color="auto"/>
        <w:left w:val="none" w:sz="0" w:space="0" w:color="auto"/>
        <w:bottom w:val="none" w:sz="0" w:space="0" w:color="auto"/>
        <w:right w:val="none" w:sz="0" w:space="0" w:color="auto"/>
      </w:divBdr>
    </w:div>
    <w:div w:id="469634066">
      <w:bodyDiv w:val="1"/>
      <w:marLeft w:val="0"/>
      <w:marRight w:val="0"/>
      <w:marTop w:val="0"/>
      <w:marBottom w:val="0"/>
      <w:divBdr>
        <w:top w:val="none" w:sz="0" w:space="0" w:color="auto"/>
        <w:left w:val="none" w:sz="0" w:space="0" w:color="auto"/>
        <w:bottom w:val="none" w:sz="0" w:space="0" w:color="auto"/>
        <w:right w:val="none" w:sz="0" w:space="0" w:color="auto"/>
      </w:divBdr>
    </w:div>
    <w:div w:id="470443981">
      <w:bodyDiv w:val="1"/>
      <w:marLeft w:val="0"/>
      <w:marRight w:val="0"/>
      <w:marTop w:val="0"/>
      <w:marBottom w:val="0"/>
      <w:divBdr>
        <w:top w:val="none" w:sz="0" w:space="0" w:color="auto"/>
        <w:left w:val="none" w:sz="0" w:space="0" w:color="auto"/>
        <w:bottom w:val="none" w:sz="0" w:space="0" w:color="auto"/>
        <w:right w:val="none" w:sz="0" w:space="0" w:color="auto"/>
      </w:divBdr>
    </w:div>
    <w:div w:id="470562210">
      <w:bodyDiv w:val="1"/>
      <w:marLeft w:val="0"/>
      <w:marRight w:val="0"/>
      <w:marTop w:val="0"/>
      <w:marBottom w:val="0"/>
      <w:divBdr>
        <w:top w:val="none" w:sz="0" w:space="0" w:color="auto"/>
        <w:left w:val="none" w:sz="0" w:space="0" w:color="auto"/>
        <w:bottom w:val="none" w:sz="0" w:space="0" w:color="auto"/>
        <w:right w:val="none" w:sz="0" w:space="0" w:color="auto"/>
      </w:divBdr>
    </w:div>
    <w:div w:id="473957681">
      <w:bodyDiv w:val="1"/>
      <w:marLeft w:val="0"/>
      <w:marRight w:val="0"/>
      <w:marTop w:val="0"/>
      <w:marBottom w:val="0"/>
      <w:divBdr>
        <w:top w:val="none" w:sz="0" w:space="0" w:color="auto"/>
        <w:left w:val="none" w:sz="0" w:space="0" w:color="auto"/>
        <w:bottom w:val="none" w:sz="0" w:space="0" w:color="auto"/>
        <w:right w:val="none" w:sz="0" w:space="0" w:color="auto"/>
      </w:divBdr>
    </w:div>
    <w:div w:id="480391438">
      <w:bodyDiv w:val="1"/>
      <w:marLeft w:val="0"/>
      <w:marRight w:val="0"/>
      <w:marTop w:val="0"/>
      <w:marBottom w:val="0"/>
      <w:divBdr>
        <w:top w:val="none" w:sz="0" w:space="0" w:color="auto"/>
        <w:left w:val="none" w:sz="0" w:space="0" w:color="auto"/>
        <w:bottom w:val="none" w:sz="0" w:space="0" w:color="auto"/>
        <w:right w:val="none" w:sz="0" w:space="0" w:color="auto"/>
      </w:divBdr>
    </w:div>
    <w:div w:id="482356131">
      <w:bodyDiv w:val="1"/>
      <w:marLeft w:val="0"/>
      <w:marRight w:val="0"/>
      <w:marTop w:val="0"/>
      <w:marBottom w:val="0"/>
      <w:divBdr>
        <w:top w:val="none" w:sz="0" w:space="0" w:color="auto"/>
        <w:left w:val="none" w:sz="0" w:space="0" w:color="auto"/>
        <w:bottom w:val="none" w:sz="0" w:space="0" w:color="auto"/>
        <w:right w:val="none" w:sz="0" w:space="0" w:color="auto"/>
      </w:divBdr>
    </w:div>
    <w:div w:id="494107067">
      <w:bodyDiv w:val="1"/>
      <w:marLeft w:val="0"/>
      <w:marRight w:val="0"/>
      <w:marTop w:val="0"/>
      <w:marBottom w:val="0"/>
      <w:divBdr>
        <w:top w:val="none" w:sz="0" w:space="0" w:color="auto"/>
        <w:left w:val="none" w:sz="0" w:space="0" w:color="auto"/>
        <w:bottom w:val="none" w:sz="0" w:space="0" w:color="auto"/>
        <w:right w:val="none" w:sz="0" w:space="0" w:color="auto"/>
      </w:divBdr>
    </w:div>
    <w:div w:id="494953307">
      <w:bodyDiv w:val="1"/>
      <w:marLeft w:val="0"/>
      <w:marRight w:val="0"/>
      <w:marTop w:val="0"/>
      <w:marBottom w:val="0"/>
      <w:divBdr>
        <w:top w:val="none" w:sz="0" w:space="0" w:color="auto"/>
        <w:left w:val="none" w:sz="0" w:space="0" w:color="auto"/>
        <w:bottom w:val="none" w:sz="0" w:space="0" w:color="auto"/>
        <w:right w:val="none" w:sz="0" w:space="0" w:color="auto"/>
      </w:divBdr>
    </w:div>
    <w:div w:id="497118858">
      <w:bodyDiv w:val="1"/>
      <w:marLeft w:val="0"/>
      <w:marRight w:val="0"/>
      <w:marTop w:val="0"/>
      <w:marBottom w:val="0"/>
      <w:divBdr>
        <w:top w:val="none" w:sz="0" w:space="0" w:color="auto"/>
        <w:left w:val="none" w:sz="0" w:space="0" w:color="auto"/>
        <w:bottom w:val="none" w:sz="0" w:space="0" w:color="auto"/>
        <w:right w:val="none" w:sz="0" w:space="0" w:color="auto"/>
      </w:divBdr>
    </w:div>
    <w:div w:id="498037143">
      <w:bodyDiv w:val="1"/>
      <w:marLeft w:val="0"/>
      <w:marRight w:val="0"/>
      <w:marTop w:val="0"/>
      <w:marBottom w:val="0"/>
      <w:divBdr>
        <w:top w:val="none" w:sz="0" w:space="0" w:color="auto"/>
        <w:left w:val="none" w:sz="0" w:space="0" w:color="auto"/>
        <w:bottom w:val="none" w:sz="0" w:space="0" w:color="auto"/>
        <w:right w:val="none" w:sz="0" w:space="0" w:color="auto"/>
      </w:divBdr>
    </w:div>
    <w:div w:id="499200129">
      <w:bodyDiv w:val="1"/>
      <w:marLeft w:val="0"/>
      <w:marRight w:val="0"/>
      <w:marTop w:val="0"/>
      <w:marBottom w:val="0"/>
      <w:divBdr>
        <w:top w:val="none" w:sz="0" w:space="0" w:color="auto"/>
        <w:left w:val="none" w:sz="0" w:space="0" w:color="auto"/>
        <w:bottom w:val="none" w:sz="0" w:space="0" w:color="auto"/>
        <w:right w:val="none" w:sz="0" w:space="0" w:color="auto"/>
      </w:divBdr>
    </w:div>
    <w:div w:id="504593754">
      <w:bodyDiv w:val="1"/>
      <w:marLeft w:val="0"/>
      <w:marRight w:val="0"/>
      <w:marTop w:val="0"/>
      <w:marBottom w:val="0"/>
      <w:divBdr>
        <w:top w:val="none" w:sz="0" w:space="0" w:color="auto"/>
        <w:left w:val="none" w:sz="0" w:space="0" w:color="auto"/>
        <w:bottom w:val="none" w:sz="0" w:space="0" w:color="auto"/>
        <w:right w:val="none" w:sz="0" w:space="0" w:color="auto"/>
      </w:divBdr>
    </w:div>
    <w:div w:id="508105859">
      <w:bodyDiv w:val="1"/>
      <w:marLeft w:val="0"/>
      <w:marRight w:val="0"/>
      <w:marTop w:val="0"/>
      <w:marBottom w:val="0"/>
      <w:divBdr>
        <w:top w:val="none" w:sz="0" w:space="0" w:color="auto"/>
        <w:left w:val="none" w:sz="0" w:space="0" w:color="auto"/>
        <w:bottom w:val="none" w:sz="0" w:space="0" w:color="auto"/>
        <w:right w:val="none" w:sz="0" w:space="0" w:color="auto"/>
      </w:divBdr>
    </w:div>
    <w:div w:id="508758418">
      <w:bodyDiv w:val="1"/>
      <w:marLeft w:val="0"/>
      <w:marRight w:val="0"/>
      <w:marTop w:val="0"/>
      <w:marBottom w:val="0"/>
      <w:divBdr>
        <w:top w:val="none" w:sz="0" w:space="0" w:color="auto"/>
        <w:left w:val="none" w:sz="0" w:space="0" w:color="auto"/>
        <w:bottom w:val="none" w:sz="0" w:space="0" w:color="auto"/>
        <w:right w:val="none" w:sz="0" w:space="0" w:color="auto"/>
      </w:divBdr>
    </w:div>
    <w:div w:id="508832643">
      <w:bodyDiv w:val="1"/>
      <w:marLeft w:val="0"/>
      <w:marRight w:val="0"/>
      <w:marTop w:val="0"/>
      <w:marBottom w:val="0"/>
      <w:divBdr>
        <w:top w:val="none" w:sz="0" w:space="0" w:color="auto"/>
        <w:left w:val="none" w:sz="0" w:space="0" w:color="auto"/>
        <w:bottom w:val="none" w:sz="0" w:space="0" w:color="auto"/>
        <w:right w:val="none" w:sz="0" w:space="0" w:color="auto"/>
      </w:divBdr>
    </w:div>
    <w:div w:id="519591484">
      <w:bodyDiv w:val="1"/>
      <w:marLeft w:val="0"/>
      <w:marRight w:val="0"/>
      <w:marTop w:val="0"/>
      <w:marBottom w:val="0"/>
      <w:divBdr>
        <w:top w:val="none" w:sz="0" w:space="0" w:color="auto"/>
        <w:left w:val="none" w:sz="0" w:space="0" w:color="auto"/>
        <w:bottom w:val="none" w:sz="0" w:space="0" w:color="auto"/>
        <w:right w:val="none" w:sz="0" w:space="0" w:color="auto"/>
      </w:divBdr>
    </w:div>
    <w:div w:id="521745941">
      <w:bodyDiv w:val="1"/>
      <w:marLeft w:val="0"/>
      <w:marRight w:val="0"/>
      <w:marTop w:val="0"/>
      <w:marBottom w:val="0"/>
      <w:divBdr>
        <w:top w:val="none" w:sz="0" w:space="0" w:color="auto"/>
        <w:left w:val="none" w:sz="0" w:space="0" w:color="auto"/>
        <w:bottom w:val="none" w:sz="0" w:space="0" w:color="auto"/>
        <w:right w:val="none" w:sz="0" w:space="0" w:color="auto"/>
      </w:divBdr>
    </w:div>
    <w:div w:id="523134163">
      <w:bodyDiv w:val="1"/>
      <w:marLeft w:val="0"/>
      <w:marRight w:val="0"/>
      <w:marTop w:val="0"/>
      <w:marBottom w:val="0"/>
      <w:divBdr>
        <w:top w:val="none" w:sz="0" w:space="0" w:color="auto"/>
        <w:left w:val="none" w:sz="0" w:space="0" w:color="auto"/>
        <w:bottom w:val="none" w:sz="0" w:space="0" w:color="auto"/>
        <w:right w:val="none" w:sz="0" w:space="0" w:color="auto"/>
      </w:divBdr>
    </w:div>
    <w:div w:id="526214076">
      <w:bodyDiv w:val="1"/>
      <w:marLeft w:val="0"/>
      <w:marRight w:val="0"/>
      <w:marTop w:val="0"/>
      <w:marBottom w:val="0"/>
      <w:divBdr>
        <w:top w:val="none" w:sz="0" w:space="0" w:color="auto"/>
        <w:left w:val="none" w:sz="0" w:space="0" w:color="auto"/>
        <w:bottom w:val="none" w:sz="0" w:space="0" w:color="auto"/>
        <w:right w:val="none" w:sz="0" w:space="0" w:color="auto"/>
      </w:divBdr>
    </w:div>
    <w:div w:id="526451008">
      <w:bodyDiv w:val="1"/>
      <w:marLeft w:val="0"/>
      <w:marRight w:val="0"/>
      <w:marTop w:val="0"/>
      <w:marBottom w:val="0"/>
      <w:divBdr>
        <w:top w:val="none" w:sz="0" w:space="0" w:color="auto"/>
        <w:left w:val="none" w:sz="0" w:space="0" w:color="auto"/>
        <w:bottom w:val="none" w:sz="0" w:space="0" w:color="auto"/>
        <w:right w:val="none" w:sz="0" w:space="0" w:color="auto"/>
      </w:divBdr>
    </w:div>
    <w:div w:id="536164867">
      <w:bodyDiv w:val="1"/>
      <w:marLeft w:val="0"/>
      <w:marRight w:val="0"/>
      <w:marTop w:val="0"/>
      <w:marBottom w:val="0"/>
      <w:divBdr>
        <w:top w:val="none" w:sz="0" w:space="0" w:color="auto"/>
        <w:left w:val="none" w:sz="0" w:space="0" w:color="auto"/>
        <w:bottom w:val="none" w:sz="0" w:space="0" w:color="auto"/>
        <w:right w:val="none" w:sz="0" w:space="0" w:color="auto"/>
      </w:divBdr>
    </w:div>
    <w:div w:id="537667532">
      <w:bodyDiv w:val="1"/>
      <w:marLeft w:val="0"/>
      <w:marRight w:val="0"/>
      <w:marTop w:val="0"/>
      <w:marBottom w:val="0"/>
      <w:divBdr>
        <w:top w:val="none" w:sz="0" w:space="0" w:color="auto"/>
        <w:left w:val="none" w:sz="0" w:space="0" w:color="auto"/>
        <w:bottom w:val="none" w:sz="0" w:space="0" w:color="auto"/>
        <w:right w:val="none" w:sz="0" w:space="0" w:color="auto"/>
      </w:divBdr>
    </w:div>
    <w:div w:id="538007292">
      <w:bodyDiv w:val="1"/>
      <w:marLeft w:val="0"/>
      <w:marRight w:val="0"/>
      <w:marTop w:val="0"/>
      <w:marBottom w:val="0"/>
      <w:divBdr>
        <w:top w:val="none" w:sz="0" w:space="0" w:color="auto"/>
        <w:left w:val="none" w:sz="0" w:space="0" w:color="auto"/>
        <w:bottom w:val="none" w:sz="0" w:space="0" w:color="auto"/>
        <w:right w:val="none" w:sz="0" w:space="0" w:color="auto"/>
      </w:divBdr>
    </w:div>
    <w:div w:id="539442862">
      <w:bodyDiv w:val="1"/>
      <w:marLeft w:val="0"/>
      <w:marRight w:val="0"/>
      <w:marTop w:val="0"/>
      <w:marBottom w:val="0"/>
      <w:divBdr>
        <w:top w:val="none" w:sz="0" w:space="0" w:color="auto"/>
        <w:left w:val="none" w:sz="0" w:space="0" w:color="auto"/>
        <w:bottom w:val="none" w:sz="0" w:space="0" w:color="auto"/>
        <w:right w:val="none" w:sz="0" w:space="0" w:color="auto"/>
      </w:divBdr>
    </w:div>
    <w:div w:id="543954686">
      <w:bodyDiv w:val="1"/>
      <w:marLeft w:val="0"/>
      <w:marRight w:val="0"/>
      <w:marTop w:val="0"/>
      <w:marBottom w:val="0"/>
      <w:divBdr>
        <w:top w:val="none" w:sz="0" w:space="0" w:color="auto"/>
        <w:left w:val="none" w:sz="0" w:space="0" w:color="auto"/>
        <w:bottom w:val="none" w:sz="0" w:space="0" w:color="auto"/>
        <w:right w:val="none" w:sz="0" w:space="0" w:color="auto"/>
      </w:divBdr>
    </w:div>
    <w:div w:id="544173162">
      <w:bodyDiv w:val="1"/>
      <w:marLeft w:val="0"/>
      <w:marRight w:val="0"/>
      <w:marTop w:val="0"/>
      <w:marBottom w:val="0"/>
      <w:divBdr>
        <w:top w:val="none" w:sz="0" w:space="0" w:color="auto"/>
        <w:left w:val="none" w:sz="0" w:space="0" w:color="auto"/>
        <w:bottom w:val="none" w:sz="0" w:space="0" w:color="auto"/>
        <w:right w:val="none" w:sz="0" w:space="0" w:color="auto"/>
      </w:divBdr>
    </w:div>
    <w:div w:id="544563105">
      <w:bodyDiv w:val="1"/>
      <w:marLeft w:val="0"/>
      <w:marRight w:val="0"/>
      <w:marTop w:val="0"/>
      <w:marBottom w:val="0"/>
      <w:divBdr>
        <w:top w:val="none" w:sz="0" w:space="0" w:color="auto"/>
        <w:left w:val="none" w:sz="0" w:space="0" w:color="auto"/>
        <w:bottom w:val="none" w:sz="0" w:space="0" w:color="auto"/>
        <w:right w:val="none" w:sz="0" w:space="0" w:color="auto"/>
      </w:divBdr>
    </w:div>
    <w:div w:id="545340861">
      <w:bodyDiv w:val="1"/>
      <w:marLeft w:val="0"/>
      <w:marRight w:val="0"/>
      <w:marTop w:val="0"/>
      <w:marBottom w:val="0"/>
      <w:divBdr>
        <w:top w:val="none" w:sz="0" w:space="0" w:color="auto"/>
        <w:left w:val="none" w:sz="0" w:space="0" w:color="auto"/>
        <w:bottom w:val="none" w:sz="0" w:space="0" w:color="auto"/>
        <w:right w:val="none" w:sz="0" w:space="0" w:color="auto"/>
      </w:divBdr>
    </w:div>
    <w:div w:id="546143511">
      <w:bodyDiv w:val="1"/>
      <w:marLeft w:val="0"/>
      <w:marRight w:val="0"/>
      <w:marTop w:val="0"/>
      <w:marBottom w:val="0"/>
      <w:divBdr>
        <w:top w:val="none" w:sz="0" w:space="0" w:color="auto"/>
        <w:left w:val="none" w:sz="0" w:space="0" w:color="auto"/>
        <w:bottom w:val="none" w:sz="0" w:space="0" w:color="auto"/>
        <w:right w:val="none" w:sz="0" w:space="0" w:color="auto"/>
      </w:divBdr>
    </w:div>
    <w:div w:id="553855202">
      <w:bodyDiv w:val="1"/>
      <w:marLeft w:val="0"/>
      <w:marRight w:val="0"/>
      <w:marTop w:val="0"/>
      <w:marBottom w:val="0"/>
      <w:divBdr>
        <w:top w:val="none" w:sz="0" w:space="0" w:color="auto"/>
        <w:left w:val="none" w:sz="0" w:space="0" w:color="auto"/>
        <w:bottom w:val="none" w:sz="0" w:space="0" w:color="auto"/>
        <w:right w:val="none" w:sz="0" w:space="0" w:color="auto"/>
      </w:divBdr>
    </w:div>
    <w:div w:id="553977783">
      <w:bodyDiv w:val="1"/>
      <w:marLeft w:val="0"/>
      <w:marRight w:val="0"/>
      <w:marTop w:val="0"/>
      <w:marBottom w:val="0"/>
      <w:divBdr>
        <w:top w:val="none" w:sz="0" w:space="0" w:color="auto"/>
        <w:left w:val="none" w:sz="0" w:space="0" w:color="auto"/>
        <w:bottom w:val="none" w:sz="0" w:space="0" w:color="auto"/>
        <w:right w:val="none" w:sz="0" w:space="0" w:color="auto"/>
      </w:divBdr>
    </w:div>
    <w:div w:id="554660122">
      <w:bodyDiv w:val="1"/>
      <w:marLeft w:val="0"/>
      <w:marRight w:val="0"/>
      <w:marTop w:val="0"/>
      <w:marBottom w:val="0"/>
      <w:divBdr>
        <w:top w:val="none" w:sz="0" w:space="0" w:color="auto"/>
        <w:left w:val="none" w:sz="0" w:space="0" w:color="auto"/>
        <w:bottom w:val="none" w:sz="0" w:space="0" w:color="auto"/>
        <w:right w:val="none" w:sz="0" w:space="0" w:color="auto"/>
      </w:divBdr>
    </w:div>
    <w:div w:id="565646480">
      <w:bodyDiv w:val="1"/>
      <w:marLeft w:val="0"/>
      <w:marRight w:val="0"/>
      <w:marTop w:val="0"/>
      <w:marBottom w:val="0"/>
      <w:divBdr>
        <w:top w:val="none" w:sz="0" w:space="0" w:color="auto"/>
        <w:left w:val="none" w:sz="0" w:space="0" w:color="auto"/>
        <w:bottom w:val="none" w:sz="0" w:space="0" w:color="auto"/>
        <w:right w:val="none" w:sz="0" w:space="0" w:color="auto"/>
      </w:divBdr>
    </w:div>
    <w:div w:id="566499385">
      <w:bodyDiv w:val="1"/>
      <w:marLeft w:val="0"/>
      <w:marRight w:val="0"/>
      <w:marTop w:val="0"/>
      <w:marBottom w:val="0"/>
      <w:divBdr>
        <w:top w:val="none" w:sz="0" w:space="0" w:color="auto"/>
        <w:left w:val="none" w:sz="0" w:space="0" w:color="auto"/>
        <w:bottom w:val="none" w:sz="0" w:space="0" w:color="auto"/>
        <w:right w:val="none" w:sz="0" w:space="0" w:color="auto"/>
      </w:divBdr>
    </w:div>
    <w:div w:id="571039306">
      <w:bodyDiv w:val="1"/>
      <w:marLeft w:val="0"/>
      <w:marRight w:val="0"/>
      <w:marTop w:val="0"/>
      <w:marBottom w:val="0"/>
      <w:divBdr>
        <w:top w:val="none" w:sz="0" w:space="0" w:color="auto"/>
        <w:left w:val="none" w:sz="0" w:space="0" w:color="auto"/>
        <w:bottom w:val="none" w:sz="0" w:space="0" w:color="auto"/>
        <w:right w:val="none" w:sz="0" w:space="0" w:color="auto"/>
      </w:divBdr>
    </w:div>
    <w:div w:id="572743164">
      <w:bodyDiv w:val="1"/>
      <w:marLeft w:val="0"/>
      <w:marRight w:val="0"/>
      <w:marTop w:val="0"/>
      <w:marBottom w:val="0"/>
      <w:divBdr>
        <w:top w:val="none" w:sz="0" w:space="0" w:color="auto"/>
        <w:left w:val="none" w:sz="0" w:space="0" w:color="auto"/>
        <w:bottom w:val="none" w:sz="0" w:space="0" w:color="auto"/>
        <w:right w:val="none" w:sz="0" w:space="0" w:color="auto"/>
      </w:divBdr>
    </w:div>
    <w:div w:id="574752451">
      <w:bodyDiv w:val="1"/>
      <w:marLeft w:val="0"/>
      <w:marRight w:val="0"/>
      <w:marTop w:val="0"/>
      <w:marBottom w:val="0"/>
      <w:divBdr>
        <w:top w:val="none" w:sz="0" w:space="0" w:color="auto"/>
        <w:left w:val="none" w:sz="0" w:space="0" w:color="auto"/>
        <w:bottom w:val="none" w:sz="0" w:space="0" w:color="auto"/>
        <w:right w:val="none" w:sz="0" w:space="0" w:color="auto"/>
      </w:divBdr>
    </w:div>
    <w:div w:id="578637319">
      <w:bodyDiv w:val="1"/>
      <w:marLeft w:val="0"/>
      <w:marRight w:val="0"/>
      <w:marTop w:val="0"/>
      <w:marBottom w:val="0"/>
      <w:divBdr>
        <w:top w:val="none" w:sz="0" w:space="0" w:color="auto"/>
        <w:left w:val="none" w:sz="0" w:space="0" w:color="auto"/>
        <w:bottom w:val="none" w:sz="0" w:space="0" w:color="auto"/>
        <w:right w:val="none" w:sz="0" w:space="0" w:color="auto"/>
      </w:divBdr>
    </w:div>
    <w:div w:id="588079609">
      <w:bodyDiv w:val="1"/>
      <w:marLeft w:val="0"/>
      <w:marRight w:val="0"/>
      <w:marTop w:val="0"/>
      <w:marBottom w:val="0"/>
      <w:divBdr>
        <w:top w:val="none" w:sz="0" w:space="0" w:color="auto"/>
        <w:left w:val="none" w:sz="0" w:space="0" w:color="auto"/>
        <w:bottom w:val="none" w:sz="0" w:space="0" w:color="auto"/>
        <w:right w:val="none" w:sz="0" w:space="0" w:color="auto"/>
      </w:divBdr>
    </w:div>
    <w:div w:id="589049584">
      <w:bodyDiv w:val="1"/>
      <w:marLeft w:val="0"/>
      <w:marRight w:val="0"/>
      <w:marTop w:val="0"/>
      <w:marBottom w:val="0"/>
      <w:divBdr>
        <w:top w:val="none" w:sz="0" w:space="0" w:color="auto"/>
        <w:left w:val="none" w:sz="0" w:space="0" w:color="auto"/>
        <w:bottom w:val="none" w:sz="0" w:space="0" w:color="auto"/>
        <w:right w:val="none" w:sz="0" w:space="0" w:color="auto"/>
      </w:divBdr>
    </w:div>
    <w:div w:id="590048888">
      <w:bodyDiv w:val="1"/>
      <w:marLeft w:val="0"/>
      <w:marRight w:val="0"/>
      <w:marTop w:val="0"/>
      <w:marBottom w:val="0"/>
      <w:divBdr>
        <w:top w:val="none" w:sz="0" w:space="0" w:color="auto"/>
        <w:left w:val="none" w:sz="0" w:space="0" w:color="auto"/>
        <w:bottom w:val="none" w:sz="0" w:space="0" w:color="auto"/>
        <w:right w:val="none" w:sz="0" w:space="0" w:color="auto"/>
      </w:divBdr>
    </w:div>
    <w:div w:id="592668041">
      <w:bodyDiv w:val="1"/>
      <w:marLeft w:val="0"/>
      <w:marRight w:val="0"/>
      <w:marTop w:val="0"/>
      <w:marBottom w:val="0"/>
      <w:divBdr>
        <w:top w:val="none" w:sz="0" w:space="0" w:color="auto"/>
        <w:left w:val="none" w:sz="0" w:space="0" w:color="auto"/>
        <w:bottom w:val="none" w:sz="0" w:space="0" w:color="auto"/>
        <w:right w:val="none" w:sz="0" w:space="0" w:color="auto"/>
      </w:divBdr>
    </w:div>
    <w:div w:id="592780014">
      <w:bodyDiv w:val="1"/>
      <w:marLeft w:val="0"/>
      <w:marRight w:val="0"/>
      <w:marTop w:val="0"/>
      <w:marBottom w:val="0"/>
      <w:divBdr>
        <w:top w:val="none" w:sz="0" w:space="0" w:color="auto"/>
        <w:left w:val="none" w:sz="0" w:space="0" w:color="auto"/>
        <w:bottom w:val="none" w:sz="0" w:space="0" w:color="auto"/>
        <w:right w:val="none" w:sz="0" w:space="0" w:color="auto"/>
      </w:divBdr>
    </w:div>
    <w:div w:id="601956500">
      <w:bodyDiv w:val="1"/>
      <w:marLeft w:val="0"/>
      <w:marRight w:val="0"/>
      <w:marTop w:val="0"/>
      <w:marBottom w:val="0"/>
      <w:divBdr>
        <w:top w:val="none" w:sz="0" w:space="0" w:color="auto"/>
        <w:left w:val="none" w:sz="0" w:space="0" w:color="auto"/>
        <w:bottom w:val="none" w:sz="0" w:space="0" w:color="auto"/>
        <w:right w:val="none" w:sz="0" w:space="0" w:color="auto"/>
      </w:divBdr>
    </w:div>
    <w:div w:id="602415699">
      <w:bodyDiv w:val="1"/>
      <w:marLeft w:val="0"/>
      <w:marRight w:val="0"/>
      <w:marTop w:val="0"/>
      <w:marBottom w:val="0"/>
      <w:divBdr>
        <w:top w:val="none" w:sz="0" w:space="0" w:color="auto"/>
        <w:left w:val="none" w:sz="0" w:space="0" w:color="auto"/>
        <w:bottom w:val="none" w:sz="0" w:space="0" w:color="auto"/>
        <w:right w:val="none" w:sz="0" w:space="0" w:color="auto"/>
      </w:divBdr>
    </w:div>
    <w:div w:id="606079251">
      <w:bodyDiv w:val="1"/>
      <w:marLeft w:val="0"/>
      <w:marRight w:val="0"/>
      <w:marTop w:val="0"/>
      <w:marBottom w:val="0"/>
      <w:divBdr>
        <w:top w:val="none" w:sz="0" w:space="0" w:color="auto"/>
        <w:left w:val="none" w:sz="0" w:space="0" w:color="auto"/>
        <w:bottom w:val="none" w:sz="0" w:space="0" w:color="auto"/>
        <w:right w:val="none" w:sz="0" w:space="0" w:color="auto"/>
      </w:divBdr>
    </w:div>
    <w:div w:id="610403674">
      <w:bodyDiv w:val="1"/>
      <w:marLeft w:val="0"/>
      <w:marRight w:val="0"/>
      <w:marTop w:val="0"/>
      <w:marBottom w:val="0"/>
      <w:divBdr>
        <w:top w:val="none" w:sz="0" w:space="0" w:color="auto"/>
        <w:left w:val="none" w:sz="0" w:space="0" w:color="auto"/>
        <w:bottom w:val="none" w:sz="0" w:space="0" w:color="auto"/>
        <w:right w:val="none" w:sz="0" w:space="0" w:color="auto"/>
      </w:divBdr>
    </w:div>
    <w:div w:id="610744059">
      <w:bodyDiv w:val="1"/>
      <w:marLeft w:val="0"/>
      <w:marRight w:val="0"/>
      <w:marTop w:val="0"/>
      <w:marBottom w:val="0"/>
      <w:divBdr>
        <w:top w:val="none" w:sz="0" w:space="0" w:color="auto"/>
        <w:left w:val="none" w:sz="0" w:space="0" w:color="auto"/>
        <w:bottom w:val="none" w:sz="0" w:space="0" w:color="auto"/>
        <w:right w:val="none" w:sz="0" w:space="0" w:color="auto"/>
      </w:divBdr>
    </w:div>
    <w:div w:id="615253350">
      <w:bodyDiv w:val="1"/>
      <w:marLeft w:val="0"/>
      <w:marRight w:val="0"/>
      <w:marTop w:val="0"/>
      <w:marBottom w:val="0"/>
      <w:divBdr>
        <w:top w:val="none" w:sz="0" w:space="0" w:color="auto"/>
        <w:left w:val="none" w:sz="0" w:space="0" w:color="auto"/>
        <w:bottom w:val="none" w:sz="0" w:space="0" w:color="auto"/>
        <w:right w:val="none" w:sz="0" w:space="0" w:color="auto"/>
      </w:divBdr>
    </w:div>
    <w:div w:id="616909258">
      <w:bodyDiv w:val="1"/>
      <w:marLeft w:val="0"/>
      <w:marRight w:val="0"/>
      <w:marTop w:val="0"/>
      <w:marBottom w:val="0"/>
      <w:divBdr>
        <w:top w:val="none" w:sz="0" w:space="0" w:color="auto"/>
        <w:left w:val="none" w:sz="0" w:space="0" w:color="auto"/>
        <w:bottom w:val="none" w:sz="0" w:space="0" w:color="auto"/>
        <w:right w:val="none" w:sz="0" w:space="0" w:color="auto"/>
      </w:divBdr>
    </w:div>
    <w:div w:id="627319544">
      <w:bodyDiv w:val="1"/>
      <w:marLeft w:val="0"/>
      <w:marRight w:val="0"/>
      <w:marTop w:val="0"/>
      <w:marBottom w:val="0"/>
      <w:divBdr>
        <w:top w:val="none" w:sz="0" w:space="0" w:color="auto"/>
        <w:left w:val="none" w:sz="0" w:space="0" w:color="auto"/>
        <w:bottom w:val="none" w:sz="0" w:space="0" w:color="auto"/>
        <w:right w:val="none" w:sz="0" w:space="0" w:color="auto"/>
      </w:divBdr>
    </w:div>
    <w:div w:id="627593488">
      <w:bodyDiv w:val="1"/>
      <w:marLeft w:val="0"/>
      <w:marRight w:val="0"/>
      <w:marTop w:val="0"/>
      <w:marBottom w:val="0"/>
      <w:divBdr>
        <w:top w:val="none" w:sz="0" w:space="0" w:color="auto"/>
        <w:left w:val="none" w:sz="0" w:space="0" w:color="auto"/>
        <w:bottom w:val="none" w:sz="0" w:space="0" w:color="auto"/>
        <w:right w:val="none" w:sz="0" w:space="0" w:color="auto"/>
      </w:divBdr>
    </w:div>
    <w:div w:id="627781323">
      <w:bodyDiv w:val="1"/>
      <w:marLeft w:val="0"/>
      <w:marRight w:val="0"/>
      <w:marTop w:val="0"/>
      <w:marBottom w:val="0"/>
      <w:divBdr>
        <w:top w:val="none" w:sz="0" w:space="0" w:color="auto"/>
        <w:left w:val="none" w:sz="0" w:space="0" w:color="auto"/>
        <w:bottom w:val="none" w:sz="0" w:space="0" w:color="auto"/>
        <w:right w:val="none" w:sz="0" w:space="0" w:color="auto"/>
      </w:divBdr>
    </w:div>
    <w:div w:id="628901493">
      <w:bodyDiv w:val="1"/>
      <w:marLeft w:val="0"/>
      <w:marRight w:val="0"/>
      <w:marTop w:val="0"/>
      <w:marBottom w:val="0"/>
      <w:divBdr>
        <w:top w:val="none" w:sz="0" w:space="0" w:color="auto"/>
        <w:left w:val="none" w:sz="0" w:space="0" w:color="auto"/>
        <w:bottom w:val="none" w:sz="0" w:space="0" w:color="auto"/>
        <w:right w:val="none" w:sz="0" w:space="0" w:color="auto"/>
      </w:divBdr>
    </w:div>
    <w:div w:id="631980582">
      <w:bodyDiv w:val="1"/>
      <w:marLeft w:val="0"/>
      <w:marRight w:val="0"/>
      <w:marTop w:val="0"/>
      <w:marBottom w:val="0"/>
      <w:divBdr>
        <w:top w:val="none" w:sz="0" w:space="0" w:color="auto"/>
        <w:left w:val="none" w:sz="0" w:space="0" w:color="auto"/>
        <w:bottom w:val="none" w:sz="0" w:space="0" w:color="auto"/>
        <w:right w:val="none" w:sz="0" w:space="0" w:color="auto"/>
      </w:divBdr>
    </w:div>
    <w:div w:id="636764026">
      <w:bodyDiv w:val="1"/>
      <w:marLeft w:val="0"/>
      <w:marRight w:val="0"/>
      <w:marTop w:val="0"/>
      <w:marBottom w:val="0"/>
      <w:divBdr>
        <w:top w:val="none" w:sz="0" w:space="0" w:color="auto"/>
        <w:left w:val="none" w:sz="0" w:space="0" w:color="auto"/>
        <w:bottom w:val="none" w:sz="0" w:space="0" w:color="auto"/>
        <w:right w:val="none" w:sz="0" w:space="0" w:color="auto"/>
      </w:divBdr>
    </w:div>
    <w:div w:id="638145572">
      <w:bodyDiv w:val="1"/>
      <w:marLeft w:val="0"/>
      <w:marRight w:val="0"/>
      <w:marTop w:val="0"/>
      <w:marBottom w:val="0"/>
      <w:divBdr>
        <w:top w:val="none" w:sz="0" w:space="0" w:color="auto"/>
        <w:left w:val="none" w:sz="0" w:space="0" w:color="auto"/>
        <w:bottom w:val="none" w:sz="0" w:space="0" w:color="auto"/>
        <w:right w:val="none" w:sz="0" w:space="0" w:color="auto"/>
      </w:divBdr>
    </w:div>
    <w:div w:id="641621337">
      <w:bodyDiv w:val="1"/>
      <w:marLeft w:val="0"/>
      <w:marRight w:val="0"/>
      <w:marTop w:val="0"/>
      <w:marBottom w:val="0"/>
      <w:divBdr>
        <w:top w:val="none" w:sz="0" w:space="0" w:color="auto"/>
        <w:left w:val="none" w:sz="0" w:space="0" w:color="auto"/>
        <w:bottom w:val="none" w:sz="0" w:space="0" w:color="auto"/>
        <w:right w:val="none" w:sz="0" w:space="0" w:color="auto"/>
      </w:divBdr>
    </w:div>
    <w:div w:id="651641088">
      <w:bodyDiv w:val="1"/>
      <w:marLeft w:val="0"/>
      <w:marRight w:val="0"/>
      <w:marTop w:val="0"/>
      <w:marBottom w:val="0"/>
      <w:divBdr>
        <w:top w:val="none" w:sz="0" w:space="0" w:color="auto"/>
        <w:left w:val="none" w:sz="0" w:space="0" w:color="auto"/>
        <w:bottom w:val="none" w:sz="0" w:space="0" w:color="auto"/>
        <w:right w:val="none" w:sz="0" w:space="0" w:color="auto"/>
      </w:divBdr>
    </w:div>
    <w:div w:id="654916062">
      <w:bodyDiv w:val="1"/>
      <w:marLeft w:val="0"/>
      <w:marRight w:val="0"/>
      <w:marTop w:val="0"/>
      <w:marBottom w:val="0"/>
      <w:divBdr>
        <w:top w:val="none" w:sz="0" w:space="0" w:color="auto"/>
        <w:left w:val="none" w:sz="0" w:space="0" w:color="auto"/>
        <w:bottom w:val="none" w:sz="0" w:space="0" w:color="auto"/>
        <w:right w:val="none" w:sz="0" w:space="0" w:color="auto"/>
      </w:divBdr>
    </w:div>
    <w:div w:id="657029550">
      <w:bodyDiv w:val="1"/>
      <w:marLeft w:val="0"/>
      <w:marRight w:val="0"/>
      <w:marTop w:val="0"/>
      <w:marBottom w:val="0"/>
      <w:divBdr>
        <w:top w:val="none" w:sz="0" w:space="0" w:color="auto"/>
        <w:left w:val="none" w:sz="0" w:space="0" w:color="auto"/>
        <w:bottom w:val="none" w:sz="0" w:space="0" w:color="auto"/>
        <w:right w:val="none" w:sz="0" w:space="0" w:color="auto"/>
      </w:divBdr>
    </w:div>
    <w:div w:id="662667055">
      <w:bodyDiv w:val="1"/>
      <w:marLeft w:val="0"/>
      <w:marRight w:val="0"/>
      <w:marTop w:val="0"/>
      <w:marBottom w:val="0"/>
      <w:divBdr>
        <w:top w:val="none" w:sz="0" w:space="0" w:color="auto"/>
        <w:left w:val="none" w:sz="0" w:space="0" w:color="auto"/>
        <w:bottom w:val="none" w:sz="0" w:space="0" w:color="auto"/>
        <w:right w:val="none" w:sz="0" w:space="0" w:color="auto"/>
      </w:divBdr>
    </w:div>
    <w:div w:id="673915244">
      <w:bodyDiv w:val="1"/>
      <w:marLeft w:val="0"/>
      <w:marRight w:val="0"/>
      <w:marTop w:val="0"/>
      <w:marBottom w:val="0"/>
      <w:divBdr>
        <w:top w:val="none" w:sz="0" w:space="0" w:color="auto"/>
        <w:left w:val="none" w:sz="0" w:space="0" w:color="auto"/>
        <w:bottom w:val="none" w:sz="0" w:space="0" w:color="auto"/>
        <w:right w:val="none" w:sz="0" w:space="0" w:color="auto"/>
      </w:divBdr>
    </w:div>
    <w:div w:id="674301938">
      <w:bodyDiv w:val="1"/>
      <w:marLeft w:val="0"/>
      <w:marRight w:val="0"/>
      <w:marTop w:val="0"/>
      <w:marBottom w:val="0"/>
      <w:divBdr>
        <w:top w:val="none" w:sz="0" w:space="0" w:color="auto"/>
        <w:left w:val="none" w:sz="0" w:space="0" w:color="auto"/>
        <w:bottom w:val="none" w:sz="0" w:space="0" w:color="auto"/>
        <w:right w:val="none" w:sz="0" w:space="0" w:color="auto"/>
      </w:divBdr>
    </w:div>
    <w:div w:id="678115537">
      <w:bodyDiv w:val="1"/>
      <w:marLeft w:val="0"/>
      <w:marRight w:val="0"/>
      <w:marTop w:val="0"/>
      <w:marBottom w:val="0"/>
      <w:divBdr>
        <w:top w:val="none" w:sz="0" w:space="0" w:color="auto"/>
        <w:left w:val="none" w:sz="0" w:space="0" w:color="auto"/>
        <w:bottom w:val="none" w:sz="0" w:space="0" w:color="auto"/>
        <w:right w:val="none" w:sz="0" w:space="0" w:color="auto"/>
      </w:divBdr>
    </w:div>
    <w:div w:id="678848037">
      <w:bodyDiv w:val="1"/>
      <w:marLeft w:val="0"/>
      <w:marRight w:val="0"/>
      <w:marTop w:val="0"/>
      <w:marBottom w:val="0"/>
      <w:divBdr>
        <w:top w:val="none" w:sz="0" w:space="0" w:color="auto"/>
        <w:left w:val="none" w:sz="0" w:space="0" w:color="auto"/>
        <w:bottom w:val="none" w:sz="0" w:space="0" w:color="auto"/>
        <w:right w:val="none" w:sz="0" w:space="0" w:color="auto"/>
      </w:divBdr>
    </w:div>
    <w:div w:id="681012450">
      <w:bodyDiv w:val="1"/>
      <w:marLeft w:val="0"/>
      <w:marRight w:val="0"/>
      <w:marTop w:val="0"/>
      <w:marBottom w:val="0"/>
      <w:divBdr>
        <w:top w:val="none" w:sz="0" w:space="0" w:color="auto"/>
        <w:left w:val="none" w:sz="0" w:space="0" w:color="auto"/>
        <w:bottom w:val="none" w:sz="0" w:space="0" w:color="auto"/>
        <w:right w:val="none" w:sz="0" w:space="0" w:color="auto"/>
      </w:divBdr>
    </w:div>
    <w:div w:id="683476170">
      <w:bodyDiv w:val="1"/>
      <w:marLeft w:val="0"/>
      <w:marRight w:val="0"/>
      <w:marTop w:val="0"/>
      <w:marBottom w:val="0"/>
      <w:divBdr>
        <w:top w:val="none" w:sz="0" w:space="0" w:color="auto"/>
        <w:left w:val="none" w:sz="0" w:space="0" w:color="auto"/>
        <w:bottom w:val="none" w:sz="0" w:space="0" w:color="auto"/>
        <w:right w:val="none" w:sz="0" w:space="0" w:color="auto"/>
      </w:divBdr>
    </w:div>
    <w:div w:id="686446570">
      <w:bodyDiv w:val="1"/>
      <w:marLeft w:val="0"/>
      <w:marRight w:val="0"/>
      <w:marTop w:val="0"/>
      <w:marBottom w:val="0"/>
      <w:divBdr>
        <w:top w:val="none" w:sz="0" w:space="0" w:color="auto"/>
        <w:left w:val="none" w:sz="0" w:space="0" w:color="auto"/>
        <w:bottom w:val="none" w:sz="0" w:space="0" w:color="auto"/>
        <w:right w:val="none" w:sz="0" w:space="0" w:color="auto"/>
      </w:divBdr>
    </w:div>
    <w:div w:id="686753168">
      <w:bodyDiv w:val="1"/>
      <w:marLeft w:val="0"/>
      <w:marRight w:val="0"/>
      <w:marTop w:val="0"/>
      <w:marBottom w:val="0"/>
      <w:divBdr>
        <w:top w:val="none" w:sz="0" w:space="0" w:color="auto"/>
        <w:left w:val="none" w:sz="0" w:space="0" w:color="auto"/>
        <w:bottom w:val="none" w:sz="0" w:space="0" w:color="auto"/>
        <w:right w:val="none" w:sz="0" w:space="0" w:color="auto"/>
      </w:divBdr>
    </w:div>
    <w:div w:id="686758503">
      <w:bodyDiv w:val="1"/>
      <w:marLeft w:val="0"/>
      <w:marRight w:val="0"/>
      <w:marTop w:val="0"/>
      <w:marBottom w:val="0"/>
      <w:divBdr>
        <w:top w:val="none" w:sz="0" w:space="0" w:color="auto"/>
        <w:left w:val="none" w:sz="0" w:space="0" w:color="auto"/>
        <w:bottom w:val="none" w:sz="0" w:space="0" w:color="auto"/>
        <w:right w:val="none" w:sz="0" w:space="0" w:color="auto"/>
      </w:divBdr>
    </w:div>
    <w:div w:id="688338827">
      <w:bodyDiv w:val="1"/>
      <w:marLeft w:val="0"/>
      <w:marRight w:val="0"/>
      <w:marTop w:val="0"/>
      <w:marBottom w:val="0"/>
      <w:divBdr>
        <w:top w:val="none" w:sz="0" w:space="0" w:color="auto"/>
        <w:left w:val="none" w:sz="0" w:space="0" w:color="auto"/>
        <w:bottom w:val="none" w:sz="0" w:space="0" w:color="auto"/>
        <w:right w:val="none" w:sz="0" w:space="0" w:color="auto"/>
      </w:divBdr>
    </w:div>
    <w:div w:id="690375707">
      <w:bodyDiv w:val="1"/>
      <w:marLeft w:val="0"/>
      <w:marRight w:val="0"/>
      <w:marTop w:val="0"/>
      <w:marBottom w:val="0"/>
      <w:divBdr>
        <w:top w:val="none" w:sz="0" w:space="0" w:color="auto"/>
        <w:left w:val="none" w:sz="0" w:space="0" w:color="auto"/>
        <w:bottom w:val="none" w:sz="0" w:space="0" w:color="auto"/>
        <w:right w:val="none" w:sz="0" w:space="0" w:color="auto"/>
      </w:divBdr>
    </w:div>
    <w:div w:id="691149491">
      <w:bodyDiv w:val="1"/>
      <w:marLeft w:val="0"/>
      <w:marRight w:val="0"/>
      <w:marTop w:val="0"/>
      <w:marBottom w:val="0"/>
      <w:divBdr>
        <w:top w:val="none" w:sz="0" w:space="0" w:color="auto"/>
        <w:left w:val="none" w:sz="0" w:space="0" w:color="auto"/>
        <w:bottom w:val="none" w:sz="0" w:space="0" w:color="auto"/>
        <w:right w:val="none" w:sz="0" w:space="0" w:color="auto"/>
      </w:divBdr>
    </w:div>
    <w:div w:id="691957436">
      <w:bodyDiv w:val="1"/>
      <w:marLeft w:val="0"/>
      <w:marRight w:val="0"/>
      <w:marTop w:val="0"/>
      <w:marBottom w:val="0"/>
      <w:divBdr>
        <w:top w:val="none" w:sz="0" w:space="0" w:color="auto"/>
        <w:left w:val="none" w:sz="0" w:space="0" w:color="auto"/>
        <w:bottom w:val="none" w:sz="0" w:space="0" w:color="auto"/>
        <w:right w:val="none" w:sz="0" w:space="0" w:color="auto"/>
      </w:divBdr>
    </w:div>
    <w:div w:id="694692905">
      <w:bodyDiv w:val="1"/>
      <w:marLeft w:val="0"/>
      <w:marRight w:val="0"/>
      <w:marTop w:val="0"/>
      <w:marBottom w:val="0"/>
      <w:divBdr>
        <w:top w:val="none" w:sz="0" w:space="0" w:color="auto"/>
        <w:left w:val="none" w:sz="0" w:space="0" w:color="auto"/>
        <w:bottom w:val="none" w:sz="0" w:space="0" w:color="auto"/>
        <w:right w:val="none" w:sz="0" w:space="0" w:color="auto"/>
      </w:divBdr>
    </w:div>
    <w:div w:id="705368028">
      <w:bodyDiv w:val="1"/>
      <w:marLeft w:val="0"/>
      <w:marRight w:val="0"/>
      <w:marTop w:val="0"/>
      <w:marBottom w:val="0"/>
      <w:divBdr>
        <w:top w:val="none" w:sz="0" w:space="0" w:color="auto"/>
        <w:left w:val="none" w:sz="0" w:space="0" w:color="auto"/>
        <w:bottom w:val="none" w:sz="0" w:space="0" w:color="auto"/>
        <w:right w:val="none" w:sz="0" w:space="0" w:color="auto"/>
      </w:divBdr>
    </w:div>
    <w:div w:id="707291346">
      <w:bodyDiv w:val="1"/>
      <w:marLeft w:val="0"/>
      <w:marRight w:val="0"/>
      <w:marTop w:val="0"/>
      <w:marBottom w:val="0"/>
      <w:divBdr>
        <w:top w:val="none" w:sz="0" w:space="0" w:color="auto"/>
        <w:left w:val="none" w:sz="0" w:space="0" w:color="auto"/>
        <w:bottom w:val="none" w:sz="0" w:space="0" w:color="auto"/>
        <w:right w:val="none" w:sz="0" w:space="0" w:color="auto"/>
      </w:divBdr>
    </w:div>
    <w:div w:id="714814032">
      <w:bodyDiv w:val="1"/>
      <w:marLeft w:val="0"/>
      <w:marRight w:val="0"/>
      <w:marTop w:val="0"/>
      <w:marBottom w:val="0"/>
      <w:divBdr>
        <w:top w:val="none" w:sz="0" w:space="0" w:color="auto"/>
        <w:left w:val="none" w:sz="0" w:space="0" w:color="auto"/>
        <w:bottom w:val="none" w:sz="0" w:space="0" w:color="auto"/>
        <w:right w:val="none" w:sz="0" w:space="0" w:color="auto"/>
      </w:divBdr>
    </w:div>
    <w:div w:id="724528205">
      <w:bodyDiv w:val="1"/>
      <w:marLeft w:val="0"/>
      <w:marRight w:val="0"/>
      <w:marTop w:val="0"/>
      <w:marBottom w:val="0"/>
      <w:divBdr>
        <w:top w:val="none" w:sz="0" w:space="0" w:color="auto"/>
        <w:left w:val="none" w:sz="0" w:space="0" w:color="auto"/>
        <w:bottom w:val="none" w:sz="0" w:space="0" w:color="auto"/>
        <w:right w:val="none" w:sz="0" w:space="0" w:color="auto"/>
      </w:divBdr>
    </w:div>
    <w:div w:id="725879540">
      <w:bodyDiv w:val="1"/>
      <w:marLeft w:val="0"/>
      <w:marRight w:val="0"/>
      <w:marTop w:val="0"/>
      <w:marBottom w:val="0"/>
      <w:divBdr>
        <w:top w:val="none" w:sz="0" w:space="0" w:color="auto"/>
        <w:left w:val="none" w:sz="0" w:space="0" w:color="auto"/>
        <w:bottom w:val="none" w:sz="0" w:space="0" w:color="auto"/>
        <w:right w:val="none" w:sz="0" w:space="0" w:color="auto"/>
      </w:divBdr>
    </w:div>
    <w:div w:id="727345342">
      <w:bodyDiv w:val="1"/>
      <w:marLeft w:val="0"/>
      <w:marRight w:val="0"/>
      <w:marTop w:val="0"/>
      <w:marBottom w:val="0"/>
      <w:divBdr>
        <w:top w:val="none" w:sz="0" w:space="0" w:color="auto"/>
        <w:left w:val="none" w:sz="0" w:space="0" w:color="auto"/>
        <w:bottom w:val="none" w:sz="0" w:space="0" w:color="auto"/>
        <w:right w:val="none" w:sz="0" w:space="0" w:color="auto"/>
      </w:divBdr>
    </w:div>
    <w:div w:id="728646444">
      <w:bodyDiv w:val="1"/>
      <w:marLeft w:val="0"/>
      <w:marRight w:val="0"/>
      <w:marTop w:val="0"/>
      <w:marBottom w:val="0"/>
      <w:divBdr>
        <w:top w:val="none" w:sz="0" w:space="0" w:color="auto"/>
        <w:left w:val="none" w:sz="0" w:space="0" w:color="auto"/>
        <w:bottom w:val="none" w:sz="0" w:space="0" w:color="auto"/>
        <w:right w:val="none" w:sz="0" w:space="0" w:color="auto"/>
      </w:divBdr>
    </w:div>
    <w:div w:id="731779616">
      <w:bodyDiv w:val="1"/>
      <w:marLeft w:val="0"/>
      <w:marRight w:val="0"/>
      <w:marTop w:val="0"/>
      <w:marBottom w:val="0"/>
      <w:divBdr>
        <w:top w:val="none" w:sz="0" w:space="0" w:color="auto"/>
        <w:left w:val="none" w:sz="0" w:space="0" w:color="auto"/>
        <w:bottom w:val="none" w:sz="0" w:space="0" w:color="auto"/>
        <w:right w:val="none" w:sz="0" w:space="0" w:color="auto"/>
      </w:divBdr>
    </w:div>
    <w:div w:id="736047848">
      <w:bodyDiv w:val="1"/>
      <w:marLeft w:val="0"/>
      <w:marRight w:val="0"/>
      <w:marTop w:val="0"/>
      <w:marBottom w:val="0"/>
      <w:divBdr>
        <w:top w:val="none" w:sz="0" w:space="0" w:color="auto"/>
        <w:left w:val="none" w:sz="0" w:space="0" w:color="auto"/>
        <w:bottom w:val="none" w:sz="0" w:space="0" w:color="auto"/>
        <w:right w:val="none" w:sz="0" w:space="0" w:color="auto"/>
      </w:divBdr>
    </w:div>
    <w:div w:id="736510441">
      <w:bodyDiv w:val="1"/>
      <w:marLeft w:val="0"/>
      <w:marRight w:val="0"/>
      <w:marTop w:val="0"/>
      <w:marBottom w:val="0"/>
      <w:divBdr>
        <w:top w:val="none" w:sz="0" w:space="0" w:color="auto"/>
        <w:left w:val="none" w:sz="0" w:space="0" w:color="auto"/>
        <w:bottom w:val="none" w:sz="0" w:space="0" w:color="auto"/>
        <w:right w:val="none" w:sz="0" w:space="0" w:color="auto"/>
      </w:divBdr>
    </w:div>
    <w:div w:id="743529181">
      <w:bodyDiv w:val="1"/>
      <w:marLeft w:val="0"/>
      <w:marRight w:val="0"/>
      <w:marTop w:val="0"/>
      <w:marBottom w:val="0"/>
      <w:divBdr>
        <w:top w:val="none" w:sz="0" w:space="0" w:color="auto"/>
        <w:left w:val="none" w:sz="0" w:space="0" w:color="auto"/>
        <w:bottom w:val="none" w:sz="0" w:space="0" w:color="auto"/>
        <w:right w:val="none" w:sz="0" w:space="0" w:color="auto"/>
      </w:divBdr>
    </w:div>
    <w:div w:id="743994764">
      <w:bodyDiv w:val="1"/>
      <w:marLeft w:val="0"/>
      <w:marRight w:val="0"/>
      <w:marTop w:val="0"/>
      <w:marBottom w:val="0"/>
      <w:divBdr>
        <w:top w:val="none" w:sz="0" w:space="0" w:color="auto"/>
        <w:left w:val="none" w:sz="0" w:space="0" w:color="auto"/>
        <w:bottom w:val="none" w:sz="0" w:space="0" w:color="auto"/>
        <w:right w:val="none" w:sz="0" w:space="0" w:color="auto"/>
      </w:divBdr>
    </w:div>
    <w:div w:id="752052578">
      <w:bodyDiv w:val="1"/>
      <w:marLeft w:val="0"/>
      <w:marRight w:val="0"/>
      <w:marTop w:val="0"/>
      <w:marBottom w:val="0"/>
      <w:divBdr>
        <w:top w:val="none" w:sz="0" w:space="0" w:color="auto"/>
        <w:left w:val="none" w:sz="0" w:space="0" w:color="auto"/>
        <w:bottom w:val="none" w:sz="0" w:space="0" w:color="auto"/>
        <w:right w:val="none" w:sz="0" w:space="0" w:color="auto"/>
      </w:divBdr>
    </w:div>
    <w:div w:id="752119605">
      <w:bodyDiv w:val="1"/>
      <w:marLeft w:val="0"/>
      <w:marRight w:val="0"/>
      <w:marTop w:val="0"/>
      <w:marBottom w:val="0"/>
      <w:divBdr>
        <w:top w:val="none" w:sz="0" w:space="0" w:color="auto"/>
        <w:left w:val="none" w:sz="0" w:space="0" w:color="auto"/>
        <w:bottom w:val="none" w:sz="0" w:space="0" w:color="auto"/>
        <w:right w:val="none" w:sz="0" w:space="0" w:color="auto"/>
      </w:divBdr>
    </w:div>
    <w:div w:id="756440874">
      <w:bodyDiv w:val="1"/>
      <w:marLeft w:val="0"/>
      <w:marRight w:val="0"/>
      <w:marTop w:val="0"/>
      <w:marBottom w:val="0"/>
      <w:divBdr>
        <w:top w:val="none" w:sz="0" w:space="0" w:color="auto"/>
        <w:left w:val="none" w:sz="0" w:space="0" w:color="auto"/>
        <w:bottom w:val="none" w:sz="0" w:space="0" w:color="auto"/>
        <w:right w:val="none" w:sz="0" w:space="0" w:color="auto"/>
      </w:divBdr>
    </w:div>
    <w:div w:id="756748953">
      <w:bodyDiv w:val="1"/>
      <w:marLeft w:val="0"/>
      <w:marRight w:val="0"/>
      <w:marTop w:val="0"/>
      <w:marBottom w:val="0"/>
      <w:divBdr>
        <w:top w:val="none" w:sz="0" w:space="0" w:color="auto"/>
        <w:left w:val="none" w:sz="0" w:space="0" w:color="auto"/>
        <w:bottom w:val="none" w:sz="0" w:space="0" w:color="auto"/>
        <w:right w:val="none" w:sz="0" w:space="0" w:color="auto"/>
      </w:divBdr>
    </w:div>
    <w:div w:id="766460101">
      <w:bodyDiv w:val="1"/>
      <w:marLeft w:val="0"/>
      <w:marRight w:val="0"/>
      <w:marTop w:val="0"/>
      <w:marBottom w:val="0"/>
      <w:divBdr>
        <w:top w:val="none" w:sz="0" w:space="0" w:color="auto"/>
        <w:left w:val="none" w:sz="0" w:space="0" w:color="auto"/>
        <w:bottom w:val="none" w:sz="0" w:space="0" w:color="auto"/>
        <w:right w:val="none" w:sz="0" w:space="0" w:color="auto"/>
      </w:divBdr>
    </w:div>
    <w:div w:id="771895455">
      <w:bodyDiv w:val="1"/>
      <w:marLeft w:val="0"/>
      <w:marRight w:val="0"/>
      <w:marTop w:val="0"/>
      <w:marBottom w:val="0"/>
      <w:divBdr>
        <w:top w:val="none" w:sz="0" w:space="0" w:color="auto"/>
        <w:left w:val="none" w:sz="0" w:space="0" w:color="auto"/>
        <w:bottom w:val="none" w:sz="0" w:space="0" w:color="auto"/>
        <w:right w:val="none" w:sz="0" w:space="0" w:color="auto"/>
      </w:divBdr>
    </w:div>
    <w:div w:id="775978516">
      <w:bodyDiv w:val="1"/>
      <w:marLeft w:val="0"/>
      <w:marRight w:val="0"/>
      <w:marTop w:val="0"/>
      <w:marBottom w:val="0"/>
      <w:divBdr>
        <w:top w:val="none" w:sz="0" w:space="0" w:color="auto"/>
        <w:left w:val="none" w:sz="0" w:space="0" w:color="auto"/>
        <w:bottom w:val="none" w:sz="0" w:space="0" w:color="auto"/>
        <w:right w:val="none" w:sz="0" w:space="0" w:color="auto"/>
      </w:divBdr>
    </w:div>
    <w:div w:id="780297778">
      <w:bodyDiv w:val="1"/>
      <w:marLeft w:val="0"/>
      <w:marRight w:val="0"/>
      <w:marTop w:val="0"/>
      <w:marBottom w:val="0"/>
      <w:divBdr>
        <w:top w:val="none" w:sz="0" w:space="0" w:color="auto"/>
        <w:left w:val="none" w:sz="0" w:space="0" w:color="auto"/>
        <w:bottom w:val="none" w:sz="0" w:space="0" w:color="auto"/>
        <w:right w:val="none" w:sz="0" w:space="0" w:color="auto"/>
      </w:divBdr>
    </w:div>
    <w:div w:id="781068413">
      <w:bodyDiv w:val="1"/>
      <w:marLeft w:val="0"/>
      <w:marRight w:val="0"/>
      <w:marTop w:val="0"/>
      <w:marBottom w:val="0"/>
      <w:divBdr>
        <w:top w:val="none" w:sz="0" w:space="0" w:color="auto"/>
        <w:left w:val="none" w:sz="0" w:space="0" w:color="auto"/>
        <w:bottom w:val="none" w:sz="0" w:space="0" w:color="auto"/>
        <w:right w:val="none" w:sz="0" w:space="0" w:color="auto"/>
      </w:divBdr>
    </w:div>
    <w:div w:id="785349703">
      <w:bodyDiv w:val="1"/>
      <w:marLeft w:val="0"/>
      <w:marRight w:val="0"/>
      <w:marTop w:val="0"/>
      <w:marBottom w:val="0"/>
      <w:divBdr>
        <w:top w:val="none" w:sz="0" w:space="0" w:color="auto"/>
        <w:left w:val="none" w:sz="0" w:space="0" w:color="auto"/>
        <w:bottom w:val="none" w:sz="0" w:space="0" w:color="auto"/>
        <w:right w:val="none" w:sz="0" w:space="0" w:color="auto"/>
      </w:divBdr>
    </w:div>
    <w:div w:id="788400211">
      <w:bodyDiv w:val="1"/>
      <w:marLeft w:val="0"/>
      <w:marRight w:val="0"/>
      <w:marTop w:val="0"/>
      <w:marBottom w:val="0"/>
      <w:divBdr>
        <w:top w:val="none" w:sz="0" w:space="0" w:color="auto"/>
        <w:left w:val="none" w:sz="0" w:space="0" w:color="auto"/>
        <w:bottom w:val="none" w:sz="0" w:space="0" w:color="auto"/>
        <w:right w:val="none" w:sz="0" w:space="0" w:color="auto"/>
      </w:divBdr>
    </w:div>
    <w:div w:id="796534146">
      <w:bodyDiv w:val="1"/>
      <w:marLeft w:val="0"/>
      <w:marRight w:val="0"/>
      <w:marTop w:val="0"/>
      <w:marBottom w:val="0"/>
      <w:divBdr>
        <w:top w:val="none" w:sz="0" w:space="0" w:color="auto"/>
        <w:left w:val="none" w:sz="0" w:space="0" w:color="auto"/>
        <w:bottom w:val="none" w:sz="0" w:space="0" w:color="auto"/>
        <w:right w:val="none" w:sz="0" w:space="0" w:color="auto"/>
      </w:divBdr>
    </w:div>
    <w:div w:id="809715300">
      <w:bodyDiv w:val="1"/>
      <w:marLeft w:val="0"/>
      <w:marRight w:val="0"/>
      <w:marTop w:val="0"/>
      <w:marBottom w:val="0"/>
      <w:divBdr>
        <w:top w:val="none" w:sz="0" w:space="0" w:color="auto"/>
        <w:left w:val="none" w:sz="0" w:space="0" w:color="auto"/>
        <w:bottom w:val="none" w:sz="0" w:space="0" w:color="auto"/>
        <w:right w:val="none" w:sz="0" w:space="0" w:color="auto"/>
      </w:divBdr>
    </w:div>
    <w:div w:id="813254475">
      <w:bodyDiv w:val="1"/>
      <w:marLeft w:val="0"/>
      <w:marRight w:val="0"/>
      <w:marTop w:val="0"/>
      <w:marBottom w:val="0"/>
      <w:divBdr>
        <w:top w:val="none" w:sz="0" w:space="0" w:color="auto"/>
        <w:left w:val="none" w:sz="0" w:space="0" w:color="auto"/>
        <w:bottom w:val="none" w:sz="0" w:space="0" w:color="auto"/>
        <w:right w:val="none" w:sz="0" w:space="0" w:color="auto"/>
      </w:divBdr>
    </w:div>
    <w:div w:id="813911891">
      <w:bodyDiv w:val="1"/>
      <w:marLeft w:val="0"/>
      <w:marRight w:val="0"/>
      <w:marTop w:val="0"/>
      <w:marBottom w:val="0"/>
      <w:divBdr>
        <w:top w:val="none" w:sz="0" w:space="0" w:color="auto"/>
        <w:left w:val="none" w:sz="0" w:space="0" w:color="auto"/>
        <w:bottom w:val="none" w:sz="0" w:space="0" w:color="auto"/>
        <w:right w:val="none" w:sz="0" w:space="0" w:color="auto"/>
      </w:divBdr>
    </w:div>
    <w:div w:id="815339761">
      <w:bodyDiv w:val="1"/>
      <w:marLeft w:val="0"/>
      <w:marRight w:val="0"/>
      <w:marTop w:val="0"/>
      <w:marBottom w:val="0"/>
      <w:divBdr>
        <w:top w:val="none" w:sz="0" w:space="0" w:color="auto"/>
        <w:left w:val="none" w:sz="0" w:space="0" w:color="auto"/>
        <w:bottom w:val="none" w:sz="0" w:space="0" w:color="auto"/>
        <w:right w:val="none" w:sz="0" w:space="0" w:color="auto"/>
      </w:divBdr>
    </w:div>
    <w:div w:id="819275675">
      <w:bodyDiv w:val="1"/>
      <w:marLeft w:val="0"/>
      <w:marRight w:val="0"/>
      <w:marTop w:val="0"/>
      <w:marBottom w:val="0"/>
      <w:divBdr>
        <w:top w:val="none" w:sz="0" w:space="0" w:color="auto"/>
        <w:left w:val="none" w:sz="0" w:space="0" w:color="auto"/>
        <w:bottom w:val="none" w:sz="0" w:space="0" w:color="auto"/>
        <w:right w:val="none" w:sz="0" w:space="0" w:color="auto"/>
      </w:divBdr>
    </w:div>
    <w:div w:id="820198759">
      <w:bodyDiv w:val="1"/>
      <w:marLeft w:val="0"/>
      <w:marRight w:val="0"/>
      <w:marTop w:val="0"/>
      <w:marBottom w:val="0"/>
      <w:divBdr>
        <w:top w:val="none" w:sz="0" w:space="0" w:color="auto"/>
        <w:left w:val="none" w:sz="0" w:space="0" w:color="auto"/>
        <w:bottom w:val="none" w:sz="0" w:space="0" w:color="auto"/>
        <w:right w:val="none" w:sz="0" w:space="0" w:color="auto"/>
      </w:divBdr>
    </w:div>
    <w:div w:id="829098548">
      <w:bodyDiv w:val="1"/>
      <w:marLeft w:val="0"/>
      <w:marRight w:val="0"/>
      <w:marTop w:val="0"/>
      <w:marBottom w:val="0"/>
      <w:divBdr>
        <w:top w:val="none" w:sz="0" w:space="0" w:color="auto"/>
        <w:left w:val="none" w:sz="0" w:space="0" w:color="auto"/>
        <w:bottom w:val="none" w:sz="0" w:space="0" w:color="auto"/>
        <w:right w:val="none" w:sz="0" w:space="0" w:color="auto"/>
      </w:divBdr>
    </w:div>
    <w:div w:id="832066406">
      <w:bodyDiv w:val="1"/>
      <w:marLeft w:val="0"/>
      <w:marRight w:val="0"/>
      <w:marTop w:val="0"/>
      <w:marBottom w:val="0"/>
      <w:divBdr>
        <w:top w:val="none" w:sz="0" w:space="0" w:color="auto"/>
        <w:left w:val="none" w:sz="0" w:space="0" w:color="auto"/>
        <w:bottom w:val="none" w:sz="0" w:space="0" w:color="auto"/>
        <w:right w:val="none" w:sz="0" w:space="0" w:color="auto"/>
      </w:divBdr>
    </w:div>
    <w:div w:id="835076938">
      <w:bodyDiv w:val="1"/>
      <w:marLeft w:val="0"/>
      <w:marRight w:val="0"/>
      <w:marTop w:val="0"/>
      <w:marBottom w:val="0"/>
      <w:divBdr>
        <w:top w:val="none" w:sz="0" w:space="0" w:color="auto"/>
        <w:left w:val="none" w:sz="0" w:space="0" w:color="auto"/>
        <w:bottom w:val="none" w:sz="0" w:space="0" w:color="auto"/>
        <w:right w:val="none" w:sz="0" w:space="0" w:color="auto"/>
      </w:divBdr>
    </w:div>
    <w:div w:id="838810421">
      <w:bodyDiv w:val="1"/>
      <w:marLeft w:val="0"/>
      <w:marRight w:val="0"/>
      <w:marTop w:val="0"/>
      <w:marBottom w:val="0"/>
      <w:divBdr>
        <w:top w:val="none" w:sz="0" w:space="0" w:color="auto"/>
        <w:left w:val="none" w:sz="0" w:space="0" w:color="auto"/>
        <w:bottom w:val="none" w:sz="0" w:space="0" w:color="auto"/>
        <w:right w:val="none" w:sz="0" w:space="0" w:color="auto"/>
      </w:divBdr>
    </w:div>
    <w:div w:id="844708187">
      <w:bodyDiv w:val="1"/>
      <w:marLeft w:val="0"/>
      <w:marRight w:val="0"/>
      <w:marTop w:val="0"/>
      <w:marBottom w:val="0"/>
      <w:divBdr>
        <w:top w:val="none" w:sz="0" w:space="0" w:color="auto"/>
        <w:left w:val="none" w:sz="0" w:space="0" w:color="auto"/>
        <w:bottom w:val="none" w:sz="0" w:space="0" w:color="auto"/>
        <w:right w:val="none" w:sz="0" w:space="0" w:color="auto"/>
      </w:divBdr>
    </w:div>
    <w:div w:id="848106740">
      <w:bodyDiv w:val="1"/>
      <w:marLeft w:val="0"/>
      <w:marRight w:val="0"/>
      <w:marTop w:val="0"/>
      <w:marBottom w:val="0"/>
      <w:divBdr>
        <w:top w:val="none" w:sz="0" w:space="0" w:color="auto"/>
        <w:left w:val="none" w:sz="0" w:space="0" w:color="auto"/>
        <w:bottom w:val="none" w:sz="0" w:space="0" w:color="auto"/>
        <w:right w:val="none" w:sz="0" w:space="0" w:color="auto"/>
      </w:divBdr>
    </w:div>
    <w:div w:id="848642221">
      <w:bodyDiv w:val="1"/>
      <w:marLeft w:val="0"/>
      <w:marRight w:val="0"/>
      <w:marTop w:val="0"/>
      <w:marBottom w:val="0"/>
      <w:divBdr>
        <w:top w:val="none" w:sz="0" w:space="0" w:color="auto"/>
        <w:left w:val="none" w:sz="0" w:space="0" w:color="auto"/>
        <w:bottom w:val="none" w:sz="0" w:space="0" w:color="auto"/>
        <w:right w:val="none" w:sz="0" w:space="0" w:color="auto"/>
      </w:divBdr>
    </w:div>
    <w:div w:id="854926024">
      <w:bodyDiv w:val="1"/>
      <w:marLeft w:val="0"/>
      <w:marRight w:val="0"/>
      <w:marTop w:val="0"/>
      <w:marBottom w:val="0"/>
      <w:divBdr>
        <w:top w:val="none" w:sz="0" w:space="0" w:color="auto"/>
        <w:left w:val="none" w:sz="0" w:space="0" w:color="auto"/>
        <w:bottom w:val="none" w:sz="0" w:space="0" w:color="auto"/>
        <w:right w:val="none" w:sz="0" w:space="0" w:color="auto"/>
      </w:divBdr>
    </w:div>
    <w:div w:id="856426378">
      <w:bodyDiv w:val="1"/>
      <w:marLeft w:val="0"/>
      <w:marRight w:val="0"/>
      <w:marTop w:val="0"/>
      <w:marBottom w:val="0"/>
      <w:divBdr>
        <w:top w:val="none" w:sz="0" w:space="0" w:color="auto"/>
        <w:left w:val="none" w:sz="0" w:space="0" w:color="auto"/>
        <w:bottom w:val="none" w:sz="0" w:space="0" w:color="auto"/>
        <w:right w:val="none" w:sz="0" w:space="0" w:color="auto"/>
      </w:divBdr>
    </w:div>
    <w:div w:id="868492263">
      <w:bodyDiv w:val="1"/>
      <w:marLeft w:val="0"/>
      <w:marRight w:val="0"/>
      <w:marTop w:val="0"/>
      <w:marBottom w:val="0"/>
      <w:divBdr>
        <w:top w:val="none" w:sz="0" w:space="0" w:color="auto"/>
        <w:left w:val="none" w:sz="0" w:space="0" w:color="auto"/>
        <w:bottom w:val="none" w:sz="0" w:space="0" w:color="auto"/>
        <w:right w:val="none" w:sz="0" w:space="0" w:color="auto"/>
      </w:divBdr>
    </w:div>
    <w:div w:id="869995695">
      <w:bodyDiv w:val="1"/>
      <w:marLeft w:val="0"/>
      <w:marRight w:val="0"/>
      <w:marTop w:val="0"/>
      <w:marBottom w:val="0"/>
      <w:divBdr>
        <w:top w:val="none" w:sz="0" w:space="0" w:color="auto"/>
        <w:left w:val="none" w:sz="0" w:space="0" w:color="auto"/>
        <w:bottom w:val="none" w:sz="0" w:space="0" w:color="auto"/>
        <w:right w:val="none" w:sz="0" w:space="0" w:color="auto"/>
      </w:divBdr>
    </w:div>
    <w:div w:id="875891027">
      <w:bodyDiv w:val="1"/>
      <w:marLeft w:val="0"/>
      <w:marRight w:val="0"/>
      <w:marTop w:val="0"/>
      <w:marBottom w:val="0"/>
      <w:divBdr>
        <w:top w:val="none" w:sz="0" w:space="0" w:color="auto"/>
        <w:left w:val="none" w:sz="0" w:space="0" w:color="auto"/>
        <w:bottom w:val="none" w:sz="0" w:space="0" w:color="auto"/>
        <w:right w:val="none" w:sz="0" w:space="0" w:color="auto"/>
      </w:divBdr>
    </w:div>
    <w:div w:id="880821316">
      <w:bodyDiv w:val="1"/>
      <w:marLeft w:val="0"/>
      <w:marRight w:val="0"/>
      <w:marTop w:val="0"/>
      <w:marBottom w:val="0"/>
      <w:divBdr>
        <w:top w:val="none" w:sz="0" w:space="0" w:color="auto"/>
        <w:left w:val="none" w:sz="0" w:space="0" w:color="auto"/>
        <w:bottom w:val="none" w:sz="0" w:space="0" w:color="auto"/>
        <w:right w:val="none" w:sz="0" w:space="0" w:color="auto"/>
      </w:divBdr>
    </w:div>
    <w:div w:id="885222790">
      <w:bodyDiv w:val="1"/>
      <w:marLeft w:val="0"/>
      <w:marRight w:val="0"/>
      <w:marTop w:val="0"/>
      <w:marBottom w:val="0"/>
      <w:divBdr>
        <w:top w:val="none" w:sz="0" w:space="0" w:color="auto"/>
        <w:left w:val="none" w:sz="0" w:space="0" w:color="auto"/>
        <w:bottom w:val="none" w:sz="0" w:space="0" w:color="auto"/>
        <w:right w:val="none" w:sz="0" w:space="0" w:color="auto"/>
      </w:divBdr>
    </w:div>
    <w:div w:id="887453735">
      <w:bodyDiv w:val="1"/>
      <w:marLeft w:val="0"/>
      <w:marRight w:val="0"/>
      <w:marTop w:val="0"/>
      <w:marBottom w:val="0"/>
      <w:divBdr>
        <w:top w:val="none" w:sz="0" w:space="0" w:color="auto"/>
        <w:left w:val="none" w:sz="0" w:space="0" w:color="auto"/>
        <w:bottom w:val="none" w:sz="0" w:space="0" w:color="auto"/>
        <w:right w:val="none" w:sz="0" w:space="0" w:color="auto"/>
      </w:divBdr>
    </w:div>
    <w:div w:id="887687084">
      <w:bodyDiv w:val="1"/>
      <w:marLeft w:val="0"/>
      <w:marRight w:val="0"/>
      <w:marTop w:val="0"/>
      <w:marBottom w:val="0"/>
      <w:divBdr>
        <w:top w:val="none" w:sz="0" w:space="0" w:color="auto"/>
        <w:left w:val="none" w:sz="0" w:space="0" w:color="auto"/>
        <w:bottom w:val="none" w:sz="0" w:space="0" w:color="auto"/>
        <w:right w:val="none" w:sz="0" w:space="0" w:color="auto"/>
      </w:divBdr>
    </w:div>
    <w:div w:id="888808796">
      <w:bodyDiv w:val="1"/>
      <w:marLeft w:val="0"/>
      <w:marRight w:val="0"/>
      <w:marTop w:val="0"/>
      <w:marBottom w:val="0"/>
      <w:divBdr>
        <w:top w:val="none" w:sz="0" w:space="0" w:color="auto"/>
        <w:left w:val="none" w:sz="0" w:space="0" w:color="auto"/>
        <w:bottom w:val="none" w:sz="0" w:space="0" w:color="auto"/>
        <w:right w:val="none" w:sz="0" w:space="0" w:color="auto"/>
      </w:divBdr>
    </w:div>
    <w:div w:id="895043324">
      <w:bodyDiv w:val="1"/>
      <w:marLeft w:val="0"/>
      <w:marRight w:val="0"/>
      <w:marTop w:val="0"/>
      <w:marBottom w:val="0"/>
      <w:divBdr>
        <w:top w:val="none" w:sz="0" w:space="0" w:color="auto"/>
        <w:left w:val="none" w:sz="0" w:space="0" w:color="auto"/>
        <w:bottom w:val="none" w:sz="0" w:space="0" w:color="auto"/>
        <w:right w:val="none" w:sz="0" w:space="0" w:color="auto"/>
      </w:divBdr>
    </w:div>
    <w:div w:id="896357276">
      <w:bodyDiv w:val="1"/>
      <w:marLeft w:val="0"/>
      <w:marRight w:val="0"/>
      <w:marTop w:val="0"/>
      <w:marBottom w:val="0"/>
      <w:divBdr>
        <w:top w:val="none" w:sz="0" w:space="0" w:color="auto"/>
        <w:left w:val="none" w:sz="0" w:space="0" w:color="auto"/>
        <w:bottom w:val="none" w:sz="0" w:space="0" w:color="auto"/>
        <w:right w:val="none" w:sz="0" w:space="0" w:color="auto"/>
      </w:divBdr>
    </w:div>
    <w:div w:id="898323978">
      <w:bodyDiv w:val="1"/>
      <w:marLeft w:val="0"/>
      <w:marRight w:val="0"/>
      <w:marTop w:val="0"/>
      <w:marBottom w:val="0"/>
      <w:divBdr>
        <w:top w:val="none" w:sz="0" w:space="0" w:color="auto"/>
        <w:left w:val="none" w:sz="0" w:space="0" w:color="auto"/>
        <w:bottom w:val="none" w:sz="0" w:space="0" w:color="auto"/>
        <w:right w:val="none" w:sz="0" w:space="0" w:color="auto"/>
      </w:divBdr>
    </w:div>
    <w:div w:id="898707708">
      <w:bodyDiv w:val="1"/>
      <w:marLeft w:val="0"/>
      <w:marRight w:val="0"/>
      <w:marTop w:val="0"/>
      <w:marBottom w:val="0"/>
      <w:divBdr>
        <w:top w:val="none" w:sz="0" w:space="0" w:color="auto"/>
        <w:left w:val="none" w:sz="0" w:space="0" w:color="auto"/>
        <w:bottom w:val="none" w:sz="0" w:space="0" w:color="auto"/>
        <w:right w:val="none" w:sz="0" w:space="0" w:color="auto"/>
      </w:divBdr>
    </w:div>
    <w:div w:id="901984863">
      <w:bodyDiv w:val="1"/>
      <w:marLeft w:val="0"/>
      <w:marRight w:val="0"/>
      <w:marTop w:val="0"/>
      <w:marBottom w:val="0"/>
      <w:divBdr>
        <w:top w:val="none" w:sz="0" w:space="0" w:color="auto"/>
        <w:left w:val="none" w:sz="0" w:space="0" w:color="auto"/>
        <w:bottom w:val="none" w:sz="0" w:space="0" w:color="auto"/>
        <w:right w:val="none" w:sz="0" w:space="0" w:color="auto"/>
      </w:divBdr>
    </w:div>
    <w:div w:id="907884477">
      <w:bodyDiv w:val="1"/>
      <w:marLeft w:val="0"/>
      <w:marRight w:val="0"/>
      <w:marTop w:val="0"/>
      <w:marBottom w:val="0"/>
      <w:divBdr>
        <w:top w:val="none" w:sz="0" w:space="0" w:color="auto"/>
        <w:left w:val="none" w:sz="0" w:space="0" w:color="auto"/>
        <w:bottom w:val="none" w:sz="0" w:space="0" w:color="auto"/>
        <w:right w:val="none" w:sz="0" w:space="0" w:color="auto"/>
      </w:divBdr>
    </w:div>
    <w:div w:id="910844578">
      <w:bodyDiv w:val="1"/>
      <w:marLeft w:val="0"/>
      <w:marRight w:val="0"/>
      <w:marTop w:val="0"/>
      <w:marBottom w:val="0"/>
      <w:divBdr>
        <w:top w:val="none" w:sz="0" w:space="0" w:color="auto"/>
        <w:left w:val="none" w:sz="0" w:space="0" w:color="auto"/>
        <w:bottom w:val="none" w:sz="0" w:space="0" w:color="auto"/>
        <w:right w:val="none" w:sz="0" w:space="0" w:color="auto"/>
      </w:divBdr>
    </w:div>
    <w:div w:id="912087686">
      <w:bodyDiv w:val="1"/>
      <w:marLeft w:val="0"/>
      <w:marRight w:val="0"/>
      <w:marTop w:val="0"/>
      <w:marBottom w:val="0"/>
      <w:divBdr>
        <w:top w:val="none" w:sz="0" w:space="0" w:color="auto"/>
        <w:left w:val="none" w:sz="0" w:space="0" w:color="auto"/>
        <w:bottom w:val="none" w:sz="0" w:space="0" w:color="auto"/>
        <w:right w:val="none" w:sz="0" w:space="0" w:color="auto"/>
      </w:divBdr>
    </w:div>
    <w:div w:id="912543810">
      <w:bodyDiv w:val="1"/>
      <w:marLeft w:val="0"/>
      <w:marRight w:val="0"/>
      <w:marTop w:val="0"/>
      <w:marBottom w:val="0"/>
      <w:divBdr>
        <w:top w:val="none" w:sz="0" w:space="0" w:color="auto"/>
        <w:left w:val="none" w:sz="0" w:space="0" w:color="auto"/>
        <w:bottom w:val="none" w:sz="0" w:space="0" w:color="auto"/>
        <w:right w:val="none" w:sz="0" w:space="0" w:color="auto"/>
      </w:divBdr>
    </w:div>
    <w:div w:id="913391504">
      <w:bodyDiv w:val="1"/>
      <w:marLeft w:val="0"/>
      <w:marRight w:val="0"/>
      <w:marTop w:val="0"/>
      <w:marBottom w:val="0"/>
      <w:divBdr>
        <w:top w:val="none" w:sz="0" w:space="0" w:color="auto"/>
        <w:left w:val="none" w:sz="0" w:space="0" w:color="auto"/>
        <w:bottom w:val="none" w:sz="0" w:space="0" w:color="auto"/>
        <w:right w:val="none" w:sz="0" w:space="0" w:color="auto"/>
      </w:divBdr>
    </w:div>
    <w:div w:id="920944593">
      <w:bodyDiv w:val="1"/>
      <w:marLeft w:val="0"/>
      <w:marRight w:val="0"/>
      <w:marTop w:val="0"/>
      <w:marBottom w:val="0"/>
      <w:divBdr>
        <w:top w:val="none" w:sz="0" w:space="0" w:color="auto"/>
        <w:left w:val="none" w:sz="0" w:space="0" w:color="auto"/>
        <w:bottom w:val="none" w:sz="0" w:space="0" w:color="auto"/>
        <w:right w:val="none" w:sz="0" w:space="0" w:color="auto"/>
      </w:divBdr>
    </w:div>
    <w:div w:id="924920026">
      <w:bodyDiv w:val="1"/>
      <w:marLeft w:val="0"/>
      <w:marRight w:val="0"/>
      <w:marTop w:val="0"/>
      <w:marBottom w:val="0"/>
      <w:divBdr>
        <w:top w:val="none" w:sz="0" w:space="0" w:color="auto"/>
        <w:left w:val="none" w:sz="0" w:space="0" w:color="auto"/>
        <w:bottom w:val="none" w:sz="0" w:space="0" w:color="auto"/>
        <w:right w:val="none" w:sz="0" w:space="0" w:color="auto"/>
      </w:divBdr>
    </w:div>
    <w:div w:id="926424343">
      <w:bodyDiv w:val="1"/>
      <w:marLeft w:val="0"/>
      <w:marRight w:val="0"/>
      <w:marTop w:val="0"/>
      <w:marBottom w:val="0"/>
      <w:divBdr>
        <w:top w:val="none" w:sz="0" w:space="0" w:color="auto"/>
        <w:left w:val="none" w:sz="0" w:space="0" w:color="auto"/>
        <w:bottom w:val="none" w:sz="0" w:space="0" w:color="auto"/>
        <w:right w:val="none" w:sz="0" w:space="0" w:color="auto"/>
      </w:divBdr>
    </w:div>
    <w:div w:id="926768862">
      <w:bodyDiv w:val="1"/>
      <w:marLeft w:val="0"/>
      <w:marRight w:val="0"/>
      <w:marTop w:val="0"/>
      <w:marBottom w:val="0"/>
      <w:divBdr>
        <w:top w:val="none" w:sz="0" w:space="0" w:color="auto"/>
        <w:left w:val="none" w:sz="0" w:space="0" w:color="auto"/>
        <w:bottom w:val="none" w:sz="0" w:space="0" w:color="auto"/>
        <w:right w:val="none" w:sz="0" w:space="0" w:color="auto"/>
      </w:divBdr>
    </w:div>
    <w:div w:id="927232699">
      <w:bodyDiv w:val="1"/>
      <w:marLeft w:val="0"/>
      <w:marRight w:val="0"/>
      <w:marTop w:val="0"/>
      <w:marBottom w:val="0"/>
      <w:divBdr>
        <w:top w:val="none" w:sz="0" w:space="0" w:color="auto"/>
        <w:left w:val="none" w:sz="0" w:space="0" w:color="auto"/>
        <w:bottom w:val="none" w:sz="0" w:space="0" w:color="auto"/>
        <w:right w:val="none" w:sz="0" w:space="0" w:color="auto"/>
      </w:divBdr>
    </w:div>
    <w:div w:id="928267975">
      <w:bodyDiv w:val="1"/>
      <w:marLeft w:val="0"/>
      <w:marRight w:val="0"/>
      <w:marTop w:val="0"/>
      <w:marBottom w:val="0"/>
      <w:divBdr>
        <w:top w:val="none" w:sz="0" w:space="0" w:color="auto"/>
        <w:left w:val="none" w:sz="0" w:space="0" w:color="auto"/>
        <w:bottom w:val="none" w:sz="0" w:space="0" w:color="auto"/>
        <w:right w:val="none" w:sz="0" w:space="0" w:color="auto"/>
      </w:divBdr>
    </w:div>
    <w:div w:id="935796568">
      <w:bodyDiv w:val="1"/>
      <w:marLeft w:val="0"/>
      <w:marRight w:val="0"/>
      <w:marTop w:val="0"/>
      <w:marBottom w:val="0"/>
      <w:divBdr>
        <w:top w:val="none" w:sz="0" w:space="0" w:color="auto"/>
        <w:left w:val="none" w:sz="0" w:space="0" w:color="auto"/>
        <w:bottom w:val="none" w:sz="0" w:space="0" w:color="auto"/>
        <w:right w:val="none" w:sz="0" w:space="0" w:color="auto"/>
      </w:divBdr>
    </w:div>
    <w:div w:id="936987396">
      <w:bodyDiv w:val="1"/>
      <w:marLeft w:val="0"/>
      <w:marRight w:val="0"/>
      <w:marTop w:val="0"/>
      <w:marBottom w:val="0"/>
      <w:divBdr>
        <w:top w:val="none" w:sz="0" w:space="0" w:color="auto"/>
        <w:left w:val="none" w:sz="0" w:space="0" w:color="auto"/>
        <w:bottom w:val="none" w:sz="0" w:space="0" w:color="auto"/>
        <w:right w:val="none" w:sz="0" w:space="0" w:color="auto"/>
      </w:divBdr>
    </w:div>
    <w:div w:id="938368784">
      <w:bodyDiv w:val="1"/>
      <w:marLeft w:val="0"/>
      <w:marRight w:val="0"/>
      <w:marTop w:val="0"/>
      <w:marBottom w:val="0"/>
      <w:divBdr>
        <w:top w:val="none" w:sz="0" w:space="0" w:color="auto"/>
        <w:left w:val="none" w:sz="0" w:space="0" w:color="auto"/>
        <w:bottom w:val="none" w:sz="0" w:space="0" w:color="auto"/>
        <w:right w:val="none" w:sz="0" w:space="0" w:color="auto"/>
      </w:divBdr>
    </w:div>
    <w:div w:id="941380535">
      <w:bodyDiv w:val="1"/>
      <w:marLeft w:val="0"/>
      <w:marRight w:val="0"/>
      <w:marTop w:val="0"/>
      <w:marBottom w:val="0"/>
      <w:divBdr>
        <w:top w:val="none" w:sz="0" w:space="0" w:color="auto"/>
        <w:left w:val="none" w:sz="0" w:space="0" w:color="auto"/>
        <w:bottom w:val="none" w:sz="0" w:space="0" w:color="auto"/>
        <w:right w:val="none" w:sz="0" w:space="0" w:color="auto"/>
      </w:divBdr>
    </w:div>
    <w:div w:id="945885120">
      <w:bodyDiv w:val="1"/>
      <w:marLeft w:val="0"/>
      <w:marRight w:val="0"/>
      <w:marTop w:val="0"/>
      <w:marBottom w:val="0"/>
      <w:divBdr>
        <w:top w:val="none" w:sz="0" w:space="0" w:color="auto"/>
        <w:left w:val="none" w:sz="0" w:space="0" w:color="auto"/>
        <w:bottom w:val="none" w:sz="0" w:space="0" w:color="auto"/>
        <w:right w:val="none" w:sz="0" w:space="0" w:color="auto"/>
      </w:divBdr>
    </w:div>
    <w:div w:id="945892046">
      <w:bodyDiv w:val="1"/>
      <w:marLeft w:val="0"/>
      <w:marRight w:val="0"/>
      <w:marTop w:val="0"/>
      <w:marBottom w:val="0"/>
      <w:divBdr>
        <w:top w:val="none" w:sz="0" w:space="0" w:color="auto"/>
        <w:left w:val="none" w:sz="0" w:space="0" w:color="auto"/>
        <w:bottom w:val="none" w:sz="0" w:space="0" w:color="auto"/>
        <w:right w:val="none" w:sz="0" w:space="0" w:color="auto"/>
      </w:divBdr>
    </w:div>
    <w:div w:id="946935559">
      <w:bodyDiv w:val="1"/>
      <w:marLeft w:val="0"/>
      <w:marRight w:val="0"/>
      <w:marTop w:val="0"/>
      <w:marBottom w:val="0"/>
      <w:divBdr>
        <w:top w:val="none" w:sz="0" w:space="0" w:color="auto"/>
        <w:left w:val="none" w:sz="0" w:space="0" w:color="auto"/>
        <w:bottom w:val="none" w:sz="0" w:space="0" w:color="auto"/>
        <w:right w:val="none" w:sz="0" w:space="0" w:color="auto"/>
      </w:divBdr>
    </w:div>
    <w:div w:id="948974923">
      <w:bodyDiv w:val="1"/>
      <w:marLeft w:val="0"/>
      <w:marRight w:val="0"/>
      <w:marTop w:val="0"/>
      <w:marBottom w:val="0"/>
      <w:divBdr>
        <w:top w:val="none" w:sz="0" w:space="0" w:color="auto"/>
        <w:left w:val="none" w:sz="0" w:space="0" w:color="auto"/>
        <w:bottom w:val="none" w:sz="0" w:space="0" w:color="auto"/>
        <w:right w:val="none" w:sz="0" w:space="0" w:color="auto"/>
      </w:divBdr>
    </w:div>
    <w:div w:id="951670267">
      <w:bodyDiv w:val="1"/>
      <w:marLeft w:val="0"/>
      <w:marRight w:val="0"/>
      <w:marTop w:val="0"/>
      <w:marBottom w:val="0"/>
      <w:divBdr>
        <w:top w:val="none" w:sz="0" w:space="0" w:color="auto"/>
        <w:left w:val="none" w:sz="0" w:space="0" w:color="auto"/>
        <w:bottom w:val="none" w:sz="0" w:space="0" w:color="auto"/>
        <w:right w:val="none" w:sz="0" w:space="0" w:color="auto"/>
      </w:divBdr>
    </w:div>
    <w:div w:id="952902313">
      <w:bodyDiv w:val="1"/>
      <w:marLeft w:val="0"/>
      <w:marRight w:val="0"/>
      <w:marTop w:val="0"/>
      <w:marBottom w:val="0"/>
      <w:divBdr>
        <w:top w:val="none" w:sz="0" w:space="0" w:color="auto"/>
        <w:left w:val="none" w:sz="0" w:space="0" w:color="auto"/>
        <w:bottom w:val="none" w:sz="0" w:space="0" w:color="auto"/>
        <w:right w:val="none" w:sz="0" w:space="0" w:color="auto"/>
      </w:divBdr>
    </w:div>
    <w:div w:id="958492044">
      <w:bodyDiv w:val="1"/>
      <w:marLeft w:val="0"/>
      <w:marRight w:val="0"/>
      <w:marTop w:val="0"/>
      <w:marBottom w:val="0"/>
      <w:divBdr>
        <w:top w:val="none" w:sz="0" w:space="0" w:color="auto"/>
        <w:left w:val="none" w:sz="0" w:space="0" w:color="auto"/>
        <w:bottom w:val="none" w:sz="0" w:space="0" w:color="auto"/>
        <w:right w:val="none" w:sz="0" w:space="0" w:color="auto"/>
      </w:divBdr>
    </w:div>
    <w:div w:id="961837986">
      <w:bodyDiv w:val="1"/>
      <w:marLeft w:val="0"/>
      <w:marRight w:val="0"/>
      <w:marTop w:val="0"/>
      <w:marBottom w:val="0"/>
      <w:divBdr>
        <w:top w:val="none" w:sz="0" w:space="0" w:color="auto"/>
        <w:left w:val="none" w:sz="0" w:space="0" w:color="auto"/>
        <w:bottom w:val="none" w:sz="0" w:space="0" w:color="auto"/>
        <w:right w:val="none" w:sz="0" w:space="0" w:color="auto"/>
      </w:divBdr>
    </w:div>
    <w:div w:id="964458577">
      <w:bodyDiv w:val="1"/>
      <w:marLeft w:val="0"/>
      <w:marRight w:val="0"/>
      <w:marTop w:val="0"/>
      <w:marBottom w:val="0"/>
      <w:divBdr>
        <w:top w:val="none" w:sz="0" w:space="0" w:color="auto"/>
        <w:left w:val="none" w:sz="0" w:space="0" w:color="auto"/>
        <w:bottom w:val="none" w:sz="0" w:space="0" w:color="auto"/>
        <w:right w:val="none" w:sz="0" w:space="0" w:color="auto"/>
      </w:divBdr>
    </w:div>
    <w:div w:id="969285173">
      <w:bodyDiv w:val="1"/>
      <w:marLeft w:val="0"/>
      <w:marRight w:val="0"/>
      <w:marTop w:val="0"/>
      <w:marBottom w:val="0"/>
      <w:divBdr>
        <w:top w:val="none" w:sz="0" w:space="0" w:color="auto"/>
        <w:left w:val="none" w:sz="0" w:space="0" w:color="auto"/>
        <w:bottom w:val="none" w:sz="0" w:space="0" w:color="auto"/>
        <w:right w:val="none" w:sz="0" w:space="0" w:color="auto"/>
      </w:divBdr>
    </w:div>
    <w:div w:id="970985462">
      <w:bodyDiv w:val="1"/>
      <w:marLeft w:val="0"/>
      <w:marRight w:val="0"/>
      <w:marTop w:val="0"/>
      <w:marBottom w:val="0"/>
      <w:divBdr>
        <w:top w:val="none" w:sz="0" w:space="0" w:color="auto"/>
        <w:left w:val="none" w:sz="0" w:space="0" w:color="auto"/>
        <w:bottom w:val="none" w:sz="0" w:space="0" w:color="auto"/>
        <w:right w:val="none" w:sz="0" w:space="0" w:color="auto"/>
      </w:divBdr>
    </w:div>
    <w:div w:id="979961651">
      <w:bodyDiv w:val="1"/>
      <w:marLeft w:val="0"/>
      <w:marRight w:val="0"/>
      <w:marTop w:val="0"/>
      <w:marBottom w:val="0"/>
      <w:divBdr>
        <w:top w:val="none" w:sz="0" w:space="0" w:color="auto"/>
        <w:left w:val="none" w:sz="0" w:space="0" w:color="auto"/>
        <w:bottom w:val="none" w:sz="0" w:space="0" w:color="auto"/>
        <w:right w:val="none" w:sz="0" w:space="0" w:color="auto"/>
      </w:divBdr>
    </w:div>
    <w:div w:id="979967149">
      <w:bodyDiv w:val="1"/>
      <w:marLeft w:val="0"/>
      <w:marRight w:val="0"/>
      <w:marTop w:val="0"/>
      <w:marBottom w:val="0"/>
      <w:divBdr>
        <w:top w:val="none" w:sz="0" w:space="0" w:color="auto"/>
        <w:left w:val="none" w:sz="0" w:space="0" w:color="auto"/>
        <w:bottom w:val="none" w:sz="0" w:space="0" w:color="auto"/>
        <w:right w:val="none" w:sz="0" w:space="0" w:color="auto"/>
      </w:divBdr>
    </w:div>
    <w:div w:id="98651370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988249077">
      <w:bodyDiv w:val="1"/>
      <w:marLeft w:val="0"/>
      <w:marRight w:val="0"/>
      <w:marTop w:val="0"/>
      <w:marBottom w:val="0"/>
      <w:divBdr>
        <w:top w:val="none" w:sz="0" w:space="0" w:color="auto"/>
        <w:left w:val="none" w:sz="0" w:space="0" w:color="auto"/>
        <w:bottom w:val="none" w:sz="0" w:space="0" w:color="auto"/>
        <w:right w:val="none" w:sz="0" w:space="0" w:color="auto"/>
      </w:divBdr>
    </w:div>
    <w:div w:id="994722626">
      <w:bodyDiv w:val="1"/>
      <w:marLeft w:val="0"/>
      <w:marRight w:val="0"/>
      <w:marTop w:val="0"/>
      <w:marBottom w:val="0"/>
      <w:divBdr>
        <w:top w:val="none" w:sz="0" w:space="0" w:color="auto"/>
        <w:left w:val="none" w:sz="0" w:space="0" w:color="auto"/>
        <w:bottom w:val="none" w:sz="0" w:space="0" w:color="auto"/>
        <w:right w:val="none" w:sz="0" w:space="0" w:color="auto"/>
      </w:divBdr>
    </w:div>
    <w:div w:id="998383410">
      <w:bodyDiv w:val="1"/>
      <w:marLeft w:val="0"/>
      <w:marRight w:val="0"/>
      <w:marTop w:val="0"/>
      <w:marBottom w:val="0"/>
      <w:divBdr>
        <w:top w:val="none" w:sz="0" w:space="0" w:color="auto"/>
        <w:left w:val="none" w:sz="0" w:space="0" w:color="auto"/>
        <w:bottom w:val="none" w:sz="0" w:space="0" w:color="auto"/>
        <w:right w:val="none" w:sz="0" w:space="0" w:color="auto"/>
      </w:divBdr>
    </w:div>
    <w:div w:id="1003581299">
      <w:bodyDiv w:val="1"/>
      <w:marLeft w:val="0"/>
      <w:marRight w:val="0"/>
      <w:marTop w:val="0"/>
      <w:marBottom w:val="0"/>
      <w:divBdr>
        <w:top w:val="none" w:sz="0" w:space="0" w:color="auto"/>
        <w:left w:val="none" w:sz="0" w:space="0" w:color="auto"/>
        <w:bottom w:val="none" w:sz="0" w:space="0" w:color="auto"/>
        <w:right w:val="none" w:sz="0" w:space="0" w:color="auto"/>
      </w:divBdr>
    </w:div>
    <w:div w:id="1005282172">
      <w:bodyDiv w:val="1"/>
      <w:marLeft w:val="0"/>
      <w:marRight w:val="0"/>
      <w:marTop w:val="0"/>
      <w:marBottom w:val="0"/>
      <w:divBdr>
        <w:top w:val="none" w:sz="0" w:space="0" w:color="auto"/>
        <w:left w:val="none" w:sz="0" w:space="0" w:color="auto"/>
        <w:bottom w:val="none" w:sz="0" w:space="0" w:color="auto"/>
        <w:right w:val="none" w:sz="0" w:space="0" w:color="auto"/>
      </w:divBdr>
    </w:div>
    <w:div w:id="1017198822">
      <w:bodyDiv w:val="1"/>
      <w:marLeft w:val="0"/>
      <w:marRight w:val="0"/>
      <w:marTop w:val="0"/>
      <w:marBottom w:val="0"/>
      <w:divBdr>
        <w:top w:val="none" w:sz="0" w:space="0" w:color="auto"/>
        <w:left w:val="none" w:sz="0" w:space="0" w:color="auto"/>
        <w:bottom w:val="none" w:sz="0" w:space="0" w:color="auto"/>
        <w:right w:val="none" w:sz="0" w:space="0" w:color="auto"/>
      </w:divBdr>
    </w:div>
    <w:div w:id="1017775912">
      <w:bodyDiv w:val="1"/>
      <w:marLeft w:val="0"/>
      <w:marRight w:val="0"/>
      <w:marTop w:val="0"/>
      <w:marBottom w:val="0"/>
      <w:divBdr>
        <w:top w:val="none" w:sz="0" w:space="0" w:color="auto"/>
        <w:left w:val="none" w:sz="0" w:space="0" w:color="auto"/>
        <w:bottom w:val="none" w:sz="0" w:space="0" w:color="auto"/>
        <w:right w:val="none" w:sz="0" w:space="0" w:color="auto"/>
      </w:divBdr>
    </w:div>
    <w:div w:id="1018190863">
      <w:bodyDiv w:val="1"/>
      <w:marLeft w:val="0"/>
      <w:marRight w:val="0"/>
      <w:marTop w:val="0"/>
      <w:marBottom w:val="0"/>
      <w:divBdr>
        <w:top w:val="none" w:sz="0" w:space="0" w:color="auto"/>
        <w:left w:val="none" w:sz="0" w:space="0" w:color="auto"/>
        <w:bottom w:val="none" w:sz="0" w:space="0" w:color="auto"/>
        <w:right w:val="none" w:sz="0" w:space="0" w:color="auto"/>
      </w:divBdr>
    </w:div>
    <w:div w:id="1020860626">
      <w:bodyDiv w:val="1"/>
      <w:marLeft w:val="0"/>
      <w:marRight w:val="0"/>
      <w:marTop w:val="0"/>
      <w:marBottom w:val="0"/>
      <w:divBdr>
        <w:top w:val="none" w:sz="0" w:space="0" w:color="auto"/>
        <w:left w:val="none" w:sz="0" w:space="0" w:color="auto"/>
        <w:bottom w:val="none" w:sz="0" w:space="0" w:color="auto"/>
        <w:right w:val="none" w:sz="0" w:space="0" w:color="auto"/>
      </w:divBdr>
    </w:div>
    <w:div w:id="1028871785">
      <w:bodyDiv w:val="1"/>
      <w:marLeft w:val="0"/>
      <w:marRight w:val="0"/>
      <w:marTop w:val="0"/>
      <w:marBottom w:val="0"/>
      <w:divBdr>
        <w:top w:val="none" w:sz="0" w:space="0" w:color="auto"/>
        <w:left w:val="none" w:sz="0" w:space="0" w:color="auto"/>
        <w:bottom w:val="none" w:sz="0" w:space="0" w:color="auto"/>
        <w:right w:val="none" w:sz="0" w:space="0" w:color="auto"/>
      </w:divBdr>
    </w:div>
    <w:div w:id="1033920028">
      <w:bodyDiv w:val="1"/>
      <w:marLeft w:val="0"/>
      <w:marRight w:val="0"/>
      <w:marTop w:val="0"/>
      <w:marBottom w:val="0"/>
      <w:divBdr>
        <w:top w:val="none" w:sz="0" w:space="0" w:color="auto"/>
        <w:left w:val="none" w:sz="0" w:space="0" w:color="auto"/>
        <w:bottom w:val="none" w:sz="0" w:space="0" w:color="auto"/>
        <w:right w:val="none" w:sz="0" w:space="0" w:color="auto"/>
      </w:divBdr>
    </w:div>
    <w:div w:id="1055199449">
      <w:bodyDiv w:val="1"/>
      <w:marLeft w:val="0"/>
      <w:marRight w:val="0"/>
      <w:marTop w:val="0"/>
      <w:marBottom w:val="0"/>
      <w:divBdr>
        <w:top w:val="none" w:sz="0" w:space="0" w:color="auto"/>
        <w:left w:val="none" w:sz="0" w:space="0" w:color="auto"/>
        <w:bottom w:val="none" w:sz="0" w:space="0" w:color="auto"/>
        <w:right w:val="none" w:sz="0" w:space="0" w:color="auto"/>
      </w:divBdr>
    </w:div>
    <w:div w:id="1069494430">
      <w:bodyDiv w:val="1"/>
      <w:marLeft w:val="0"/>
      <w:marRight w:val="0"/>
      <w:marTop w:val="0"/>
      <w:marBottom w:val="0"/>
      <w:divBdr>
        <w:top w:val="none" w:sz="0" w:space="0" w:color="auto"/>
        <w:left w:val="none" w:sz="0" w:space="0" w:color="auto"/>
        <w:bottom w:val="none" w:sz="0" w:space="0" w:color="auto"/>
        <w:right w:val="none" w:sz="0" w:space="0" w:color="auto"/>
      </w:divBdr>
    </w:div>
    <w:div w:id="1071075914">
      <w:bodyDiv w:val="1"/>
      <w:marLeft w:val="0"/>
      <w:marRight w:val="0"/>
      <w:marTop w:val="0"/>
      <w:marBottom w:val="0"/>
      <w:divBdr>
        <w:top w:val="none" w:sz="0" w:space="0" w:color="auto"/>
        <w:left w:val="none" w:sz="0" w:space="0" w:color="auto"/>
        <w:bottom w:val="none" w:sz="0" w:space="0" w:color="auto"/>
        <w:right w:val="none" w:sz="0" w:space="0" w:color="auto"/>
      </w:divBdr>
    </w:div>
    <w:div w:id="1071269855">
      <w:bodyDiv w:val="1"/>
      <w:marLeft w:val="0"/>
      <w:marRight w:val="0"/>
      <w:marTop w:val="0"/>
      <w:marBottom w:val="0"/>
      <w:divBdr>
        <w:top w:val="none" w:sz="0" w:space="0" w:color="auto"/>
        <w:left w:val="none" w:sz="0" w:space="0" w:color="auto"/>
        <w:bottom w:val="none" w:sz="0" w:space="0" w:color="auto"/>
        <w:right w:val="none" w:sz="0" w:space="0" w:color="auto"/>
      </w:divBdr>
    </w:div>
    <w:div w:id="1078599073">
      <w:bodyDiv w:val="1"/>
      <w:marLeft w:val="0"/>
      <w:marRight w:val="0"/>
      <w:marTop w:val="0"/>
      <w:marBottom w:val="0"/>
      <w:divBdr>
        <w:top w:val="none" w:sz="0" w:space="0" w:color="auto"/>
        <w:left w:val="none" w:sz="0" w:space="0" w:color="auto"/>
        <w:bottom w:val="none" w:sz="0" w:space="0" w:color="auto"/>
        <w:right w:val="none" w:sz="0" w:space="0" w:color="auto"/>
      </w:divBdr>
    </w:div>
    <w:div w:id="1092900604">
      <w:bodyDiv w:val="1"/>
      <w:marLeft w:val="0"/>
      <w:marRight w:val="0"/>
      <w:marTop w:val="0"/>
      <w:marBottom w:val="0"/>
      <w:divBdr>
        <w:top w:val="none" w:sz="0" w:space="0" w:color="auto"/>
        <w:left w:val="none" w:sz="0" w:space="0" w:color="auto"/>
        <w:bottom w:val="none" w:sz="0" w:space="0" w:color="auto"/>
        <w:right w:val="none" w:sz="0" w:space="0" w:color="auto"/>
      </w:divBdr>
    </w:div>
    <w:div w:id="1094205682">
      <w:bodyDiv w:val="1"/>
      <w:marLeft w:val="0"/>
      <w:marRight w:val="0"/>
      <w:marTop w:val="0"/>
      <w:marBottom w:val="0"/>
      <w:divBdr>
        <w:top w:val="none" w:sz="0" w:space="0" w:color="auto"/>
        <w:left w:val="none" w:sz="0" w:space="0" w:color="auto"/>
        <w:bottom w:val="none" w:sz="0" w:space="0" w:color="auto"/>
        <w:right w:val="none" w:sz="0" w:space="0" w:color="auto"/>
      </w:divBdr>
    </w:div>
    <w:div w:id="1094714740">
      <w:bodyDiv w:val="1"/>
      <w:marLeft w:val="0"/>
      <w:marRight w:val="0"/>
      <w:marTop w:val="0"/>
      <w:marBottom w:val="0"/>
      <w:divBdr>
        <w:top w:val="none" w:sz="0" w:space="0" w:color="auto"/>
        <w:left w:val="none" w:sz="0" w:space="0" w:color="auto"/>
        <w:bottom w:val="none" w:sz="0" w:space="0" w:color="auto"/>
        <w:right w:val="none" w:sz="0" w:space="0" w:color="auto"/>
      </w:divBdr>
    </w:div>
    <w:div w:id="1099062989">
      <w:bodyDiv w:val="1"/>
      <w:marLeft w:val="0"/>
      <w:marRight w:val="0"/>
      <w:marTop w:val="0"/>
      <w:marBottom w:val="0"/>
      <w:divBdr>
        <w:top w:val="none" w:sz="0" w:space="0" w:color="auto"/>
        <w:left w:val="none" w:sz="0" w:space="0" w:color="auto"/>
        <w:bottom w:val="none" w:sz="0" w:space="0" w:color="auto"/>
        <w:right w:val="none" w:sz="0" w:space="0" w:color="auto"/>
      </w:divBdr>
    </w:div>
    <w:div w:id="1111437192">
      <w:bodyDiv w:val="1"/>
      <w:marLeft w:val="0"/>
      <w:marRight w:val="0"/>
      <w:marTop w:val="0"/>
      <w:marBottom w:val="0"/>
      <w:divBdr>
        <w:top w:val="none" w:sz="0" w:space="0" w:color="auto"/>
        <w:left w:val="none" w:sz="0" w:space="0" w:color="auto"/>
        <w:bottom w:val="none" w:sz="0" w:space="0" w:color="auto"/>
        <w:right w:val="none" w:sz="0" w:space="0" w:color="auto"/>
      </w:divBdr>
    </w:div>
    <w:div w:id="1112165676">
      <w:bodyDiv w:val="1"/>
      <w:marLeft w:val="0"/>
      <w:marRight w:val="0"/>
      <w:marTop w:val="0"/>
      <w:marBottom w:val="0"/>
      <w:divBdr>
        <w:top w:val="none" w:sz="0" w:space="0" w:color="auto"/>
        <w:left w:val="none" w:sz="0" w:space="0" w:color="auto"/>
        <w:bottom w:val="none" w:sz="0" w:space="0" w:color="auto"/>
        <w:right w:val="none" w:sz="0" w:space="0" w:color="auto"/>
      </w:divBdr>
    </w:div>
    <w:div w:id="1125925922">
      <w:bodyDiv w:val="1"/>
      <w:marLeft w:val="0"/>
      <w:marRight w:val="0"/>
      <w:marTop w:val="0"/>
      <w:marBottom w:val="0"/>
      <w:divBdr>
        <w:top w:val="none" w:sz="0" w:space="0" w:color="auto"/>
        <w:left w:val="none" w:sz="0" w:space="0" w:color="auto"/>
        <w:bottom w:val="none" w:sz="0" w:space="0" w:color="auto"/>
        <w:right w:val="none" w:sz="0" w:space="0" w:color="auto"/>
      </w:divBdr>
    </w:div>
    <w:div w:id="1126897054">
      <w:bodyDiv w:val="1"/>
      <w:marLeft w:val="0"/>
      <w:marRight w:val="0"/>
      <w:marTop w:val="0"/>
      <w:marBottom w:val="0"/>
      <w:divBdr>
        <w:top w:val="none" w:sz="0" w:space="0" w:color="auto"/>
        <w:left w:val="none" w:sz="0" w:space="0" w:color="auto"/>
        <w:bottom w:val="none" w:sz="0" w:space="0" w:color="auto"/>
        <w:right w:val="none" w:sz="0" w:space="0" w:color="auto"/>
      </w:divBdr>
    </w:div>
    <w:div w:id="1129275164">
      <w:bodyDiv w:val="1"/>
      <w:marLeft w:val="0"/>
      <w:marRight w:val="0"/>
      <w:marTop w:val="0"/>
      <w:marBottom w:val="0"/>
      <w:divBdr>
        <w:top w:val="none" w:sz="0" w:space="0" w:color="auto"/>
        <w:left w:val="none" w:sz="0" w:space="0" w:color="auto"/>
        <w:bottom w:val="none" w:sz="0" w:space="0" w:color="auto"/>
        <w:right w:val="none" w:sz="0" w:space="0" w:color="auto"/>
      </w:divBdr>
    </w:div>
    <w:div w:id="1130588269">
      <w:bodyDiv w:val="1"/>
      <w:marLeft w:val="0"/>
      <w:marRight w:val="0"/>
      <w:marTop w:val="0"/>
      <w:marBottom w:val="0"/>
      <w:divBdr>
        <w:top w:val="none" w:sz="0" w:space="0" w:color="auto"/>
        <w:left w:val="none" w:sz="0" w:space="0" w:color="auto"/>
        <w:bottom w:val="none" w:sz="0" w:space="0" w:color="auto"/>
        <w:right w:val="none" w:sz="0" w:space="0" w:color="auto"/>
      </w:divBdr>
    </w:div>
    <w:div w:id="1136414032">
      <w:bodyDiv w:val="1"/>
      <w:marLeft w:val="0"/>
      <w:marRight w:val="0"/>
      <w:marTop w:val="0"/>
      <w:marBottom w:val="0"/>
      <w:divBdr>
        <w:top w:val="none" w:sz="0" w:space="0" w:color="auto"/>
        <w:left w:val="none" w:sz="0" w:space="0" w:color="auto"/>
        <w:bottom w:val="none" w:sz="0" w:space="0" w:color="auto"/>
        <w:right w:val="none" w:sz="0" w:space="0" w:color="auto"/>
      </w:divBdr>
    </w:div>
    <w:div w:id="1140074937">
      <w:bodyDiv w:val="1"/>
      <w:marLeft w:val="0"/>
      <w:marRight w:val="0"/>
      <w:marTop w:val="0"/>
      <w:marBottom w:val="0"/>
      <w:divBdr>
        <w:top w:val="none" w:sz="0" w:space="0" w:color="auto"/>
        <w:left w:val="none" w:sz="0" w:space="0" w:color="auto"/>
        <w:bottom w:val="none" w:sz="0" w:space="0" w:color="auto"/>
        <w:right w:val="none" w:sz="0" w:space="0" w:color="auto"/>
      </w:divBdr>
    </w:div>
    <w:div w:id="1144199677">
      <w:bodyDiv w:val="1"/>
      <w:marLeft w:val="0"/>
      <w:marRight w:val="0"/>
      <w:marTop w:val="0"/>
      <w:marBottom w:val="0"/>
      <w:divBdr>
        <w:top w:val="none" w:sz="0" w:space="0" w:color="auto"/>
        <w:left w:val="none" w:sz="0" w:space="0" w:color="auto"/>
        <w:bottom w:val="none" w:sz="0" w:space="0" w:color="auto"/>
        <w:right w:val="none" w:sz="0" w:space="0" w:color="auto"/>
      </w:divBdr>
    </w:div>
    <w:div w:id="1151554864">
      <w:bodyDiv w:val="1"/>
      <w:marLeft w:val="0"/>
      <w:marRight w:val="0"/>
      <w:marTop w:val="0"/>
      <w:marBottom w:val="0"/>
      <w:divBdr>
        <w:top w:val="none" w:sz="0" w:space="0" w:color="auto"/>
        <w:left w:val="none" w:sz="0" w:space="0" w:color="auto"/>
        <w:bottom w:val="none" w:sz="0" w:space="0" w:color="auto"/>
        <w:right w:val="none" w:sz="0" w:space="0" w:color="auto"/>
      </w:divBdr>
    </w:div>
    <w:div w:id="1156649670">
      <w:bodyDiv w:val="1"/>
      <w:marLeft w:val="0"/>
      <w:marRight w:val="0"/>
      <w:marTop w:val="0"/>
      <w:marBottom w:val="0"/>
      <w:divBdr>
        <w:top w:val="none" w:sz="0" w:space="0" w:color="auto"/>
        <w:left w:val="none" w:sz="0" w:space="0" w:color="auto"/>
        <w:bottom w:val="none" w:sz="0" w:space="0" w:color="auto"/>
        <w:right w:val="none" w:sz="0" w:space="0" w:color="auto"/>
      </w:divBdr>
    </w:div>
    <w:div w:id="1156650978">
      <w:bodyDiv w:val="1"/>
      <w:marLeft w:val="0"/>
      <w:marRight w:val="0"/>
      <w:marTop w:val="0"/>
      <w:marBottom w:val="0"/>
      <w:divBdr>
        <w:top w:val="none" w:sz="0" w:space="0" w:color="auto"/>
        <w:left w:val="none" w:sz="0" w:space="0" w:color="auto"/>
        <w:bottom w:val="none" w:sz="0" w:space="0" w:color="auto"/>
        <w:right w:val="none" w:sz="0" w:space="0" w:color="auto"/>
      </w:divBdr>
    </w:div>
    <w:div w:id="1157111621">
      <w:bodyDiv w:val="1"/>
      <w:marLeft w:val="0"/>
      <w:marRight w:val="0"/>
      <w:marTop w:val="0"/>
      <w:marBottom w:val="0"/>
      <w:divBdr>
        <w:top w:val="none" w:sz="0" w:space="0" w:color="auto"/>
        <w:left w:val="none" w:sz="0" w:space="0" w:color="auto"/>
        <w:bottom w:val="none" w:sz="0" w:space="0" w:color="auto"/>
        <w:right w:val="none" w:sz="0" w:space="0" w:color="auto"/>
      </w:divBdr>
    </w:div>
    <w:div w:id="1170606951">
      <w:bodyDiv w:val="1"/>
      <w:marLeft w:val="0"/>
      <w:marRight w:val="0"/>
      <w:marTop w:val="0"/>
      <w:marBottom w:val="0"/>
      <w:divBdr>
        <w:top w:val="none" w:sz="0" w:space="0" w:color="auto"/>
        <w:left w:val="none" w:sz="0" w:space="0" w:color="auto"/>
        <w:bottom w:val="none" w:sz="0" w:space="0" w:color="auto"/>
        <w:right w:val="none" w:sz="0" w:space="0" w:color="auto"/>
      </w:divBdr>
    </w:div>
    <w:div w:id="1174493803">
      <w:bodyDiv w:val="1"/>
      <w:marLeft w:val="0"/>
      <w:marRight w:val="0"/>
      <w:marTop w:val="0"/>
      <w:marBottom w:val="0"/>
      <w:divBdr>
        <w:top w:val="none" w:sz="0" w:space="0" w:color="auto"/>
        <w:left w:val="none" w:sz="0" w:space="0" w:color="auto"/>
        <w:bottom w:val="none" w:sz="0" w:space="0" w:color="auto"/>
        <w:right w:val="none" w:sz="0" w:space="0" w:color="auto"/>
      </w:divBdr>
    </w:div>
    <w:div w:id="1175807872">
      <w:bodyDiv w:val="1"/>
      <w:marLeft w:val="0"/>
      <w:marRight w:val="0"/>
      <w:marTop w:val="0"/>
      <w:marBottom w:val="0"/>
      <w:divBdr>
        <w:top w:val="none" w:sz="0" w:space="0" w:color="auto"/>
        <w:left w:val="none" w:sz="0" w:space="0" w:color="auto"/>
        <w:bottom w:val="none" w:sz="0" w:space="0" w:color="auto"/>
        <w:right w:val="none" w:sz="0" w:space="0" w:color="auto"/>
      </w:divBdr>
    </w:div>
    <w:div w:id="1177311214">
      <w:bodyDiv w:val="1"/>
      <w:marLeft w:val="0"/>
      <w:marRight w:val="0"/>
      <w:marTop w:val="0"/>
      <w:marBottom w:val="0"/>
      <w:divBdr>
        <w:top w:val="none" w:sz="0" w:space="0" w:color="auto"/>
        <w:left w:val="none" w:sz="0" w:space="0" w:color="auto"/>
        <w:bottom w:val="none" w:sz="0" w:space="0" w:color="auto"/>
        <w:right w:val="none" w:sz="0" w:space="0" w:color="auto"/>
      </w:divBdr>
    </w:div>
    <w:div w:id="1178891394">
      <w:bodyDiv w:val="1"/>
      <w:marLeft w:val="0"/>
      <w:marRight w:val="0"/>
      <w:marTop w:val="0"/>
      <w:marBottom w:val="0"/>
      <w:divBdr>
        <w:top w:val="none" w:sz="0" w:space="0" w:color="auto"/>
        <w:left w:val="none" w:sz="0" w:space="0" w:color="auto"/>
        <w:bottom w:val="none" w:sz="0" w:space="0" w:color="auto"/>
        <w:right w:val="none" w:sz="0" w:space="0" w:color="auto"/>
      </w:divBdr>
    </w:div>
    <w:div w:id="1180924085">
      <w:bodyDiv w:val="1"/>
      <w:marLeft w:val="0"/>
      <w:marRight w:val="0"/>
      <w:marTop w:val="0"/>
      <w:marBottom w:val="0"/>
      <w:divBdr>
        <w:top w:val="none" w:sz="0" w:space="0" w:color="auto"/>
        <w:left w:val="none" w:sz="0" w:space="0" w:color="auto"/>
        <w:bottom w:val="none" w:sz="0" w:space="0" w:color="auto"/>
        <w:right w:val="none" w:sz="0" w:space="0" w:color="auto"/>
      </w:divBdr>
    </w:div>
    <w:div w:id="1190415458">
      <w:bodyDiv w:val="1"/>
      <w:marLeft w:val="0"/>
      <w:marRight w:val="0"/>
      <w:marTop w:val="0"/>
      <w:marBottom w:val="0"/>
      <w:divBdr>
        <w:top w:val="none" w:sz="0" w:space="0" w:color="auto"/>
        <w:left w:val="none" w:sz="0" w:space="0" w:color="auto"/>
        <w:bottom w:val="none" w:sz="0" w:space="0" w:color="auto"/>
        <w:right w:val="none" w:sz="0" w:space="0" w:color="auto"/>
      </w:divBdr>
    </w:div>
    <w:div w:id="1190683456">
      <w:bodyDiv w:val="1"/>
      <w:marLeft w:val="0"/>
      <w:marRight w:val="0"/>
      <w:marTop w:val="0"/>
      <w:marBottom w:val="0"/>
      <w:divBdr>
        <w:top w:val="none" w:sz="0" w:space="0" w:color="auto"/>
        <w:left w:val="none" w:sz="0" w:space="0" w:color="auto"/>
        <w:bottom w:val="none" w:sz="0" w:space="0" w:color="auto"/>
        <w:right w:val="none" w:sz="0" w:space="0" w:color="auto"/>
      </w:divBdr>
    </w:div>
    <w:div w:id="1191916228">
      <w:bodyDiv w:val="1"/>
      <w:marLeft w:val="0"/>
      <w:marRight w:val="0"/>
      <w:marTop w:val="0"/>
      <w:marBottom w:val="0"/>
      <w:divBdr>
        <w:top w:val="none" w:sz="0" w:space="0" w:color="auto"/>
        <w:left w:val="none" w:sz="0" w:space="0" w:color="auto"/>
        <w:bottom w:val="none" w:sz="0" w:space="0" w:color="auto"/>
        <w:right w:val="none" w:sz="0" w:space="0" w:color="auto"/>
      </w:divBdr>
    </w:div>
    <w:div w:id="1194879021">
      <w:bodyDiv w:val="1"/>
      <w:marLeft w:val="0"/>
      <w:marRight w:val="0"/>
      <w:marTop w:val="0"/>
      <w:marBottom w:val="0"/>
      <w:divBdr>
        <w:top w:val="none" w:sz="0" w:space="0" w:color="auto"/>
        <w:left w:val="none" w:sz="0" w:space="0" w:color="auto"/>
        <w:bottom w:val="none" w:sz="0" w:space="0" w:color="auto"/>
        <w:right w:val="none" w:sz="0" w:space="0" w:color="auto"/>
      </w:divBdr>
    </w:div>
    <w:div w:id="1201629432">
      <w:bodyDiv w:val="1"/>
      <w:marLeft w:val="0"/>
      <w:marRight w:val="0"/>
      <w:marTop w:val="0"/>
      <w:marBottom w:val="0"/>
      <w:divBdr>
        <w:top w:val="none" w:sz="0" w:space="0" w:color="auto"/>
        <w:left w:val="none" w:sz="0" w:space="0" w:color="auto"/>
        <w:bottom w:val="none" w:sz="0" w:space="0" w:color="auto"/>
        <w:right w:val="none" w:sz="0" w:space="0" w:color="auto"/>
      </w:divBdr>
    </w:div>
    <w:div w:id="1203862637">
      <w:bodyDiv w:val="1"/>
      <w:marLeft w:val="0"/>
      <w:marRight w:val="0"/>
      <w:marTop w:val="0"/>
      <w:marBottom w:val="0"/>
      <w:divBdr>
        <w:top w:val="none" w:sz="0" w:space="0" w:color="auto"/>
        <w:left w:val="none" w:sz="0" w:space="0" w:color="auto"/>
        <w:bottom w:val="none" w:sz="0" w:space="0" w:color="auto"/>
        <w:right w:val="none" w:sz="0" w:space="0" w:color="auto"/>
      </w:divBdr>
    </w:div>
    <w:div w:id="1205941175">
      <w:bodyDiv w:val="1"/>
      <w:marLeft w:val="0"/>
      <w:marRight w:val="0"/>
      <w:marTop w:val="0"/>
      <w:marBottom w:val="0"/>
      <w:divBdr>
        <w:top w:val="none" w:sz="0" w:space="0" w:color="auto"/>
        <w:left w:val="none" w:sz="0" w:space="0" w:color="auto"/>
        <w:bottom w:val="none" w:sz="0" w:space="0" w:color="auto"/>
        <w:right w:val="none" w:sz="0" w:space="0" w:color="auto"/>
      </w:divBdr>
    </w:div>
    <w:div w:id="1210604215">
      <w:bodyDiv w:val="1"/>
      <w:marLeft w:val="0"/>
      <w:marRight w:val="0"/>
      <w:marTop w:val="0"/>
      <w:marBottom w:val="0"/>
      <w:divBdr>
        <w:top w:val="none" w:sz="0" w:space="0" w:color="auto"/>
        <w:left w:val="none" w:sz="0" w:space="0" w:color="auto"/>
        <w:bottom w:val="none" w:sz="0" w:space="0" w:color="auto"/>
        <w:right w:val="none" w:sz="0" w:space="0" w:color="auto"/>
      </w:divBdr>
    </w:div>
    <w:div w:id="1212768774">
      <w:bodyDiv w:val="1"/>
      <w:marLeft w:val="0"/>
      <w:marRight w:val="0"/>
      <w:marTop w:val="0"/>
      <w:marBottom w:val="0"/>
      <w:divBdr>
        <w:top w:val="none" w:sz="0" w:space="0" w:color="auto"/>
        <w:left w:val="none" w:sz="0" w:space="0" w:color="auto"/>
        <w:bottom w:val="none" w:sz="0" w:space="0" w:color="auto"/>
        <w:right w:val="none" w:sz="0" w:space="0" w:color="auto"/>
      </w:divBdr>
    </w:div>
    <w:div w:id="1213152531">
      <w:bodyDiv w:val="1"/>
      <w:marLeft w:val="0"/>
      <w:marRight w:val="0"/>
      <w:marTop w:val="0"/>
      <w:marBottom w:val="0"/>
      <w:divBdr>
        <w:top w:val="none" w:sz="0" w:space="0" w:color="auto"/>
        <w:left w:val="none" w:sz="0" w:space="0" w:color="auto"/>
        <w:bottom w:val="none" w:sz="0" w:space="0" w:color="auto"/>
        <w:right w:val="none" w:sz="0" w:space="0" w:color="auto"/>
      </w:divBdr>
    </w:div>
    <w:div w:id="1220287777">
      <w:bodyDiv w:val="1"/>
      <w:marLeft w:val="0"/>
      <w:marRight w:val="0"/>
      <w:marTop w:val="0"/>
      <w:marBottom w:val="0"/>
      <w:divBdr>
        <w:top w:val="none" w:sz="0" w:space="0" w:color="auto"/>
        <w:left w:val="none" w:sz="0" w:space="0" w:color="auto"/>
        <w:bottom w:val="none" w:sz="0" w:space="0" w:color="auto"/>
        <w:right w:val="none" w:sz="0" w:space="0" w:color="auto"/>
      </w:divBdr>
    </w:div>
    <w:div w:id="1220820869">
      <w:bodyDiv w:val="1"/>
      <w:marLeft w:val="0"/>
      <w:marRight w:val="0"/>
      <w:marTop w:val="0"/>
      <w:marBottom w:val="0"/>
      <w:divBdr>
        <w:top w:val="none" w:sz="0" w:space="0" w:color="auto"/>
        <w:left w:val="none" w:sz="0" w:space="0" w:color="auto"/>
        <w:bottom w:val="none" w:sz="0" w:space="0" w:color="auto"/>
        <w:right w:val="none" w:sz="0" w:space="0" w:color="auto"/>
      </w:divBdr>
    </w:div>
    <w:div w:id="1223250595">
      <w:bodyDiv w:val="1"/>
      <w:marLeft w:val="0"/>
      <w:marRight w:val="0"/>
      <w:marTop w:val="0"/>
      <w:marBottom w:val="0"/>
      <w:divBdr>
        <w:top w:val="none" w:sz="0" w:space="0" w:color="auto"/>
        <w:left w:val="none" w:sz="0" w:space="0" w:color="auto"/>
        <w:bottom w:val="none" w:sz="0" w:space="0" w:color="auto"/>
        <w:right w:val="none" w:sz="0" w:space="0" w:color="auto"/>
      </w:divBdr>
    </w:div>
    <w:div w:id="1229532404">
      <w:bodyDiv w:val="1"/>
      <w:marLeft w:val="0"/>
      <w:marRight w:val="0"/>
      <w:marTop w:val="0"/>
      <w:marBottom w:val="0"/>
      <w:divBdr>
        <w:top w:val="none" w:sz="0" w:space="0" w:color="auto"/>
        <w:left w:val="none" w:sz="0" w:space="0" w:color="auto"/>
        <w:bottom w:val="none" w:sz="0" w:space="0" w:color="auto"/>
        <w:right w:val="none" w:sz="0" w:space="0" w:color="auto"/>
      </w:divBdr>
    </w:div>
    <w:div w:id="1232275337">
      <w:bodyDiv w:val="1"/>
      <w:marLeft w:val="0"/>
      <w:marRight w:val="0"/>
      <w:marTop w:val="0"/>
      <w:marBottom w:val="0"/>
      <w:divBdr>
        <w:top w:val="none" w:sz="0" w:space="0" w:color="auto"/>
        <w:left w:val="none" w:sz="0" w:space="0" w:color="auto"/>
        <w:bottom w:val="none" w:sz="0" w:space="0" w:color="auto"/>
        <w:right w:val="none" w:sz="0" w:space="0" w:color="auto"/>
      </w:divBdr>
    </w:div>
    <w:div w:id="1232619045">
      <w:bodyDiv w:val="1"/>
      <w:marLeft w:val="0"/>
      <w:marRight w:val="0"/>
      <w:marTop w:val="0"/>
      <w:marBottom w:val="0"/>
      <w:divBdr>
        <w:top w:val="none" w:sz="0" w:space="0" w:color="auto"/>
        <w:left w:val="none" w:sz="0" w:space="0" w:color="auto"/>
        <w:bottom w:val="none" w:sz="0" w:space="0" w:color="auto"/>
        <w:right w:val="none" w:sz="0" w:space="0" w:color="auto"/>
      </w:divBdr>
    </w:div>
    <w:div w:id="1234973620">
      <w:bodyDiv w:val="1"/>
      <w:marLeft w:val="0"/>
      <w:marRight w:val="0"/>
      <w:marTop w:val="0"/>
      <w:marBottom w:val="0"/>
      <w:divBdr>
        <w:top w:val="none" w:sz="0" w:space="0" w:color="auto"/>
        <w:left w:val="none" w:sz="0" w:space="0" w:color="auto"/>
        <w:bottom w:val="none" w:sz="0" w:space="0" w:color="auto"/>
        <w:right w:val="none" w:sz="0" w:space="0" w:color="auto"/>
      </w:divBdr>
    </w:div>
    <w:div w:id="1244218687">
      <w:bodyDiv w:val="1"/>
      <w:marLeft w:val="0"/>
      <w:marRight w:val="0"/>
      <w:marTop w:val="0"/>
      <w:marBottom w:val="0"/>
      <w:divBdr>
        <w:top w:val="none" w:sz="0" w:space="0" w:color="auto"/>
        <w:left w:val="none" w:sz="0" w:space="0" w:color="auto"/>
        <w:bottom w:val="none" w:sz="0" w:space="0" w:color="auto"/>
        <w:right w:val="none" w:sz="0" w:space="0" w:color="auto"/>
      </w:divBdr>
    </w:div>
    <w:div w:id="1247614795">
      <w:bodyDiv w:val="1"/>
      <w:marLeft w:val="0"/>
      <w:marRight w:val="0"/>
      <w:marTop w:val="0"/>
      <w:marBottom w:val="0"/>
      <w:divBdr>
        <w:top w:val="none" w:sz="0" w:space="0" w:color="auto"/>
        <w:left w:val="none" w:sz="0" w:space="0" w:color="auto"/>
        <w:bottom w:val="none" w:sz="0" w:space="0" w:color="auto"/>
        <w:right w:val="none" w:sz="0" w:space="0" w:color="auto"/>
      </w:divBdr>
    </w:div>
    <w:div w:id="1250037665">
      <w:bodyDiv w:val="1"/>
      <w:marLeft w:val="0"/>
      <w:marRight w:val="0"/>
      <w:marTop w:val="0"/>
      <w:marBottom w:val="0"/>
      <w:divBdr>
        <w:top w:val="none" w:sz="0" w:space="0" w:color="auto"/>
        <w:left w:val="none" w:sz="0" w:space="0" w:color="auto"/>
        <w:bottom w:val="none" w:sz="0" w:space="0" w:color="auto"/>
        <w:right w:val="none" w:sz="0" w:space="0" w:color="auto"/>
      </w:divBdr>
    </w:div>
    <w:div w:id="1252199151">
      <w:bodyDiv w:val="1"/>
      <w:marLeft w:val="0"/>
      <w:marRight w:val="0"/>
      <w:marTop w:val="0"/>
      <w:marBottom w:val="0"/>
      <w:divBdr>
        <w:top w:val="none" w:sz="0" w:space="0" w:color="auto"/>
        <w:left w:val="none" w:sz="0" w:space="0" w:color="auto"/>
        <w:bottom w:val="none" w:sz="0" w:space="0" w:color="auto"/>
        <w:right w:val="none" w:sz="0" w:space="0" w:color="auto"/>
      </w:divBdr>
    </w:div>
    <w:div w:id="1254245285">
      <w:bodyDiv w:val="1"/>
      <w:marLeft w:val="0"/>
      <w:marRight w:val="0"/>
      <w:marTop w:val="0"/>
      <w:marBottom w:val="0"/>
      <w:divBdr>
        <w:top w:val="none" w:sz="0" w:space="0" w:color="auto"/>
        <w:left w:val="none" w:sz="0" w:space="0" w:color="auto"/>
        <w:bottom w:val="none" w:sz="0" w:space="0" w:color="auto"/>
        <w:right w:val="none" w:sz="0" w:space="0" w:color="auto"/>
      </w:divBdr>
    </w:div>
    <w:div w:id="1259632137">
      <w:bodyDiv w:val="1"/>
      <w:marLeft w:val="0"/>
      <w:marRight w:val="0"/>
      <w:marTop w:val="0"/>
      <w:marBottom w:val="0"/>
      <w:divBdr>
        <w:top w:val="none" w:sz="0" w:space="0" w:color="auto"/>
        <w:left w:val="none" w:sz="0" w:space="0" w:color="auto"/>
        <w:bottom w:val="none" w:sz="0" w:space="0" w:color="auto"/>
        <w:right w:val="none" w:sz="0" w:space="0" w:color="auto"/>
      </w:divBdr>
    </w:div>
    <w:div w:id="1262177602">
      <w:bodyDiv w:val="1"/>
      <w:marLeft w:val="0"/>
      <w:marRight w:val="0"/>
      <w:marTop w:val="0"/>
      <w:marBottom w:val="0"/>
      <w:divBdr>
        <w:top w:val="none" w:sz="0" w:space="0" w:color="auto"/>
        <w:left w:val="none" w:sz="0" w:space="0" w:color="auto"/>
        <w:bottom w:val="none" w:sz="0" w:space="0" w:color="auto"/>
        <w:right w:val="none" w:sz="0" w:space="0" w:color="auto"/>
      </w:divBdr>
    </w:div>
    <w:div w:id="1268003700">
      <w:bodyDiv w:val="1"/>
      <w:marLeft w:val="0"/>
      <w:marRight w:val="0"/>
      <w:marTop w:val="0"/>
      <w:marBottom w:val="0"/>
      <w:divBdr>
        <w:top w:val="none" w:sz="0" w:space="0" w:color="auto"/>
        <w:left w:val="none" w:sz="0" w:space="0" w:color="auto"/>
        <w:bottom w:val="none" w:sz="0" w:space="0" w:color="auto"/>
        <w:right w:val="none" w:sz="0" w:space="0" w:color="auto"/>
      </w:divBdr>
    </w:div>
    <w:div w:id="1273587142">
      <w:bodyDiv w:val="1"/>
      <w:marLeft w:val="0"/>
      <w:marRight w:val="0"/>
      <w:marTop w:val="0"/>
      <w:marBottom w:val="0"/>
      <w:divBdr>
        <w:top w:val="none" w:sz="0" w:space="0" w:color="auto"/>
        <w:left w:val="none" w:sz="0" w:space="0" w:color="auto"/>
        <w:bottom w:val="none" w:sz="0" w:space="0" w:color="auto"/>
        <w:right w:val="none" w:sz="0" w:space="0" w:color="auto"/>
      </w:divBdr>
    </w:div>
    <w:div w:id="1276061449">
      <w:bodyDiv w:val="1"/>
      <w:marLeft w:val="0"/>
      <w:marRight w:val="0"/>
      <w:marTop w:val="0"/>
      <w:marBottom w:val="0"/>
      <w:divBdr>
        <w:top w:val="none" w:sz="0" w:space="0" w:color="auto"/>
        <w:left w:val="none" w:sz="0" w:space="0" w:color="auto"/>
        <w:bottom w:val="none" w:sz="0" w:space="0" w:color="auto"/>
        <w:right w:val="none" w:sz="0" w:space="0" w:color="auto"/>
      </w:divBdr>
    </w:div>
    <w:div w:id="1281956870">
      <w:bodyDiv w:val="1"/>
      <w:marLeft w:val="0"/>
      <w:marRight w:val="0"/>
      <w:marTop w:val="0"/>
      <w:marBottom w:val="0"/>
      <w:divBdr>
        <w:top w:val="none" w:sz="0" w:space="0" w:color="auto"/>
        <w:left w:val="none" w:sz="0" w:space="0" w:color="auto"/>
        <w:bottom w:val="none" w:sz="0" w:space="0" w:color="auto"/>
        <w:right w:val="none" w:sz="0" w:space="0" w:color="auto"/>
      </w:divBdr>
    </w:div>
    <w:div w:id="1291089743">
      <w:bodyDiv w:val="1"/>
      <w:marLeft w:val="0"/>
      <w:marRight w:val="0"/>
      <w:marTop w:val="0"/>
      <w:marBottom w:val="0"/>
      <w:divBdr>
        <w:top w:val="none" w:sz="0" w:space="0" w:color="auto"/>
        <w:left w:val="none" w:sz="0" w:space="0" w:color="auto"/>
        <w:bottom w:val="none" w:sz="0" w:space="0" w:color="auto"/>
        <w:right w:val="none" w:sz="0" w:space="0" w:color="auto"/>
      </w:divBdr>
    </w:div>
    <w:div w:id="1291132741">
      <w:bodyDiv w:val="1"/>
      <w:marLeft w:val="0"/>
      <w:marRight w:val="0"/>
      <w:marTop w:val="0"/>
      <w:marBottom w:val="0"/>
      <w:divBdr>
        <w:top w:val="none" w:sz="0" w:space="0" w:color="auto"/>
        <w:left w:val="none" w:sz="0" w:space="0" w:color="auto"/>
        <w:bottom w:val="none" w:sz="0" w:space="0" w:color="auto"/>
        <w:right w:val="none" w:sz="0" w:space="0" w:color="auto"/>
      </w:divBdr>
    </w:div>
    <w:div w:id="1291781952">
      <w:bodyDiv w:val="1"/>
      <w:marLeft w:val="0"/>
      <w:marRight w:val="0"/>
      <w:marTop w:val="0"/>
      <w:marBottom w:val="0"/>
      <w:divBdr>
        <w:top w:val="none" w:sz="0" w:space="0" w:color="auto"/>
        <w:left w:val="none" w:sz="0" w:space="0" w:color="auto"/>
        <w:bottom w:val="none" w:sz="0" w:space="0" w:color="auto"/>
        <w:right w:val="none" w:sz="0" w:space="0" w:color="auto"/>
      </w:divBdr>
    </w:div>
    <w:div w:id="1302341810">
      <w:bodyDiv w:val="1"/>
      <w:marLeft w:val="0"/>
      <w:marRight w:val="0"/>
      <w:marTop w:val="0"/>
      <w:marBottom w:val="0"/>
      <w:divBdr>
        <w:top w:val="none" w:sz="0" w:space="0" w:color="auto"/>
        <w:left w:val="none" w:sz="0" w:space="0" w:color="auto"/>
        <w:bottom w:val="none" w:sz="0" w:space="0" w:color="auto"/>
        <w:right w:val="none" w:sz="0" w:space="0" w:color="auto"/>
      </w:divBdr>
    </w:div>
    <w:div w:id="1303846237">
      <w:bodyDiv w:val="1"/>
      <w:marLeft w:val="0"/>
      <w:marRight w:val="0"/>
      <w:marTop w:val="0"/>
      <w:marBottom w:val="0"/>
      <w:divBdr>
        <w:top w:val="none" w:sz="0" w:space="0" w:color="auto"/>
        <w:left w:val="none" w:sz="0" w:space="0" w:color="auto"/>
        <w:bottom w:val="none" w:sz="0" w:space="0" w:color="auto"/>
        <w:right w:val="none" w:sz="0" w:space="0" w:color="auto"/>
      </w:divBdr>
    </w:div>
    <w:div w:id="1306739799">
      <w:bodyDiv w:val="1"/>
      <w:marLeft w:val="0"/>
      <w:marRight w:val="0"/>
      <w:marTop w:val="0"/>
      <w:marBottom w:val="0"/>
      <w:divBdr>
        <w:top w:val="none" w:sz="0" w:space="0" w:color="auto"/>
        <w:left w:val="none" w:sz="0" w:space="0" w:color="auto"/>
        <w:bottom w:val="none" w:sz="0" w:space="0" w:color="auto"/>
        <w:right w:val="none" w:sz="0" w:space="0" w:color="auto"/>
      </w:divBdr>
    </w:div>
    <w:div w:id="1306741362">
      <w:bodyDiv w:val="1"/>
      <w:marLeft w:val="0"/>
      <w:marRight w:val="0"/>
      <w:marTop w:val="0"/>
      <w:marBottom w:val="0"/>
      <w:divBdr>
        <w:top w:val="none" w:sz="0" w:space="0" w:color="auto"/>
        <w:left w:val="none" w:sz="0" w:space="0" w:color="auto"/>
        <w:bottom w:val="none" w:sz="0" w:space="0" w:color="auto"/>
        <w:right w:val="none" w:sz="0" w:space="0" w:color="auto"/>
      </w:divBdr>
    </w:div>
    <w:div w:id="1308584711">
      <w:bodyDiv w:val="1"/>
      <w:marLeft w:val="0"/>
      <w:marRight w:val="0"/>
      <w:marTop w:val="0"/>
      <w:marBottom w:val="0"/>
      <w:divBdr>
        <w:top w:val="none" w:sz="0" w:space="0" w:color="auto"/>
        <w:left w:val="none" w:sz="0" w:space="0" w:color="auto"/>
        <w:bottom w:val="none" w:sz="0" w:space="0" w:color="auto"/>
        <w:right w:val="none" w:sz="0" w:space="0" w:color="auto"/>
      </w:divBdr>
    </w:div>
    <w:div w:id="1311402045">
      <w:bodyDiv w:val="1"/>
      <w:marLeft w:val="0"/>
      <w:marRight w:val="0"/>
      <w:marTop w:val="0"/>
      <w:marBottom w:val="0"/>
      <w:divBdr>
        <w:top w:val="none" w:sz="0" w:space="0" w:color="auto"/>
        <w:left w:val="none" w:sz="0" w:space="0" w:color="auto"/>
        <w:bottom w:val="none" w:sz="0" w:space="0" w:color="auto"/>
        <w:right w:val="none" w:sz="0" w:space="0" w:color="auto"/>
      </w:divBdr>
    </w:div>
    <w:div w:id="1317106341">
      <w:bodyDiv w:val="1"/>
      <w:marLeft w:val="0"/>
      <w:marRight w:val="0"/>
      <w:marTop w:val="0"/>
      <w:marBottom w:val="0"/>
      <w:divBdr>
        <w:top w:val="none" w:sz="0" w:space="0" w:color="auto"/>
        <w:left w:val="none" w:sz="0" w:space="0" w:color="auto"/>
        <w:bottom w:val="none" w:sz="0" w:space="0" w:color="auto"/>
        <w:right w:val="none" w:sz="0" w:space="0" w:color="auto"/>
      </w:divBdr>
    </w:div>
    <w:div w:id="1317222903">
      <w:bodyDiv w:val="1"/>
      <w:marLeft w:val="0"/>
      <w:marRight w:val="0"/>
      <w:marTop w:val="0"/>
      <w:marBottom w:val="0"/>
      <w:divBdr>
        <w:top w:val="none" w:sz="0" w:space="0" w:color="auto"/>
        <w:left w:val="none" w:sz="0" w:space="0" w:color="auto"/>
        <w:bottom w:val="none" w:sz="0" w:space="0" w:color="auto"/>
        <w:right w:val="none" w:sz="0" w:space="0" w:color="auto"/>
      </w:divBdr>
    </w:div>
    <w:div w:id="1320227780">
      <w:bodyDiv w:val="1"/>
      <w:marLeft w:val="0"/>
      <w:marRight w:val="0"/>
      <w:marTop w:val="0"/>
      <w:marBottom w:val="0"/>
      <w:divBdr>
        <w:top w:val="none" w:sz="0" w:space="0" w:color="auto"/>
        <w:left w:val="none" w:sz="0" w:space="0" w:color="auto"/>
        <w:bottom w:val="none" w:sz="0" w:space="0" w:color="auto"/>
        <w:right w:val="none" w:sz="0" w:space="0" w:color="auto"/>
      </w:divBdr>
    </w:div>
    <w:div w:id="1320379211">
      <w:bodyDiv w:val="1"/>
      <w:marLeft w:val="0"/>
      <w:marRight w:val="0"/>
      <w:marTop w:val="0"/>
      <w:marBottom w:val="0"/>
      <w:divBdr>
        <w:top w:val="none" w:sz="0" w:space="0" w:color="auto"/>
        <w:left w:val="none" w:sz="0" w:space="0" w:color="auto"/>
        <w:bottom w:val="none" w:sz="0" w:space="0" w:color="auto"/>
        <w:right w:val="none" w:sz="0" w:space="0" w:color="auto"/>
      </w:divBdr>
    </w:div>
    <w:div w:id="1321615613">
      <w:bodyDiv w:val="1"/>
      <w:marLeft w:val="0"/>
      <w:marRight w:val="0"/>
      <w:marTop w:val="0"/>
      <w:marBottom w:val="0"/>
      <w:divBdr>
        <w:top w:val="none" w:sz="0" w:space="0" w:color="auto"/>
        <w:left w:val="none" w:sz="0" w:space="0" w:color="auto"/>
        <w:bottom w:val="none" w:sz="0" w:space="0" w:color="auto"/>
        <w:right w:val="none" w:sz="0" w:space="0" w:color="auto"/>
      </w:divBdr>
    </w:div>
    <w:div w:id="1325473738">
      <w:bodyDiv w:val="1"/>
      <w:marLeft w:val="0"/>
      <w:marRight w:val="0"/>
      <w:marTop w:val="0"/>
      <w:marBottom w:val="0"/>
      <w:divBdr>
        <w:top w:val="none" w:sz="0" w:space="0" w:color="auto"/>
        <w:left w:val="none" w:sz="0" w:space="0" w:color="auto"/>
        <w:bottom w:val="none" w:sz="0" w:space="0" w:color="auto"/>
        <w:right w:val="none" w:sz="0" w:space="0" w:color="auto"/>
      </w:divBdr>
    </w:div>
    <w:div w:id="1330135107">
      <w:bodyDiv w:val="1"/>
      <w:marLeft w:val="0"/>
      <w:marRight w:val="0"/>
      <w:marTop w:val="0"/>
      <w:marBottom w:val="0"/>
      <w:divBdr>
        <w:top w:val="none" w:sz="0" w:space="0" w:color="auto"/>
        <w:left w:val="none" w:sz="0" w:space="0" w:color="auto"/>
        <w:bottom w:val="none" w:sz="0" w:space="0" w:color="auto"/>
        <w:right w:val="none" w:sz="0" w:space="0" w:color="auto"/>
      </w:divBdr>
    </w:div>
    <w:div w:id="1331634919">
      <w:bodyDiv w:val="1"/>
      <w:marLeft w:val="0"/>
      <w:marRight w:val="0"/>
      <w:marTop w:val="0"/>
      <w:marBottom w:val="0"/>
      <w:divBdr>
        <w:top w:val="none" w:sz="0" w:space="0" w:color="auto"/>
        <w:left w:val="none" w:sz="0" w:space="0" w:color="auto"/>
        <w:bottom w:val="none" w:sz="0" w:space="0" w:color="auto"/>
        <w:right w:val="none" w:sz="0" w:space="0" w:color="auto"/>
      </w:divBdr>
    </w:div>
    <w:div w:id="1334069366">
      <w:bodyDiv w:val="1"/>
      <w:marLeft w:val="0"/>
      <w:marRight w:val="0"/>
      <w:marTop w:val="0"/>
      <w:marBottom w:val="0"/>
      <w:divBdr>
        <w:top w:val="none" w:sz="0" w:space="0" w:color="auto"/>
        <w:left w:val="none" w:sz="0" w:space="0" w:color="auto"/>
        <w:bottom w:val="none" w:sz="0" w:space="0" w:color="auto"/>
        <w:right w:val="none" w:sz="0" w:space="0" w:color="auto"/>
      </w:divBdr>
    </w:div>
    <w:div w:id="1341542436">
      <w:bodyDiv w:val="1"/>
      <w:marLeft w:val="0"/>
      <w:marRight w:val="0"/>
      <w:marTop w:val="0"/>
      <w:marBottom w:val="0"/>
      <w:divBdr>
        <w:top w:val="none" w:sz="0" w:space="0" w:color="auto"/>
        <w:left w:val="none" w:sz="0" w:space="0" w:color="auto"/>
        <w:bottom w:val="none" w:sz="0" w:space="0" w:color="auto"/>
        <w:right w:val="none" w:sz="0" w:space="0" w:color="auto"/>
      </w:divBdr>
    </w:div>
    <w:div w:id="1347058005">
      <w:bodyDiv w:val="1"/>
      <w:marLeft w:val="0"/>
      <w:marRight w:val="0"/>
      <w:marTop w:val="0"/>
      <w:marBottom w:val="0"/>
      <w:divBdr>
        <w:top w:val="none" w:sz="0" w:space="0" w:color="auto"/>
        <w:left w:val="none" w:sz="0" w:space="0" w:color="auto"/>
        <w:bottom w:val="none" w:sz="0" w:space="0" w:color="auto"/>
        <w:right w:val="none" w:sz="0" w:space="0" w:color="auto"/>
      </w:divBdr>
    </w:div>
    <w:div w:id="1350791911">
      <w:bodyDiv w:val="1"/>
      <w:marLeft w:val="0"/>
      <w:marRight w:val="0"/>
      <w:marTop w:val="0"/>
      <w:marBottom w:val="0"/>
      <w:divBdr>
        <w:top w:val="none" w:sz="0" w:space="0" w:color="auto"/>
        <w:left w:val="none" w:sz="0" w:space="0" w:color="auto"/>
        <w:bottom w:val="none" w:sz="0" w:space="0" w:color="auto"/>
        <w:right w:val="none" w:sz="0" w:space="0" w:color="auto"/>
      </w:divBdr>
    </w:div>
    <w:div w:id="1355613139">
      <w:bodyDiv w:val="1"/>
      <w:marLeft w:val="0"/>
      <w:marRight w:val="0"/>
      <w:marTop w:val="0"/>
      <w:marBottom w:val="0"/>
      <w:divBdr>
        <w:top w:val="none" w:sz="0" w:space="0" w:color="auto"/>
        <w:left w:val="none" w:sz="0" w:space="0" w:color="auto"/>
        <w:bottom w:val="none" w:sz="0" w:space="0" w:color="auto"/>
        <w:right w:val="none" w:sz="0" w:space="0" w:color="auto"/>
      </w:divBdr>
    </w:div>
    <w:div w:id="1361473158">
      <w:bodyDiv w:val="1"/>
      <w:marLeft w:val="0"/>
      <w:marRight w:val="0"/>
      <w:marTop w:val="0"/>
      <w:marBottom w:val="0"/>
      <w:divBdr>
        <w:top w:val="none" w:sz="0" w:space="0" w:color="auto"/>
        <w:left w:val="none" w:sz="0" w:space="0" w:color="auto"/>
        <w:bottom w:val="none" w:sz="0" w:space="0" w:color="auto"/>
        <w:right w:val="none" w:sz="0" w:space="0" w:color="auto"/>
      </w:divBdr>
    </w:div>
    <w:div w:id="1362390584">
      <w:bodyDiv w:val="1"/>
      <w:marLeft w:val="0"/>
      <w:marRight w:val="0"/>
      <w:marTop w:val="0"/>
      <w:marBottom w:val="0"/>
      <w:divBdr>
        <w:top w:val="none" w:sz="0" w:space="0" w:color="auto"/>
        <w:left w:val="none" w:sz="0" w:space="0" w:color="auto"/>
        <w:bottom w:val="none" w:sz="0" w:space="0" w:color="auto"/>
        <w:right w:val="none" w:sz="0" w:space="0" w:color="auto"/>
      </w:divBdr>
    </w:div>
    <w:div w:id="1365473821">
      <w:bodyDiv w:val="1"/>
      <w:marLeft w:val="0"/>
      <w:marRight w:val="0"/>
      <w:marTop w:val="0"/>
      <w:marBottom w:val="0"/>
      <w:divBdr>
        <w:top w:val="none" w:sz="0" w:space="0" w:color="auto"/>
        <w:left w:val="none" w:sz="0" w:space="0" w:color="auto"/>
        <w:bottom w:val="none" w:sz="0" w:space="0" w:color="auto"/>
        <w:right w:val="none" w:sz="0" w:space="0" w:color="auto"/>
      </w:divBdr>
    </w:div>
    <w:div w:id="1375496759">
      <w:bodyDiv w:val="1"/>
      <w:marLeft w:val="0"/>
      <w:marRight w:val="0"/>
      <w:marTop w:val="0"/>
      <w:marBottom w:val="0"/>
      <w:divBdr>
        <w:top w:val="none" w:sz="0" w:space="0" w:color="auto"/>
        <w:left w:val="none" w:sz="0" w:space="0" w:color="auto"/>
        <w:bottom w:val="none" w:sz="0" w:space="0" w:color="auto"/>
        <w:right w:val="none" w:sz="0" w:space="0" w:color="auto"/>
      </w:divBdr>
    </w:div>
    <w:div w:id="1378622434">
      <w:bodyDiv w:val="1"/>
      <w:marLeft w:val="0"/>
      <w:marRight w:val="0"/>
      <w:marTop w:val="0"/>
      <w:marBottom w:val="0"/>
      <w:divBdr>
        <w:top w:val="none" w:sz="0" w:space="0" w:color="auto"/>
        <w:left w:val="none" w:sz="0" w:space="0" w:color="auto"/>
        <w:bottom w:val="none" w:sz="0" w:space="0" w:color="auto"/>
        <w:right w:val="none" w:sz="0" w:space="0" w:color="auto"/>
      </w:divBdr>
    </w:div>
    <w:div w:id="1378777828">
      <w:bodyDiv w:val="1"/>
      <w:marLeft w:val="0"/>
      <w:marRight w:val="0"/>
      <w:marTop w:val="0"/>
      <w:marBottom w:val="0"/>
      <w:divBdr>
        <w:top w:val="none" w:sz="0" w:space="0" w:color="auto"/>
        <w:left w:val="none" w:sz="0" w:space="0" w:color="auto"/>
        <w:bottom w:val="none" w:sz="0" w:space="0" w:color="auto"/>
        <w:right w:val="none" w:sz="0" w:space="0" w:color="auto"/>
      </w:divBdr>
    </w:div>
    <w:div w:id="1391347799">
      <w:bodyDiv w:val="1"/>
      <w:marLeft w:val="0"/>
      <w:marRight w:val="0"/>
      <w:marTop w:val="0"/>
      <w:marBottom w:val="0"/>
      <w:divBdr>
        <w:top w:val="none" w:sz="0" w:space="0" w:color="auto"/>
        <w:left w:val="none" w:sz="0" w:space="0" w:color="auto"/>
        <w:bottom w:val="none" w:sz="0" w:space="0" w:color="auto"/>
        <w:right w:val="none" w:sz="0" w:space="0" w:color="auto"/>
      </w:divBdr>
    </w:div>
    <w:div w:id="1399326488">
      <w:bodyDiv w:val="1"/>
      <w:marLeft w:val="0"/>
      <w:marRight w:val="0"/>
      <w:marTop w:val="0"/>
      <w:marBottom w:val="0"/>
      <w:divBdr>
        <w:top w:val="none" w:sz="0" w:space="0" w:color="auto"/>
        <w:left w:val="none" w:sz="0" w:space="0" w:color="auto"/>
        <w:bottom w:val="none" w:sz="0" w:space="0" w:color="auto"/>
        <w:right w:val="none" w:sz="0" w:space="0" w:color="auto"/>
      </w:divBdr>
    </w:div>
    <w:div w:id="1403136823">
      <w:bodyDiv w:val="1"/>
      <w:marLeft w:val="0"/>
      <w:marRight w:val="0"/>
      <w:marTop w:val="0"/>
      <w:marBottom w:val="0"/>
      <w:divBdr>
        <w:top w:val="none" w:sz="0" w:space="0" w:color="auto"/>
        <w:left w:val="none" w:sz="0" w:space="0" w:color="auto"/>
        <w:bottom w:val="none" w:sz="0" w:space="0" w:color="auto"/>
        <w:right w:val="none" w:sz="0" w:space="0" w:color="auto"/>
      </w:divBdr>
    </w:div>
    <w:div w:id="1409959240">
      <w:bodyDiv w:val="1"/>
      <w:marLeft w:val="0"/>
      <w:marRight w:val="0"/>
      <w:marTop w:val="0"/>
      <w:marBottom w:val="0"/>
      <w:divBdr>
        <w:top w:val="none" w:sz="0" w:space="0" w:color="auto"/>
        <w:left w:val="none" w:sz="0" w:space="0" w:color="auto"/>
        <w:bottom w:val="none" w:sz="0" w:space="0" w:color="auto"/>
        <w:right w:val="none" w:sz="0" w:space="0" w:color="auto"/>
      </w:divBdr>
    </w:div>
    <w:div w:id="1410007745">
      <w:bodyDiv w:val="1"/>
      <w:marLeft w:val="0"/>
      <w:marRight w:val="0"/>
      <w:marTop w:val="0"/>
      <w:marBottom w:val="0"/>
      <w:divBdr>
        <w:top w:val="none" w:sz="0" w:space="0" w:color="auto"/>
        <w:left w:val="none" w:sz="0" w:space="0" w:color="auto"/>
        <w:bottom w:val="none" w:sz="0" w:space="0" w:color="auto"/>
        <w:right w:val="none" w:sz="0" w:space="0" w:color="auto"/>
      </w:divBdr>
    </w:div>
    <w:div w:id="1415472673">
      <w:bodyDiv w:val="1"/>
      <w:marLeft w:val="0"/>
      <w:marRight w:val="0"/>
      <w:marTop w:val="0"/>
      <w:marBottom w:val="0"/>
      <w:divBdr>
        <w:top w:val="none" w:sz="0" w:space="0" w:color="auto"/>
        <w:left w:val="none" w:sz="0" w:space="0" w:color="auto"/>
        <w:bottom w:val="none" w:sz="0" w:space="0" w:color="auto"/>
        <w:right w:val="none" w:sz="0" w:space="0" w:color="auto"/>
      </w:divBdr>
    </w:div>
    <w:div w:id="1416324635">
      <w:bodyDiv w:val="1"/>
      <w:marLeft w:val="0"/>
      <w:marRight w:val="0"/>
      <w:marTop w:val="0"/>
      <w:marBottom w:val="0"/>
      <w:divBdr>
        <w:top w:val="none" w:sz="0" w:space="0" w:color="auto"/>
        <w:left w:val="none" w:sz="0" w:space="0" w:color="auto"/>
        <w:bottom w:val="none" w:sz="0" w:space="0" w:color="auto"/>
        <w:right w:val="none" w:sz="0" w:space="0" w:color="auto"/>
      </w:divBdr>
    </w:div>
    <w:div w:id="1418013415">
      <w:bodyDiv w:val="1"/>
      <w:marLeft w:val="0"/>
      <w:marRight w:val="0"/>
      <w:marTop w:val="0"/>
      <w:marBottom w:val="0"/>
      <w:divBdr>
        <w:top w:val="none" w:sz="0" w:space="0" w:color="auto"/>
        <w:left w:val="none" w:sz="0" w:space="0" w:color="auto"/>
        <w:bottom w:val="none" w:sz="0" w:space="0" w:color="auto"/>
        <w:right w:val="none" w:sz="0" w:space="0" w:color="auto"/>
      </w:divBdr>
    </w:div>
    <w:div w:id="1419323094">
      <w:bodyDiv w:val="1"/>
      <w:marLeft w:val="0"/>
      <w:marRight w:val="0"/>
      <w:marTop w:val="0"/>
      <w:marBottom w:val="0"/>
      <w:divBdr>
        <w:top w:val="none" w:sz="0" w:space="0" w:color="auto"/>
        <w:left w:val="none" w:sz="0" w:space="0" w:color="auto"/>
        <w:bottom w:val="none" w:sz="0" w:space="0" w:color="auto"/>
        <w:right w:val="none" w:sz="0" w:space="0" w:color="auto"/>
      </w:divBdr>
    </w:div>
    <w:div w:id="1420906790">
      <w:bodyDiv w:val="1"/>
      <w:marLeft w:val="0"/>
      <w:marRight w:val="0"/>
      <w:marTop w:val="0"/>
      <w:marBottom w:val="0"/>
      <w:divBdr>
        <w:top w:val="none" w:sz="0" w:space="0" w:color="auto"/>
        <w:left w:val="none" w:sz="0" w:space="0" w:color="auto"/>
        <w:bottom w:val="none" w:sz="0" w:space="0" w:color="auto"/>
        <w:right w:val="none" w:sz="0" w:space="0" w:color="auto"/>
      </w:divBdr>
    </w:div>
    <w:div w:id="1426347038">
      <w:bodyDiv w:val="1"/>
      <w:marLeft w:val="0"/>
      <w:marRight w:val="0"/>
      <w:marTop w:val="0"/>
      <w:marBottom w:val="0"/>
      <w:divBdr>
        <w:top w:val="none" w:sz="0" w:space="0" w:color="auto"/>
        <w:left w:val="none" w:sz="0" w:space="0" w:color="auto"/>
        <w:bottom w:val="none" w:sz="0" w:space="0" w:color="auto"/>
        <w:right w:val="none" w:sz="0" w:space="0" w:color="auto"/>
      </w:divBdr>
    </w:div>
    <w:div w:id="1428425940">
      <w:bodyDiv w:val="1"/>
      <w:marLeft w:val="0"/>
      <w:marRight w:val="0"/>
      <w:marTop w:val="0"/>
      <w:marBottom w:val="0"/>
      <w:divBdr>
        <w:top w:val="none" w:sz="0" w:space="0" w:color="auto"/>
        <w:left w:val="none" w:sz="0" w:space="0" w:color="auto"/>
        <w:bottom w:val="none" w:sz="0" w:space="0" w:color="auto"/>
        <w:right w:val="none" w:sz="0" w:space="0" w:color="auto"/>
      </w:divBdr>
    </w:div>
    <w:div w:id="1431704542">
      <w:bodyDiv w:val="1"/>
      <w:marLeft w:val="0"/>
      <w:marRight w:val="0"/>
      <w:marTop w:val="0"/>
      <w:marBottom w:val="0"/>
      <w:divBdr>
        <w:top w:val="none" w:sz="0" w:space="0" w:color="auto"/>
        <w:left w:val="none" w:sz="0" w:space="0" w:color="auto"/>
        <w:bottom w:val="none" w:sz="0" w:space="0" w:color="auto"/>
        <w:right w:val="none" w:sz="0" w:space="0" w:color="auto"/>
      </w:divBdr>
    </w:div>
    <w:div w:id="1439641671">
      <w:bodyDiv w:val="1"/>
      <w:marLeft w:val="0"/>
      <w:marRight w:val="0"/>
      <w:marTop w:val="0"/>
      <w:marBottom w:val="0"/>
      <w:divBdr>
        <w:top w:val="none" w:sz="0" w:space="0" w:color="auto"/>
        <w:left w:val="none" w:sz="0" w:space="0" w:color="auto"/>
        <w:bottom w:val="none" w:sz="0" w:space="0" w:color="auto"/>
        <w:right w:val="none" w:sz="0" w:space="0" w:color="auto"/>
      </w:divBdr>
      <w:divsChild>
        <w:div w:id="844901478">
          <w:marLeft w:val="547"/>
          <w:marRight w:val="0"/>
          <w:marTop w:val="77"/>
          <w:marBottom w:val="0"/>
          <w:divBdr>
            <w:top w:val="none" w:sz="0" w:space="0" w:color="auto"/>
            <w:left w:val="none" w:sz="0" w:space="0" w:color="auto"/>
            <w:bottom w:val="none" w:sz="0" w:space="0" w:color="auto"/>
            <w:right w:val="none" w:sz="0" w:space="0" w:color="auto"/>
          </w:divBdr>
        </w:div>
      </w:divsChild>
    </w:div>
    <w:div w:id="1442340089">
      <w:bodyDiv w:val="1"/>
      <w:marLeft w:val="0"/>
      <w:marRight w:val="0"/>
      <w:marTop w:val="0"/>
      <w:marBottom w:val="0"/>
      <w:divBdr>
        <w:top w:val="none" w:sz="0" w:space="0" w:color="auto"/>
        <w:left w:val="none" w:sz="0" w:space="0" w:color="auto"/>
        <w:bottom w:val="none" w:sz="0" w:space="0" w:color="auto"/>
        <w:right w:val="none" w:sz="0" w:space="0" w:color="auto"/>
      </w:divBdr>
    </w:div>
    <w:div w:id="1453089154">
      <w:bodyDiv w:val="1"/>
      <w:marLeft w:val="0"/>
      <w:marRight w:val="0"/>
      <w:marTop w:val="0"/>
      <w:marBottom w:val="0"/>
      <w:divBdr>
        <w:top w:val="none" w:sz="0" w:space="0" w:color="auto"/>
        <w:left w:val="none" w:sz="0" w:space="0" w:color="auto"/>
        <w:bottom w:val="none" w:sz="0" w:space="0" w:color="auto"/>
        <w:right w:val="none" w:sz="0" w:space="0" w:color="auto"/>
      </w:divBdr>
    </w:div>
    <w:div w:id="1454053043">
      <w:bodyDiv w:val="1"/>
      <w:marLeft w:val="0"/>
      <w:marRight w:val="0"/>
      <w:marTop w:val="0"/>
      <w:marBottom w:val="0"/>
      <w:divBdr>
        <w:top w:val="none" w:sz="0" w:space="0" w:color="auto"/>
        <w:left w:val="none" w:sz="0" w:space="0" w:color="auto"/>
        <w:bottom w:val="none" w:sz="0" w:space="0" w:color="auto"/>
        <w:right w:val="none" w:sz="0" w:space="0" w:color="auto"/>
      </w:divBdr>
    </w:div>
    <w:div w:id="1470588067">
      <w:bodyDiv w:val="1"/>
      <w:marLeft w:val="0"/>
      <w:marRight w:val="0"/>
      <w:marTop w:val="0"/>
      <w:marBottom w:val="0"/>
      <w:divBdr>
        <w:top w:val="none" w:sz="0" w:space="0" w:color="auto"/>
        <w:left w:val="none" w:sz="0" w:space="0" w:color="auto"/>
        <w:bottom w:val="none" w:sz="0" w:space="0" w:color="auto"/>
        <w:right w:val="none" w:sz="0" w:space="0" w:color="auto"/>
      </w:divBdr>
    </w:div>
    <w:div w:id="1471434670">
      <w:bodyDiv w:val="1"/>
      <w:marLeft w:val="0"/>
      <w:marRight w:val="0"/>
      <w:marTop w:val="0"/>
      <w:marBottom w:val="0"/>
      <w:divBdr>
        <w:top w:val="none" w:sz="0" w:space="0" w:color="auto"/>
        <w:left w:val="none" w:sz="0" w:space="0" w:color="auto"/>
        <w:bottom w:val="none" w:sz="0" w:space="0" w:color="auto"/>
        <w:right w:val="none" w:sz="0" w:space="0" w:color="auto"/>
      </w:divBdr>
    </w:div>
    <w:div w:id="1474250035">
      <w:bodyDiv w:val="1"/>
      <w:marLeft w:val="0"/>
      <w:marRight w:val="0"/>
      <w:marTop w:val="0"/>
      <w:marBottom w:val="0"/>
      <w:divBdr>
        <w:top w:val="none" w:sz="0" w:space="0" w:color="auto"/>
        <w:left w:val="none" w:sz="0" w:space="0" w:color="auto"/>
        <w:bottom w:val="none" w:sz="0" w:space="0" w:color="auto"/>
        <w:right w:val="none" w:sz="0" w:space="0" w:color="auto"/>
      </w:divBdr>
    </w:div>
    <w:div w:id="1475491547">
      <w:bodyDiv w:val="1"/>
      <w:marLeft w:val="0"/>
      <w:marRight w:val="0"/>
      <w:marTop w:val="0"/>
      <w:marBottom w:val="0"/>
      <w:divBdr>
        <w:top w:val="none" w:sz="0" w:space="0" w:color="auto"/>
        <w:left w:val="none" w:sz="0" w:space="0" w:color="auto"/>
        <w:bottom w:val="none" w:sz="0" w:space="0" w:color="auto"/>
        <w:right w:val="none" w:sz="0" w:space="0" w:color="auto"/>
      </w:divBdr>
    </w:div>
    <w:div w:id="1478453938">
      <w:bodyDiv w:val="1"/>
      <w:marLeft w:val="0"/>
      <w:marRight w:val="0"/>
      <w:marTop w:val="0"/>
      <w:marBottom w:val="0"/>
      <w:divBdr>
        <w:top w:val="none" w:sz="0" w:space="0" w:color="auto"/>
        <w:left w:val="none" w:sz="0" w:space="0" w:color="auto"/>
        <w:bottom w:val="none" w:sz="0" w:space="0" w:color="auto"/>
        <w:right w:val="none" w:sz="0" w:space="0" w:color="auto"/>
      </w:divBdr>
    </w:div>
    <w:div w:id="1484665490">
      <w:bodyDiv w:val="1"/>
      <w:marLeft w:val="0"/>
      <w:marRight w:val="0"/>
      <w:marTop w:val="0"/>
      <w:marBottom w:val="0"/>
      <w:divBdr>
        <w:top w:val="none" w:sz="0" w:space="0" w:color="auto"/>
        <w:left w:val="none" w:sz="0" w:space="0" w:color="auto"/>
        <w:bottom w:val="none" w:sz="0" w:space="0" w:color="auto"/>
        <w:right w:val="none" w:sz="0" w:space="0" w:color="auto"/>
      </w:divBdr>
    </w:div>
    <w:div w:id="1484737900">
      <w:bodyDiv w:val="1"/>
      <w:marLeft w:val="0"/>
      <w:marRight w:val="0"/>
      <w:marTop w:val="0"/>
      <w:marBottom w:val="0"/>
      <w:divBdr>
        <w:top w:val="none" w:sz="0" w:space="0" w:color="auto"/>
        <w:left w:val="none" w:sz="0" w:space="0" w:color="auto"/>
        <w:bottom w:val="none" w:sz="0" w:space="0" w:color="auto"/>
        <w:right w:val="none" w:sz="0" w:space="0" w:color="auto"/>
      </w:divBdr>
    </w:div>
    <w:div w:id="1492794750">
      <w:bodyDiv w:val="1"/>
      <w:marLeft w:val="0"/>
      <w:marRight w:val="0"/>
      <w:marTop w:val="0"/>
      <w:marBottom w:val="0"/>
      <w:divBdr>
        <w:top w:val="none" w:sz="0" w:space="0" w:color="auto"/>
        <w:left w:val="none" w:sz="0" w:space="0" w:color="auto"/>
        <w:bottom w:val="none" w:sz="0" w:space="0" w:color="auto"/>
        <w:right w:val="none" w:sz="0" w:space="0" w:color="auto"/>
      </w:divBdr>
    </w:div>
    <w:div w:id="1494301114">
      <w:bodyDiv w:val="1"/>
      <w:marLeft w:val="0"/>
      <w:marRight w:val="0"/>
      <w:marTop w:val="0"/>
      <w:marBottom w:val="0"/>
      <w:divBdr>
        <w:top w:val="none" w:sz="0" w:space="0" w:color="auto"/>
        <w:left w:val="none" w:sz="0" w:space="0" w:color="auto"/>
        <w:bottom w:val="none" w:sz="0" w:space="0" w:color="auto"/>
        <w:right w:val="none" w:sz="0" w:space="0" w:color="auto"/>
      </w:divBdr>
    </w:div>
    <w:div w:id="1496072807">
      <w:bodyDiv w:val="1"/>
      <w:marLeft w:val="0"/>
      <w:marRight w:val="0"/>
      <w:marTop w:val="0"/>
      <w:marBottom w:val="0"/>
      <w:divBdr>
        <w:top w:val="none" w:sz="0" w:space="0" w:color="auto"/>
        <w:left w:val="none" w:sz="0" w:space="0" w:color="auto"/>
        <w:bottom w:val="none" w:sz="0" w:space="0" w:color="auto"/>
        <w:right w:val="none" w:sz="0" w:space="0" w:color="auto"/>
      </w:divBdr>
    </w:div>
    <w:div w:id="1502283114">
      <w:bodyDiv w:val="1"/>
      <w:marLeft w:val="0"/>
      <w:marRight w:val="0"/>
      <w:marTop w:val="0"/>
      <w:marBottom w:val="0"/>
      <w:divBdr>
        <w:top w:val="none" w:sz="0" w:space="0" w:color="auto"/>
        <w:left w:val="none" w:sz="0" w:space="0" w:color="auto"/>
        <w:bottom w:val="none" w:sz="0" w:space="0" w:color="auto"/>
        <w:right w:val="none" w:sz="0" w:space="0" w:color="auto"/>
      </w:divBdr>
    </w:div>
    <w:div w:id="1506554455">
      <w:bodyDiv w:val="1"/>
      <w:marLeft w:val="0"/>
      <w:marRight w:val="0"/>
      <w:marTop w:val="0"/>
      <w:marBottom w:val="0"/>
      <w:divBdr>
        <w:top w:val="none" w:sz="0" w:space="0" w:color="auto"/>
        <w:left w:val="none" w:sz="0" w:space="0" w:color="auto"/>
        <w:bottom w:val="none" w:sz="0" w:space="0" w:color="auto"/>
        <w:right w:val="none" w:sz="0" w:space="0" w:color="auto"/>
      </w:divBdr>
    </w:div>
    <w:div w:id="1512380575">
      <w:bodyDiv w:val="1"/>
      <w:marLeft w:val="0"/>
      <w:marRight w:val="0"/>
      <w:marTop w:val="0"/>
      <w:marBottom w:val="0"/>
      <w:divBdr>
        <w:top w:val="none" w:sz="0" w:space="0" w:color="auto"/>
        <w:left w:val="none" w:sz="0" w:space="0" w:color="auto"/>
        <w:bottom w:val="none" w:sz="0" w:space="0" w:color="auto"/>
        <w:right w:val="none" w:sz="0" w:space="0" w:color="auto"/>
      </w:divBdr>
    </w:div>
    <w:div w:id="1513568814">
      <w:bodyDiv w:val="1"/>
      <w:marLeft w:val="0"/>
      <w:marRight w:val="0"/>
      <w:marTop w:val="0"/>
      <w:marBottom w:val="0"/>
      <w:divBdr>
        <w:top w:val="none" w:sz="0" w:space="0" w:color="auto"/>
        <w:left w:val="none" w:sz="0" w:space="0" w:color="auto"/>
        <w:bottom w:val="none" w:sz="0" w:space="0" w:color="auto"/>
        <w:right w:val="none" w:sz="0" w:space="0" w:color="auto"/>
      </w:divBdr>
    </w:div>
    <w:div w:id="1517689309">
      <w:bodyDiv w:val="1"/>
      <w:marLeft w:val="0"/>
      <w:marRight w:val="0"/>
      <w:marTop w:val="0"/>
      <w:marBottom w:val="0"/>
      <w:divBdr>
        <w:top w:val="none" w:sz="0" w:space="0" w:color="auto"/>
        <w:left w:val="none" w:sz="0" w:space="0" w:color="auto"/>
        <w:bottom w:val="none" w:sz="0" w:space="0" w:color="auto"/>
        <w:right w:val="none" w:sz="0" w:space="0" w:color="auto"/>
      </w:divBdr>
    </w:div>
    <w:div w:id="1518272958">
      <w:bodyDiv w:val="1"/>
      <w:marLeft w:val="0"/>
      <w:marRight w:val="0"/>
      <w:marTop w:val="0"/>
      <w:marBottom w:val="0"/>
      <w:divBdr>
        <w:top w:val="none" w:sz="0" w:space="0" w:color="auto"/>
        <w:left w:val="none" w:sz="0" w:space="0" w:color="auto"/>
        <w:bottom w:val="none" w:sz="0" w:space="0" w:color="auto"/>
        <w:right w:val="none" w:sz="0" w:space="0" w:color="auto"/>
      </w:divBdr>
    </w:div>
    <w:div w:id="1520319451">
      <w:bodyDiv w:val="1"/>
      <w:marLeft w:val="0"/>
      <w:marRight w:val="0"/>
      <w:marTop w:val="0"/>
      <w:marBottom w:val="0"/>
      <w:divBdr>
        <w:top w:val="none" w:sz="0" w:space="0" w:color="auto"/>
        <w:left w:val="none" w:sz="0" w:space="0" w:color="auto"/>
        <w:bottom w:val="none" w:sz="0" w:space="0" w:color="auto"/>
        <w:right w:val="none" w:sz="0" w:space="0" w:color="auto"/>
      </w:divBdr>
    </w:div>
    <w:div w:id="1520579245">
      <w:bodyDiv w:val="1"/>
      <w:marLeft w:val="0"/>
      <w:marRight w:val="0"/>
      <w:marTop w:val="0"/>
      <w:marBottom w:val="0"/>
      <w:divBdr>
        <w:top w:val="none" w:sz="0" w:space="0" w:color="auto"/>
        <w:left w:val="none" w:sz="0" w:space="0" w:color="auto"/>
        <w:bottom w:val="none" w:sz="0" w:space="0" w:color="auto"/>
        <w:right w:val="none" w:sz="0" w:space="0" w:color="auto"/>
      </w:divBdr>
    </w:div>
    <w:div w:id="1529030812">
      <w:bodyDiv w:val="1"/>
      <w:marLeft w:val="0"/>
      <w:marRight w:val="0"/>
      <w:marTop w:val="0"/>
      <w:marBottom w:val="0"/>
      <w:divBdr>
        <w:top w:val="none" w:sz="0" w:space="0" w:color="auto"/>
        <w:left w:val="none" w:sz="0" w:space="0" w:color="auto"/>
        <w:bottom w:val="none" w:sz="0" w:space="0" w:color="auto"/>
        <w:right w:val="none" w:sz="0" w:space="0" w:color="auto"/>
      </w:divBdr>
    </w:div>
    <w:div w:id="1529950623">
      <w:bodyDiv w:val="1"/>
      <w:marLeft w:val="0"/>
      <w:marRight w:val="0"/>
      <w:marTop w:val="0"/>
      <w:marBottom w:val="0"/>
      <w:divBdr>
        <w:top w:val="none" w:sz="0" w:space="0" w:color="auto"/>
        <w:left w:val="none" w:sz="0" w:space="0" w:color="auto"/>
        <w:bottom w:val="none" w:sz="0" w:space="0" w:color="auto"/>
        <w:right w:val="none" w:sz="0" w:space="0" w:color="auto"/>
      </w:divBdr>
    </w:div>
    <w:div w:id="1532256355">
      <w:bodyDiv w:val="1"/>
      <w:marLeft w:val="0"/>
      <w:marRight w:val="0"/>
      <w:marTop w:val="0"/>
      <w:marBottom w:val="0"/>
      <w:divBdr>
        <w:top w:val="none" w:sz="0" w:space="0" w:color="auto"/>
        <w:left w:val="none" w:sz="0" w:space="0" w:color="auto"/>
        <w:bottom w:val="none" w:sz="0" w:space="0" w:color="auto"/>
        <w:right w:val="none" w:sz="0" w:space="0" w:color="auto"/>
      </w:divBdr>
    </w:div>
    <w:div w:id="1534415711">
      <w:bodyDiv w:val="1"/>
      <w:marLeft w:val="0"/>
      <w:marRight w:val="0"/>
      <w:marTop w:val="0"/>
      <w:marBottom w:val="0"/>
      <w:divBdr>
        <w:top w:val="none" w:sz="0" w:space="0" w:color="auto"/>
        <w:left w:val="none" w:sz="0" w:space="0" w:color="auto"/>
        <w:bottom w:val="none" w:sz="0" w:space="0" w:color="auto"/>
        <w:right w:val="none" w:sz="0" w:space="0" w:color="auto"/>
      </w:divBdr>
    </w:div>
    <w:div w:id="1541669538">
      <w:bodyDiv w:val="1"/>
      <w:marLeft w:val="0"/>
      <w:marRight w:val="0"/>
      <w:marTop w:val="0"/>
      <w:marBottom w:val="0"/>
      <w:divBdr>
        <w:top w:val="none" w:sz="0" w:space="0" w:color="auto"/>
        <w:left w:val="none" w:sz="0" w:space="0" w:color="auto"/>
        <w:bottom w:val="none" w:sz="0" w:space="0" w:color="auto"/>
        <w:right w:val="none" w:sz="0" w:space="0" w:color="auto"/>
      </w:divBdr>
    </w:div>
    <w:div w:id="1545486958">
      <w:bodyDiv w:val="1"/>
      <w:marLeft w:val="0"/>
      <w:marRight w:val="0"/>
      <w:marTop w:val="0"/>
      <w:marBottom w:val="0"/>
      <w:divBdr>
        <w:top w:val="none" w:sz="0" w:space="0" w:color="auto"/>
        <w:left w:val="none" w:sz="0" w:space="0" w:color="auto"/>
        <w:bottom w:val="none" w:sz="0" w:space="0" w:color="auto"/>
        <w:right w:val="none" w:sz="0" w:space="0" w:color="auto"/>
      </w:divBdr>
    </w:div>
    <w:div w:id="1554728299">
      <w:bodyDiv w:val="1"/>
      <w:marLeft w:val="0"/>
      <w:marRight w:val="0"/>
      <w:marTop w:val="0"/>
      <w:marBottom w:val="0"/>
      <w:divBdr>
        <w:top w:val="none" w:sz="0" w:space="0" w:color="auto"/>
        <w:left w:val="none" w:sz="0" w:space="0" w:color="auto"/>
        <w:bottom w:val="none" w:sz="0" w:space="0" w:color="auto"/>
        <w:right w:val="none" w:sz="0" w:space="0" w:color="auto"/>
      </w:divBdr>
    </w:div>
    <w:div w:id="1562597571">
      <w:bodyDiv w:val="1"/>
      <w:marLeft w:val="0"/>
      <w:marRight w:val="0"/>
      <w:marTop w:val="0"/>
      <w:marBottom w:val="0"/>
      <w:divBdr>
        <w:top w:val="none" w:sz="0" w:space="0" w:color="auto"/>
        <w:left w:val="none" w:sz="0" w:space="0" w:color="auto"/>
        <w:bottom w:val="none" w:sz="0" w:space="0" w:color="auto"/>
        <w:right w:val="none" w:sz="0" w:space="0" w:color="auto"/>
      </w:divBdr>
    </w:div>
    <w:div w:id="1562708872">
      <w:bodyDiv w:val="1"/>
      <w:marLeft w:val="0"/>
      <w:marRight w:val="0"/>
      <w:marTop w:val="0"/>
      <w:marBottom w:val="0"/>
      <w:divBdr>
        <w:top w:val="none" w:sz="0" w:space="0" w:color="auto"/>
        <w:left w:val="none" w:sz="0" w:space="0" w:color="auto"/>
        <w:bottom w:val="none" w:sz="0" w:space="0" w:color="auto"/>
        <w:right w:val="none" w:sz="0" w:space="0" w:color="auto"/>
      </w:divBdr>
    </w:div>
    <w:div w:id="1562905281">
      <w:bodyDiv w:val="1"/>
      <w:marLeft w:val="0"/>
      <w:marRight w:val="0"/>
      <w:marTop w:val="0"/>
      <w:marBottom w:val="0"/>
      <w:divBdr>
        <w:top w:val="none" w:sz="0" w:space="0" w:color="auto"/>
        <w:left w:val="none" w:sz="0" w:space="0" w:color="auto"/>
        <w:bottom w:val="none" w:sz="0" w:space="0" w:color="auto"/>
        <w:right w:val="none" w:sz="0" w:space="0" w:color="auto"/>
      </w:divBdr>
    </w:div>
    <w:div w:id="1575313273">
      <w:bodyDiv w:val="1"/>
      <w:marLeft w:val="0"/>
      <w:marRight w:val="0"/>
      <w:marTop w:val="0"/>
      <w:marBottom w:val="0"/>
      <w:divBdr>
        <w:top w:val="none" w:sz="0" w:space="0" w:color="auto"/>
        <w:left w:val="none" w:sz="0" w:space="0" w:color="auto"/>
        <w:bottom w:val="none" w:sz="0" w:space="0" w:color="auto"/>
        <w:right w:val="none" w:sz="0" w:space="0" w:color="auto"/>
      </w:divBdr>
    </w:div>
    <w:div w:id="1577397529">
      <w:bodyDiv w:val="1"/>
      <w:marLeft w:val="0"/>
      <w:marRight w:val="0"/>
      <w:marTop w:val="0"/>
      <w:marBottom w:val="0"/>
      <w:divBdr>
        <w:top w:val="none" w:sz="0" w:space="0" w:color="auto"/>
        <w:left w:val="none" w:sz="0" w:space="0" w:color="auto"/>
        <w:bottom w:val="none" w:sz="0" w:space="0" w:color="auto"/>
        <w:right w:val="none" w:sz="0" w:space="0" w:color="auto"/>
      </w:divBdr>
    </w:div>
    <w:div w:id="1587885696">
      <w:bodyDiv w:val="1"/>
      <w:marLeft w:val="0"/>
      <w:marRight w:val="0"/>
      <w:marTop w:val="0"/>
      <w:marBottom w:val="0"/>
      <w:divBdr>
        <w:top w:val="none" w:sz="0" w:space="0" w:color="auto"/>
        <w:left w:val="none" w:sz="0" w:space="0" w:color="auto"/>
        <w:bottom w:val="none" w:sz="0" w:space="0" w:color="auto"/>
        <w:right w:val="none" w:sz="0" w:space="0" w:color="auto"/>
      </w:divBdr>
    </w:div>
    <w:div w:id="1589189462">
      <w:bodyDiv w:val="1"/>
      <w:marLeft w:val="0"/>
      <w:marRight w:val="0"/>
      <w:marTop w:val="0"/>
      <w:marBottom w:val="0"/>
      <w:divBdr>
        <w:top w:val="none" w:sz="0" w:space="0" w:color="auto"/>
        <w:left w:val="none" w:sz="0" w:space="0" w:color="auto"/>
        <w:bottom w:val="none" w:sz="0" w:space="0" w:color="auto"/>
        <w:right w:val="none" w:sz="0" w:space="0" w:color="auto"/>
      </w:divBdr>
    </w:div>
    <w:div w:id="1591504594">
      <w:bodyDiv w:val="1"/>
      <w:marLeft w:val="0"/>
      <w:marRight w:val="0"/>
      <w:marTop w:val="0"/>
      <w:marBottom w:val="0"/>
      <w:divBdr>
        <w:top w:val="none" w:sz="0" w:space="0" w:color="auto"/>
        <w:left w:val="none" w:sz="0" w:space="0" w:color="auto"/>
        <w:bottom w:val="none" w:sz="0" w:space="0" w:color="auto"/>
        <w:right w:val="none" w:sz="0" w:space="0" w:color="auto"/>
      </w:divBdr>
    </w:div>
    <w:div w:id="1592084343">
      <w:bodyDiv w:val="1"/>
      <w:marLeft w:val="0"/>
      <w:marRight w:val="0"/>
      <w:marTop w:val="0"/>
      <w:marBottom w:val="0"/>
      <w:divBdr>
        <w:top w:val="none" w:sz="0" w:space="0" w:color="auto"/>
        <w:left w:val="none" w:sz="0" w:space="0" w:color="auto"/>
        <w:bottom w:val="none" w:sz="0" w:space="0" w:color="auto"/>
        <w:right w:val="none" w:sz="0" w:space="0" w:color="auto"/>
      </w:divBdr>
    </w:div>
    <w:div w:id="1592467240">
      <w:bodyDiv w:val="1"/>
      <w:marLeft w:val="0"/>
      <w:marRight w:val="0"/>
      <w:marTop w:val="0"/>
      <w:marBottom w:val="0"/>
      <w:divBdr>
        <w:top w:val="none" w:sz="0" w:space="0" w:color="auto"/>
        <w:left w:val="none" w:sz="0" w:space="0" w:color="auto"/>
        <w:bottom w:val="none" w:sz="0" w:space="0" w:color="auto"/>
        <w:right w:val="none" w:sz="0" w:space="0" w:color="auto"/>
      </w:divBdr>
    </w:div>
    <w:div w:id="1593855496">
      <w:bodyDiv w:val="1"/>
      <w:marLeft w:val="0"/>
      <w:marRight w:val="0"/>
      <w:marTop w:val="0"/>
      <w:marBottom w:val="0"/>
      <w:divBdr>
        <w:top w:val="none" w:sz="0" w:space="0" w:color="auto"/>
        <w:left w:val="none" w:sz="0" w:space="0" w:color="auto"/>
        <w:bottom w:val="none" w:sz="0" w:space="0" w:color="auto"/>
        <w:right w:val="none" w:sz="0" w:space="0" w:color="auto"/>
      </w:divBdr>
    </w:div>
    <w:div w:id="1600404235">
      <w:bodyDiv w:val="1"/>
      <w:marLeft w:val="0"/>
      <w:marRight w:val="0"/>
      <w:marTop w:val="0"/>
      <w:marBottom w:val="0"/>
      <w:divBdr>
        <w:top w:val="none" w:sz="0" w:space="0" w:color="auto"/>
        <w:left w:val="none" w:sz="0" w:space="0" w:color="auto"/>
        <w:bottom w:val="none" w:sz="0" w:space="0" w:color="auto"/>
        <w:right w:val="none" w:sz="0" w:space="0" w:color="auto"/>
      </w:divBdr>
    </w:div>
    <w:div w:id="1608272716">
      <w:bodyDiv w:val="1"/>
      <w:marLeft w:val="0"/>
      <w:marRight w:val="0"/>
      <w:marTop w:val="0"/>
      <w:marBottom w:val="0"/>
      <w:divBdr>
        <w:top w:val="none" w:sz="0" w:space="0" w:color="auto"/>
        <w:left w:val="none" w:sz="0" w:space="0" w:color="auto"/>
        <w:bottom w:val="none" w:sz="0" w:space="0" w:color="auto"/>
        <w:right w:val="none" w:sz="0" w:space="0" w:color="auto"/>
      </w:divBdr>
    </w:div>
    <w:div w:id="1609702568">
      <w:bodyDiv w:val="1"/>
      <w:marLeft w:val="0"/>
      <w:marRight w:val="0"/>
      <w:marTop w:val="0"/>
      <w:marBottom w:val="0"/>
      <w:divBdr>
        <w:top w:val="none" w:sz="0" w:space="0" w:color="auto"/>
        <w:left w:val="none" w:sz="0" w:space="0" w:color="auto"/>
        <w:bottom w:val="none" w:sz="0" w:space="0" w:color="auto"/>
        <w:right w:val="none" w:sz="0" w:space="0" w:color="auto"/>
      </w:divBdr>
    </w:div>
    <w:div w:id="1611545107">
      <w:bodyDiv w:val="1"/>
      <w:marLeft w:val="0"/>
      <w:marRight w:val="0"/>
      <w:marTop w:val="0"/>
      <w:marBottom w:val="0"/>
      <w:divBdr>
        <w:top w:val="none" w:sz="0" w:space="0" w:color="auto"/>
        <w:left w:val="none" w:sz="0" w:space="0" w:color="auto"/>
        <w:bottom w:val="none" w:sz="0" w:space="0" w:color="auto"/>
        <w:right w:val="none" w:sz="0" w:space="0" w:color="auto"/>
      </w:divBdr>
    </w:div>
    <w:div w:id="1622372206">
      <w:bodyDiv w:val="1"/>
      <w:marLeft w:val="0"/>
      <w:marRight w:val="0"/>
      <w:marTop w:val="0"/>
      <w:marBottom w:val="0"/>
      <w:divBdr>
        <w:top w:val="none" w:sz="0" w:space="0" w:color="auto"/>
        <w:left w:val="none" w:sz="0" w:space="0" w:color="auto"/>
        <w:bottom w:val="none" w:sz="0" w:space="0" w:color="auto"/>
        <w:right w:val="none" w:sz="0" w:space="0" w:color="auto"/>
      </w:divBdr>
    </w:div>
    <w:div w:id="1634674982">
      <w:bodyDiv w:val="1"/>
      <w:marLeft w:val="0"/>
      <w:marRight w:val="0"/>
      <w:marTop w:val="0"/>
      <w:marBottom w:val="0"/>
      <w:divBdr>
        <w:top w:val="none" w:sz="0" w:space="0" w:color="auto"/>
        <w:left w:val="none" w:sz="0" w:space="0" w:color="auto"/>
        <w:bottom w:val="none" w:sz="0" w:space="0" w:color="auto"/>
        <w:right w:val="none" w:sz="0" w:space="0" w:color="auto"/>
      </w:divBdr>
    </w:div>
    <w:div w:id="1634872026">
      <w:bodyDiv w:val="1"/>
      <w:marLeft w:val="0"/>
      <w:marRight w:val="0"/>
      <w:marTop w:val="0"/>
      <w:marBottom w:val="0"/>
      <w:divBdr>
        <w:top w:val="none" w:sz="0" w:space="0" w:color="auto"/>
        <w:left w:val="none" w:sz="0" w:space="0" w:color="auto"/>
        <w:bottom w:val="none" w:sz="0" w:space="0" w:color="auto"/>
        <w:right w:val="none" w:sz="0" w:space="0" w:color="auto"/>
      </w:divBdr>
    </w:div>
    <w:div w:id="1636794073">
      <w:bodyDiv w:val="1"/>
      <w:marLeft w:val="0"/>
      <w:marRight w:val="0"/>
      <w:marTop w:val="0"/>
      <w:marBottom w:val="0"/>
      <w:divBdr>
        <w:top w:val="none" w:sz="0" w:space="0" w:color="auto"/>
        <w:left w:val="none" w:sz="0" w:space="0" w:color="auto"/>
        <w:bottom w:val="none" w:sz="0" w:space="0" w:color="auto"/>
        <w:right w:val="none" w:sz="0" w:space="0" w:color="auto"/>
      </w:divBdr>
    </w:div>
    <w:div w:id="1638947516">
      <w:bodyDiv w:val="1"/>
      <w:marLeft w:val="0"/>
      <w:marRight w:val="0"/>
      <w:marTop w:val="0"/>
      <w:marBottom w:val="0"/>
      <w:divBdr>
        <w:top w:val="none" w:sz="0" w:space="0" w:color="auto"/>
        <w:left w:val="none" w:sz="0" w:space="0" w:color="auto"/>
        <w:bottom w:val="none" w:sz="0" w:space="0" w:color="auto"/>
        <w:right w:val="none" w:sz="0" w:space="0" w:color="auto"/>
      </w:divBdr>
    </w:div>
    <w:div w:id="1647856333">
      <w:bodyDiv w:val="1"/>
      <w:marLeft w:val="0"/>
      <w:marRight w:val="0"/>
      <w:marTop w:val="0"/>
      <w:marBottom w:val="0"/>
      <w:divBdr>
        <w:top w:val="none" w:sz="0" w:space="0" w:color="auto"/>
        <w:left w:val="none" w:sz="0" w:space="0" w:color="auto"/>
        <w:bottom w:val="none" w:sz="0" w:space="0" w:color="auto"/>
        <w:right w:val="none" w:sz="0" w:space="0" w:color="auto"/>
      </w:divBdr>
    </w:div>
    <w:div w:id="1648169851">
      <w:bodyDiv w:val="1"/>
      <w:marLeft w:val="0"/>
      <w:marRight w:val="0"/>
      <w:marTop w:val="0"/>
      <w:marBottom w:val="0"/>
      <w:divBdr>
        <w:top w:val="none" w:sz="0" w:space="0" w:color="auto"/>
        <w:left w:val="none" w:sz="0" w:space="0" w:color="auto"/>
        <w:bottom w:val="none" w:sz="0" w:space="0" w:color="auto"/>
        <w:right w:val="none" w:sz="0" w:space="0" w:color="auto"/>
      </w:divBdr>
    </w:div>
    <w:div w:id="1649629934">
      <w:bodyDiv w:val="1"/>
      <w:marLeft w:val="0"/>
      <w:marRight w:val="0"/>
      <w:marTop w:val="0"/>
      <w:marBottom w:val="0"/>
      <w:divBdr>
        <w:top w:val="none" w:sz="0" w:space="0" w:color="auto"/>
        <w:left w:val="none" w:sz="0" w:space="0" w:color="auto"/>
        <w:bottom w:val="none" w:sz="0" w:space="0" w:color="auto"/>
        <w:right w:val="none" w:sz="0" w:space="0" w:color="auto"/>
      </w:divBdr>
    </w:div>
    <w:div w:id="1654872726">
      <w:bodyDiv w:val="1"/>
      <w:marLeft w:val="0"/>
      <w:marRight w:val="0"/>
      <w:marTop w:val="0"/>
      <w:marBottom w:val="0"/>
      <w:divBdr>
        <w:top w:val="none" w:sz="0" w:space="0" w:color="auto"/>
        <w:left w:val="none" w:sz="0" w:space="0" w:color="auto"/>
        <w:bottom w:val="none" w:sz="0" w:space="0" w:color="auto"/>
        <w:right w:val="none" w:sz="0" w:space="0" w:color="auto"/>
      </w:divBdr>
    </w:div>
    <w:div w:id="1658725330">
      <w:bodyDiv w:val="1"/>
      <w:marLeft w:val="0"/>
      <w:marRight w:val="0"/>
      <w:marTop w:val="0"/>
      <w:marBottom w:val="0"/>
      <w:divBdr>
        <w:top w:val="none" w:sz="0" w:space="0" w:color="auto"/>
        <w:left w:val="none" w:sz="0" w:space="0" w:color="auto"/>
        <w:bottom w:val="none" w:sz="0" w:space="0" w:color="auto"/>
        <w:right w:val="none" w:sz="0" w:space="0" w:color="auto"/>
      </w:divBdr>
    </w:div>
    <w:div w:id="1659459537">
      <w:bodyDiv w:val="1"/>
      <w:marLeft w:val="0"/>
      <w:marRight w:val="0"/>
      <w:marTop w:val="0"/>
      <w:marBottom w:val="0"/>
      <w:divBdr>
        <w:top w:val="none" w:sz="0" w:space="0" w:color="auto"/>
        <w:left w:val="none" w:sz="0" w:space="0" w:color="auto"/>
        <w:bottom w:val="none" w:sz="0" w:space="0" w:color="auto"/>
        <w:right w:val="none" w:sz="0" w:space="0" w:color="auto"/>
      </w:divBdr>
    </w:div>
    <w:div w:id="1666319868">
      <w:bodyDiv w:val="1"/>
      <w:marLeft w:val="0"/>
      <w:marRight w:val="0"/>
      <w:marTop w:val="0"/>
      <w:marBottom w:val="0"/>
      <w:divBdr>
        <w:top w:val="none" w:sz="0" w:space="0" w:color="auto"/>
        <w:left w:val="none" w:sz="0" w:space="0" w:color="auto"/>
        <w:bottom w:val="none" w:sz="0" w:space="0" w:color="auto"/>
        <w:right w:val="none" w:sz="0" w:space="0" w:color="auto"/>
      </w:divBdr>
    </w:div>
    <w:div w:id="1669946232">
      <w:bodyDiv w:val="1"/>
      <w:marLeft w:val="0"/>
      <w:marRight w:val="0"/>
      <w:marTop w:val="0"/>
      <w:marBottom w:val="0"/>
      <w:divBdr>
        <w:top w:val="none" w:sz="0" w:space="0" w:color="auto"/>
        <w:left w:val="none" w:sz="0" w:space="0" w:color="auto"/>
        <w:bottom w:val="none" w:sz="0" w:space="0" w:color="auto"/>
        <w:right w:val="none" w:sz="0" w:space="0" w:color="auto"/>
      </w:divBdr>
    </w:div>
    <w:div w:id="1676377437">
      <w:bodyDiv w:val="1"/>
      <w:marLeft w:val="0"/>
      <w:marRight w:val="0"/>
      <w:marTop w:val="0"/>
      <w:marBottom w:val="0"/>
      <w:divBdr>
        <w:top w:val="none" w:sz="0" w:space="0" w:color="auto"/>
        <w:left w:val="none" w:sz="0" w:space="0" w:color="auto"/>
        <w:bottom w:val="none" w:sz="0" w:space="0" w:color="auto"/>
        <w:right w:val="none" w:sz="0" w:space="0" w:color="auto"/>
      </w:divBdr>
    </w:div>
    <w:div w:id="1678075255">
      <w:bodyDiv w:val="1"/>
      <w:marLeft w:val="0"/>
      <w:marRight w:val="0"/>
      <w:marTop w:val="0"/>
      <w:marBottom w:val="0"/>
      <w:divBdr>
        <w:top w:val="none" w:sz="0" w:space="0" w:color="auto"/>
        <w:left w:val="none" w:sz="0" w:space="0" w:color="auto"/>
        <w:bottom w:val="none" w:sz="0" w:space="0" w:color="auto"/>
        <w:right w:val="none" w:sz="0" w:space="0" w:color="auto"/>
      </w:divBdr>
    </w:div>
    <w:div w:id="1684353735">
      <w:bodyDiv w:val="1"/>
      <w:marLeft w:val="0"/>
      <w:marRight w:val="0"/>
      <w:marTop w:val="0"/>
      <w:marBottom w:val="0"/>
      <w:divBdr>
        <w:top w:val="none" w:sz="0" w:space="0" w:color="auto"/>
        <w:left w:val="none" w:sz="0" w:space="0" w:color="auto"/>
        <w:bottom w:val="none" w:sz="0" w:space="0" w:color="auto"/>
        <w:right w:val="none" w:sz="0" w:space="0" w:color="auto"/>
      </w:divBdr>
    </w:div>
    <w:div w:id="1687173458">
      <w:bodyDiv w:val="1"/>
      <w:marLeft w:val="0"/>
      <w:marRight w:val="0"/>
      <w:marTop w:val="0"/>
      <w:marBottom w:val="0"/>
      <w:divBdr>
        <w:top w:val="none" w:sz="0" w:space="0" w:color="auto"/>
        <w:left w:val="none" w:sz="0" w:space="0" w:color="auto"/>
        <w:bottom w:val="none" w:sz="0" w:space="0" w:color="auto"/>
        <w:right w:val="none" w:sz="0" w:space="0" w:color="auto"/>
      </w:divBdr>
    </w:div>
    <w:div w:id="1689409435">
      <w:bodyDiv w:val="1"/>
      <w:marLeft w:val="0"/>
      <w:marRight w:val="0"/>
      <w:marTop w:val="0"/>
      <w:marBottom w:val="0"/>
      <w:divBdr>
        <w:top w:val="none" w:sz="0" w:space="0" w:color="auto"/>
        <w:left w:val="none" w:sz="0" w:space="0" w:color="auto"/>
        <w:bottom w:val="none" w:sz="0" w:space="0" w:color="auto"/>
        <w:right w:val="none" w:sz="0" w:space="0" w:color="auto"/>
      </w:divBdr>
    </w:div>
    <w:div w:id="1690177072">
      <w:bodyDiv w:val="1"/>
      <w:marLeft w:val="0"/>
      <w:marRight w:val="0"/>
      <w:marTop w:val="0"/>
      <w:marBottom w:val="0"/>
      <w:divBdr>
        <w:top w:val="none" w:sz="0" w:space="0" w:color="auto"/>
        <w:left w:val="none" w:sz="0" w:space="0" w:color="auto"/>
        <w:bottom w:val="none" w:sz="0" w:space="0" w:color="auto"/>
        <w:right w:val="none" w:sz="0" w:space="0" w:color="auto"/>
      </w:divBdr>
    </w:div>
    <w:div w:id="1693147682">
      <w:bodyDiv w:val="1"/>
      <w:marLeft w:val="0"/>
      <w:marRight w:val="0"/>
      <w:marTop w:val="0"/>
      <w:marBottom w:val="0"/>
      <w:divBdr>
        <w:top w:val="none" w:sz="0" w:space="0" w:color="auto"/>
        <w:left w:val="none" w:sz="0" w:space="0" w:color="auto"/>
        <w:bottom w:val="none" w:sz="0" w:space="0" w:color="auto"/>
        <w:right w:val="none" w:sz="0" w:space="0" w:color="auto"/>
      </w:divBdr>
    </w:div>
    <w:div w:id="1695418140">
      <w:bodyDiv w:val="1"/>
      <w:marLeft w:val="0"/>
      <w:marRight w:val="0"/>
      <w:marTop w:val="0"/>
      <w:marBottom w:val="0"/>
      <w:divBdr>
        <w:top w:val="none" w:sz="0" w:space="0" w:color="auto"/>
        <w:left w:val="none" w:sz="0" w:space="0" w:color="auto"/>
        <w:bottom w:val="none" w:sz="0" w:space="0" w:color="auto"/>
        <w:right w:val="none" w:sz="0" w:space="0" w:color="auto"/>
      </w:divBdr>
    </w:div>
    <w:div w:id="1699238030">
      <w:bodyDiv w:val="1"/>
      <w:marLeft w:val="0"/>
      <w:marRight w:val="0"/>
      <w:marTop w:val="0"/>
      <w:marBottom w:val="0"/>
      <w:divBdr>
        <w:top w:val="none" w:sz="0" w:space="0" w:color="auto"/>
        <w:left w:val="none" w:sz="0" w:space="0" w:color="auto"/>
        <w:bottom w:val="none" w:sz="0" w:space="0" w:color="auto"/>
        <w:right w:val="none" w:sz="0" w:space="0" w:color="auto"/>
      </w:divBdr>
    </w:div>
    <w:div w:id="1702121963">
      <w:bodyDiv w:val="1"/>
      <w:marLeft w:val="0"/>
      <w:marRight w:val="0"/>
      <w:marTop w:val="0"/>
      <w:marBottom w:val="0"/>
      <w:divBdr>
        <w:top w:val="none" w:sz="0" w:space="0" w:color="auto"/>
        <w:left w:val="none" w:sz="0" w:space="0" w:color="auto"/>
        <w:bottom w:val="none" w:sz="0" w:space="0" w:color="auto"/>
        <w:right w:val="none" w:sz="0" w:space="0" w:color="auto"/>
      </w:divBdr>
    </w:div>
    <w:div w:id="1702974070">
      <w:bodyDiv w:val="1"/>
      <w:marLeft w:val="0"/>
      <w:marRight w:val="0"/>
      <w:marTop w:val="0"/>
      <w:marBottom w:val="0"/>
      <w:divBdr>
        <w:top w:val="none" w:sz="0" w:space="0" w:color="auto"/>
        <w:left w:val="none" w:sz="0" w:space="0" w:color="auto"/>
        <w:bottom w:val="none" w:sz="0" w:space="0" w:color="auto"/>
        <w:right w:val="none" w:sz="0" w:space="0" w:color="auto"/>
      </w:divBdr>
    </w:div>
    <w:div w:id="1708873620">
      <w:bodyDiv w:val="1"/>
      <w:marLeft w:val="0"/>
      <w:marRight w:val="0"/>
      <w:marTop w:val="0"/>
      <w:marBottom w:val="0"/>
      <w:divBdr>
        <w:top w:val="none" w:sz="0" w:space="0" w:color="auto"/>
        <w:left w:val="none" w:sz="0" w:space="0" w:color="auto"/>
        <w:bottom w:val="none" w:sz="0" w:space="0" w:color="auto"/>
        <w:right w:val="none" w:sz="0" w:space="0" w:color="auto"/>
      </w:divBdr>
    </w:div>
    <w:div w:id="1711878278">
      <w:bodyDiv w:val="1"/>
      <w:marLeft w:val="0"/>
      <w:marRight w:val="0"/>
      <w:marTop w:val="0"/>
      <w:marBottom w:val="0"/>
      <w:divBdr>
        <w:top w:val="none" w:sz="0" w:space="0" w:color="auto"/>
        <w:left w:val="none" w:sz="0" w:space="0" w:color="auto"/>
        <w:bottom w:val="none" w:sz="0" w:space="0" w:color="auto"/>
        <w:right w:val="none" w:sz="0" w:space="0" w:color="auto"/>
      </w:divBdr>
    </w:div>
    <w:div w:id="1713190225">
      <w:bodyDiv w:val="1"/>
      <w:marLeft w:val="0"/>
      <w:marRight w:val="0"/>
      <w:marTop w:val="0"/>
      <w:marBottom w:val="0"/>
      <w:divBdr>
        <w:top w:val="none" w:sz="0" w:space="0" w:color="auto"/>
        <w:left w:val="none" w:sz="0" w:space="0" w:color="auto"/>
        <w:bottom w:val="none" w:sz="0" w:space="0" w:color="auto"/>
        <w:right w:val="none" w:sz="0" w:space="0" w:color="auto"/>
      </w:divBdr>
    </w:div>
    <w:div w:id="1714306058">
      <w:bodyDiv w:val="1"/>
      <w:marLeft w:val="0"/>
      <w:marRight w:val="0"/>
      <w:marTop w:val="0"/>
      <w:marBottom w:val="0"/>
      <w:divBdr>
        <w:top w:val="none" w:sz="0" w:space="0" w:color="auto"/>
        <w:left w:val="none" w:sz="0" w:space="0" w:color="auto"/>
        <w:bottom w:val="none" w:sz="0" w:space="0" w:color="auto"/>
        <w:right w:val="none" w:sz="0" w:space="0" w:color="auto"/>
      </w:divBdr>
    </w:div>
    <w:div w:id="1721787263">
      <w:bodyDiv w:val="1"/>
      <w:marLeft w:val="0"/>
      <w:marRight w:val="0"/>
      <w:marTop w:val="0"/>
      <w:marBottom w:val="0"/>
      <w:divBdr>
        <w:top w:val="none" w:sz="0" w:space="0" w:color="auto"/>
        <w:left w:val="none" w:sz="0" w:space="0" w:color="auto"/>
        <w:bottom w:val="none" w:sz="0" w:space="0" w:color="auto"/>
        <w:right w:val="none" w:sz="0" w:space="0" w:color="auto"/>
      </w:divBdr>
    </w:div>
    <w:div w:id="1734887071">
      <w:bodyDiv w:val="1"/>
      <w:marLeft w:val="0"/>
      <w:marRight w:val="0"/>
      <w:marTop w:val="0"/>
      <w:marBottom w:val="0"/>
      <w:divBdr>
        <w:top w:val="none" w:sz="0" w:space="0" w:color="auto"/>
        <w:left w:val="none" w:sz="0" w:space="0" w:color="auto"/>
        <w:bottom w:val="none" w:sz="0" w:space="0" w:color="auto"/>
        <w:right w:val="none" w:sz="0" w:space="0" w:color="auto"/>
      </w:divBdr>
    </w:div>
    <w:div w:id="1738432834">
      <w:bodyDiv w:val="1"/>
      <w:marLeft w:val="0"/>
      <w:marRight w:val="0"/>
      <w:marTop w:val="0"/>
      <w:marBottom w:val="0"/>
      <w:divBdr>
        <w:top w:val="none" w:sz="0" w:space="0" w:color="auto"/>
        <w:left w:val="none" w:sz="0" w:space="0" w:color="auto"/>
        <w:bottom w:val="none" w:sz="0" w:space="0" w:color="auto"/>
        <w:right w:val="none" w:sz="0" w:space="0" w:color="auto"/>
      </w:divBdr>
    </w:div>
    <w:div w:id="1744139294">
      <w:bodyDiv w:val="1"/>
      <w:marLeft w:val="0"/>
      <w:marRight w:val="0"/>
      <w:marTop w:val="0"/>
      <w:marBottom w:val="0"/>
      <w:divBdr>
        <w:top w:val="none" w:sz="0" w:space="0" w:color="auto"/>
        <w:left w:val="none" w:sz="0" w:space="0" w:color="auto"/>
        <w:bottom w:val="none" w:sz="0" w:space="0" w:color="auto"/>
        <w:right w:val="none" w:sz="0" w:space="0" w:color="auto"/>
      </w:divBdr>
    </w:div>
    <w:div w:id="1751847984">
      <w:bodyDiv w:val="1"/>
      <w:marLeft w:val="0"/>
      <w:marRight w:val="0"/>
      <w:marTop w:val="0"/>
      <w:marBottom w:val="0"/>
      <w:divBdr>
        <w:top w:val="none" w:sz="0" w:space="0" w:color="auto"/>
        <w:left w:val="none" w:sz="0" w:space="0" w:color="auto"/>
        <w:bottom w:val="none" w:sz="0" w:space="0" w:color="auto"/>
        <w:right w:val="none" w:sz="0" w:space="0" w:color="auto"/>
      </w:divBdr>
    </w:div>
    <w:div w:id="1757172034">
      <w:bodyDiv w:val="1"/>
      <w:marLeft w:val="0"/>
      <w:marRight w:val="0"/>
      <w:marTop w:val="0"/>
      <w:marBottom w:val="0"/>
      <w:divBdr>
        <w:top w:val="none" w:sz="0" w:space="0" w:color="auto"/>
        <w:left w:val="none" w:sz="0" w:space="0" w:color="auto"/>
        <w:bottom w:val="none" w:sz="0" w:space="0" w:color="auto"/>
        <w:right w:val="none" w:sz="0" w:space="0" w:color="auto"/>
      </w:divBdr>
    </w:div>
    <w:div w:id="1764062842">
      <w:bodyDiv w:val="1"/>
      <w:marLeft w:val="0"/>
      <w:marRight w:val="0"/>
      <w:marTop w:val="0"/>
      <w:marBottom w:val="0"/>
      <w:divBdr>
        <w:top w:val="none" w:sz="0" w:space="0" w:color="auto"/>
        <w:left w:val="none" w:sz="0" w:space="0" w:color="auto"/>
        <w:bottom w:val="none" w:sz="0" w:space="0" w:color="auto"/>
        <w:right w:val="none" w:sz="0" w:space="0" w:color="auto"/>
      </w:divBdr>
    </w:div>
    <w:div w:id="1764951741">
      <w:bodyDiv w:val="1"/>
      <w:marLeft w:val="0"/>
      <w:marRight w:val="0"/>
      <w:marTop w:val="0"/>
      <w:marBottom w:val="0"/>
      <w:divBdr>
        <w:top w:val="none" w:sz="0" w:space="0" w:color="auto"/>
        <w:left w:val="none" w:sz="0" w:space="0" w:color="auto"/>
        <w:bottom w:val="none" w:sz="0" w:space="0" w:color="auto"/>
        <w:right w:val="none" w:sz="0" w:space="0" w:color="auto"/>
      </w:divBdr>
    </w:div>
    <w:div w:id="1767537784">
      <w:bodyDiv w:val="1"/>
      <w:marLeft w:val="0"/>
      <w:marRight w:val="0"/>
      <w:marTop w:val="0"/>
      <w:marBottom w:val="0"/>
      <w:divBdr>
        <w:top w:val="none" w:sz="0" w:space="0" w:color="auto"/>
        <w:left w:val="none" w:sz="0" w:space="0" w:color="auto"/>
        <w:bottom w:val="none" w:sz="0" w:space="0" w:color="auto"/>
        <w:right w:val="none" w:sz="0" w:space="0" w:color="auto"/>
      </w:divBdr>
    </w:div>
    <w:div w:id="1769228825">
      <w:bodyDiv w:val="1"/>
      <w:marLeft w:val="0"/>
      <w:marRight w:val="0"/>
      <w:marTop w:val="0"/>
      <w:marBottom w:val="0"/>
      <w:divBdr>
        <w:top w:val="none" w:sz="0" w:space="0" w:color="auto"/>
        <w:left w:val="none" w:sz="0" w:space="0" w:color="auto"/>
        <w:bottom w:val="none" w:sz="0" w:space="0" w:color="auto"/>
        <w:right w:val="none" w:sz="0" w:space="0" w:color="auto"/>
      </w:divBdr>
    </w:div>
    <w:div w:id="1774353499">
      <w:bodyDiv w:val="1"/>
      <w:marLeft w:val="0"/>
      <w:marRight w:val="0"/>
      <w:marTop w:val="0"/>
      <w:marBottom w:val="0"/>
      <w:divBdr>
        <w:top w:val="none" w:sz="0" w:space="0" w:color="auto"/>
        <w:left w:val="none" w:sz="0" w:space="0" w:color="auto"/>
        <w:bottom w:val="none" w:sz="0" w:space="0" w:color="auto"/>
        <w:right w:val="none" w:sz="0" w:space="0" w:color="auto"/>
      </w:divBdr>
    </w:div>
    <w:div w:id="1778479887">
      <w:bodyDiv w:val="1"/>
      <w:marLeft w:val="0"/>
      <w:marRight w:val="0"/>
      <w:marTop w:val="0"/>
      <w:marBottom w:val="0"/>
      <w:divBdr>
        <w:top w:val="none" w:sz="0" w:space="0" w:color="auto"/>
        <w:left w:val="none" w:sz="0" w:space="0" w:color="auto"/>
        <w:bottom w:val="none" w:sz="0" w:space="0" w:color="auto"/>
        <w:right w:val="none" w:sz="0" w:space="0" w:color="auto"/>
      </w:divBdr>
    </w:div>
    <w:div w:id="1784114185">
      <w:bodyDiv w:val="1"/>
      <w:marLeft w:val="0"/>
      <w:marRight w:val="0"/>
      <w:marTop w:val="0"/>
      <w:marBottom w:val="0"/>
      <w:divBdr>
        <w:top w:val="none" w:sz="0" w:space="0" w:color="auto"/>
        <w:left w:val="none" w:sz="0" w:space="0" w:color="auto"/>
        <w:bottom w:val="none" w:sz="0" w:space="0" w:color="auto"/>
        <w:right w:val="none" w:sz="0" w:space="0" w:color="auto"/>
      </w:divBdr>
    </w:div>
    <w:div w:id="1793549592">
      <w:bodyDiv w:val="1"/>
      <w:marLeft w:val="0"/>
      <w:marRight w:val="0"/>
      <w:marTop w:val="0"/>
      <w:marBottom w:val="0"/>
      <w:divBdr>
        <w:top w:val="none" w:sz="0" w:space="0" w:color="auto"/>
        <w:left w:val="none" w:sz="0" w:space="0" w:color="auto"/>
        <w:bottom w:val="none" w:sz="0" w:space="0" w:color="auto"/>
        <w:right w:val="none" w:sz="0" w:space="0" w:color="auto"/>
      </w:divBdr>
    </w:div>
    <w:div w:id="1793983278">
      <w:bodyDiv w:val="1"/>
      <w:marLeft w:val="0"/>
      <w:marRight w:val="0"/>
      <w:marTop w:val="0"/>
      <w:marBottom w:val="0"/>
      <w:divBdr>
        <w:top w:val="none" w:sz="0" w:space="0" w:color="auto"/>
        <w:left w:val="none" w:sz="0" w:space="0" w:color="auto"/>
        <w:bottom w:val="none" w:sz="0" w:space="0" w:color="auto"/>
        <w:right w:val="none" w:sz="0" w:space="0" w:color="auto"/>
      </w:divBdr>
    </w:div>
    <w:div w:id="1795518234">
      <w:bodyDiv w:val="1"/>
      <w:marLeft w:val="0"/>
      <w:marRight w:val="0"/>
      <w:marTop w:val="0"/>
      <w:marBottom w:val="0"/>
      <w:divBdr>
        <w:top w:val="none" w:sz="0" w:space="0" w:color="auto"/>
        <w:left w:val="none" w:sz="0" w:space="0" w:color="auto"/>
        <w:bottom w:val="none" w:sz="0" w:space="0" w:color="auto"/>
        <w:right w:val="none" w:sz="0" w:space="0" w:color="auto"/>
      </w:divBdr>
    </w:div>
    <w:div w:id="1798791255">
      <w:bodyDiv w:val="1"/>
      <w:marLeft w:val="0"/>
      <w:marRight w:val="0"/>
      <w:marTop w:val="0"/>
      <w:marBottom w:val="0"/>
      <w:divBdr>
        <w:top w:val="none" w:sz="0" w:space="0" w:color="auto"/>
        <w:left w:val="none" w:sz="0" w:space="0" w:color="auto"/>
        <w:bottom w:val="none" w:sz="0" w:space="0" w:color="auto"/>
        <w:right w:val="none" w:sz="0" w:space="0" w:color="auto"/>
      </w:divBdr>
    </w:div>
    <w:div w:id="1804885580">
      <w:bodyDiv w:val="1"/>
      <w:marLeft w:val="0"/>
      <w:marRight w:val="0"/>
      <w:marTop w:val="0"/>
      <w:marBottom w:val="0"/>
      <w:divBdr>
        <w:top w:val="none" w:sz="0" w:space="0" w:color="auto"/>
        <w:left w:val="none" w:sz="0" w:space="0" w:color="auto"/>
        <w:bottom w:val="none" w:sz="0" w:space="0" w:color="auto"/>
        <w:right w:val="none" w:sz="0" w:space="0" w:color="auto"/>
      </w:divBdr>
    </w:div>
    <w:div w:id="1810322415">
      <w:bodyDiv w:val="1"/>
      <w:marLeft w:val="0"/>
      <w:marRight w:val="0"/>
      <w:marTop w:val="0"/>
      <w:marBottom w:val="0"/>
      <w:divBdr>
        <w:top w:val="none" w:sz="0" w:space="0" w:color="auto"/>
        <w:left w:val="none" w:sz="0" w:space="0" w:color="auto"/>
        <w:bottom w:val="none" w:sz="0" w:space="0" w:color="auto"/>
        <w:right w:val="none" w:sz="0" w:space="0" w:color="auto"/>
      </w:divBdr>
    </w:div>
    <w:div w:id="1815176185">
      <w:bodyDiv w:val="1"/>
      <w:marLeft w:val="0"/>
      <w:marRight w:val="0"/>
      <w:marTop w:val="0"/>
      <w:marBottom w:val="0"/>
      <w:divBdr>
        <w:top w:val="none" w:sz="0" w:space="0" w:color="auto"/>
        <w:left w:val="none" w:sz="0" w:space="0" w:color="auto"/>
        <w:bottom w:val="none" w:sz="0" w:space="0" w:color="auto"/>
        <w:right w:val="none" w:sz="0" w:space="0" w:color="auto"/>
      </w:divBdr>
    </w:div>
    <w:div w:id="1820920732">
      <w:bodyDiv w:val="1"/>
      <w:marLeft w:val="0"/>
      <w:marRight w:val="0"/>
      <w:marTop w:val="0"/>
      <w:marBottom w:val="0"/>
      <w:divBdr>
        <w:top w:val="none" w:sz="0" w:space="0" w:color="auto"/>
        <w:left w:val="none" w:sz="0" w:space="0" w:color="auto"/>
        <w:bottom w:val="none" w:sz="0" w:space="0" w:color="auto"/>
        <w:right w:val="none" w:sz="0" w:space="0" w:color="auto"/>
      </w:divBdr>
    </w:div>
    <w:div w:id="1841892537">
      <w:bodyDiv w:val="1"/>
      <w:marLeft w:val="0"/>
      <w:marRight w:val="0"/>
      <w:marTop w:val="0"/>
      <w:marBottom w:val="0"/>
      <w:divBdr>
        <w:top w:val="none" w:sz="0" w:space="0" w:color="auto"/>
        <w:left w:val="none" w:sz="0" w:space="0" w:color="auto"/>
        <w:bottom w:val="none" w:sz="0" w:space="0" w:color="auto"/>
        <w:right w:val="none" w:sz="0" w:space="0" w:color="auto"/>
      </w:divBdr>
    </w:div>
    <w:div w:id="1842157580">
      <w:bodyDiv w:val="1"/>
      <w:marLeft w:val="0"/>
      <w:marRight w:val="0"/>
      <w:marTop w:val="0"/>
      <w:marBottom w:val="0"/>
      <w:divBdr>
        <w:top w:val="none" w:sz="0" w:space="0" w:color="auto"/>
        <w:left w:val="none" w:sz="0" w:space="0" w:color="auto"/>
        <w:bottom w:val="none" w:sz="0" w:space="0" w:color="auto"/>
        <w:right w:val="none" w:sz="0" w:space="0" w:color="auto"/>
      </w:divBdr>
    </w:div>
    <w:div w:id="1843083317">
      <w:bodyDiv w:val="1"/>
      <w:marLeft w:val="0"/>
      <w:marRight w:val="0"/>
      <w:marTop w:val="0"/>
      <w:marBottom w:val="0"/>
      <w:divBdr>
        <w:top w:val="none" w:sz="0" w:space="0" w:color="auto"/>
        <w:left w:val="none" w:sz="0" w:space="0" w:color="auto"/>
        <w:bottom w:val="none" w:sz="0" w:space="0" w:color="auto"/>
        <w:right w:val="none" w:sz="0" w:space="0" w:color="auto"/>
      </w:divBdr>
    </w:div>
    <w:div w:id="1859156286">
      <w:bodyDiv w:val="1"/>
      <w:marLeft w:val="0"/>
      <w:marRight w:val="0"/>
      <w:marTop w:val="0"/>
      <w:marBottom w:val="0"/>
      <w:divBdr>
        <w:top w:val="none" w:sz="0" w:space="0" w:color="auto"/>
        <w:left w:val="none" w:sz="0" w:space="0" w:color="auto"/>
        <w:bottom w:val="none" w:sz="0" w:space="0" w:color="auto"/>
        <w:right w:val="none" w:sz="0" w:space="0" w:color="auto"/>
      </w:divBdr>
    </w:div>
    <w:div w:id="1863200146">
      <w:bodyDiv w:val="1"/>
      <w:marLeft w:val="0"/>
      <w:marRight w:val="0"/>
      <w:marTop w:val="0"/>
      <w:marBottom w:val="0"/>
      <w:divBdr>
        <w:top w:val="none" w:sz="0" w:space="0" w:color="auto"/>
        <w:left w:val="none" w:sz="0" w:space="0" w:color="auto"/>
        <w:bottom w:val="none" w:sz="0" w:space="0" w:color="auto"/>
        <w:right w:val="none" w:sz="0" w:space="0" w:color="auto"/>
      </w:divBdr>
    </w:div>
    <w:div w:id="1864896120">
      <w:bodyDiv w:val="1"/>
      <w:marLeft w:val="0"/>
      <w:marRight w:val="0"/>
      <w:marTop w:val="0"/>
      <w:marBottom w:val="0"/>
      <w:divBdr>
        <w:top w:val="none" w:sz="0" w:space="0" w:color="auto"/>
        <w:left w:val="none" w:sz="0" w:space="0" w:color="auto"/>
        <w:bottom w:val="none" w:sz="0" w:space="0" w:color="auto"/>
        <w:right w:val="none" w:sz="0" w:space="0" w:color="auto"/>
      </w:divBdr>
    </w:div>
    <w:div w:id="1866551614">
      <w:bodyDiv w:val="1"/>
      <w:marLeft w:val="0"/>
      <w:marRight w:val="0"/>
      <w:marTop w:val="0"/>
      <w:marBottom w:val="0"/>
      <w:divBdr>
        <w:top w:val="none" w:sz="0" w:space="0" w:color="auto"/>
        <w:left w:val="none" w:sz="0" w:space="0" w:color="auto"/>
        <w:bottom w:val="none" w:sz="0" w:space="0" w:color="auto"/>
        <w:right w:val="none" w:sz="0" w:space="0" w:color="auto"/>
      </w:divBdr>
    </w:div>
    <w:div w:id="1866823324">
      <w:bodyDiv w:val="1"/>
      <w:marLeft w:val="0"/>
      <w:marRight w:val="0"/>
      <w:marTop w:val="0"/>
      <w:marBottom w:val="0"/>
      <w:divBdr>
        <w:top w:val="none" w:sz="0" w:space="0" w:color="auto"/>
        <w:left w:val="none" w:sz="0" w:space="0" w:color="auto"/>
        <w:bottom w:val="none" w:sz="0" w:space="0" w:color="auto"/>
        <w:right w:val="none" w:sz="0" w:space="0" w:color="auto"/>
      </w:divBdr>
    </w:div>
    <w:div w:id="1871066116">
      <w:bodyDiv w:val="1"/>
      <w:marLeft w:val="0"/>
      <w:marRight w:val="0"/>
      <w:marTop w:val="0"/>
      <w:marBottom w:val="0"/>
      <w:divBdr>
        <w:top w:val="none" w:sz="0" w:space="0" w:color="auto"/>
        <w:left w:val="none" w:sz="0" w:space="0" w:color="auto"/>
        <w:bottom w:val="none" w:sz="0" w:space="0" w:color="auto"/>
        <w:right w:val="none" w:sz="0" w:space="0" w:color="auto"/>
      </w:divBdr>
    </w:div>
    <w:div w:id="1874607909">
      <w:bodyDiv w:val="1"/>
      <w:marLeft w:val="0"/>
      <w:marRight w:val="0"/>
      <w:marTop w:val="0"/>
      <w:marBottom w:val="0"/>
      <w:divBdr>
        <w:top w:val="none" w:sz="0" w:space="0" w:color="auto"/>
        <w:left w:val="none" w:sz="0" w:space="0" w:color="auto"/>
        <w:bottom w:val="none" w:sz="0" w:space="0" w:color="auto"/>
        <w:right w:val="none" w:sz="0" w:space="0" w:color="auto"/>
      </w:divBdr>
    </w:div>
    <w:div w:id="1879931499">
      <w:bodyDiv w:val="1"/>
      <w:marLeft w:val="0"/>
      <w:marRight w:val="0"/>
      <w:marTop w:val="0"/>
      <w:marBottom w:val="0"/>
      <w:divBdr>
        <w:top w:val="none" w:sz="0" w:space="0" w:color="auto"/>
        <w:left w:val="none" w:sz="0" w:space="0" w:color="auto"/>
        <w:bottom w:val="none" w:sz="0" w:space="0" w:color="auto"/>
        <w:right w:val="none" w:sz="0" w:space="0" w:color="auto"/>
      </w:divBdr>
    </w:div>
    <w:div w:id="1879975699">
      <w:bodyDiv w:val="1"/>
      <w:marLeft w:val="0"/>
      <w:marRight w:val="0"/>
      <w:marTop w:val="0"/>
      <w:marBottom w:val="0"/>
      <w:divBdr>
        <w:top w:val="none" w:sz="0" w:space="0" w:color="auto"/>
        <w:left w:val="none" w:sz="0" w:space="0" w:color="auto"/>
        <w:bottom w:val="none" w:sz="0" w:space="0" w:color="auto"/>
        <w:right w:val="none" w:sz="0" w:space="0" w:color="auto"/>
      </w:divBdr>
    </w:div>
    <w:div w:id="1884631341">
      <w:bodyDiv w:val="1"/>
      <w:marLeft w:val="0"/>
      <w:marRight w:val="0"/>
      <w:marTop w:val="0"/>
      <w:marBottom w:val="0"/>
      <w:divBdr>
        <w:top w:val="none" w:sz="0" w:space="0" w:color="auto"/>
        <w:left w:val="none" w:sz="0" w:space="0" w:color="auto"/>
        <w:bottom w:val="none" w:sz="0" w:space="0" w:color="auto"/>
        <w:right w:val="none" w:sz="0" w:space="0" w:color="auto"/>
      </w:divBdr>
    </w:div>
    <w:div w:id="1885209752">
      <w:bodyDiv w:val="1"/>
      <w:marLeft w:val="0"/>
      <w:marRight w:val="0"/>
      <w:marTop w:val="0"/>
      <w:marBottom w:val="0"/>
      <w:divBdr>
        <w:top w:val="none" w:sz="0" w:space="0" w:color="auto"/>
        <w:left w:val="none" w:sz="0" w:space="0" w:color="auto"/>
        <w:bottom w:val="none" w:sz="0" w:space="0" w:color="auto"/>
        <w:right w:val="none" w:sz="0" w:space="0" w:color="auto"/>
      </w:divBdr>
    </w:div>
    <w:div w:id="1886672882">
      <w:bodyDiv w:val="1"/>
      <w:marLeft w:val="0"/>
      <w:marRight w:val="0"/>
      <w:marTop w:val="0"/>
      <w:marBottom w:val="0"/>
      <w:divBdr>
        <w:top w:val="none" w:sz="0" w:space="0" w:color="auto"/>
        <w:left w:val="none" w:sz="0" w:space="0" w:color="auto"/>
        <w:bottom w:val="none" w:sz="0" w:space="0" w:color="auto"/>
        <w:right w:val="none" w:sz="0" w:space="0" w:color="auto"/>
      </w:divBdr>
    </w:div>
    <w:div w:id="1886678464">
      <w:bodyDiv w:val="1"/>
      <w:marLeft w:val="0"/>
      <w:marRight w:val="0"/>
      <w:marTop w:val="0"/>
      <w:marBottom w:val="0"/>
      <w:divBdr>
        <w:top w:val="none" w:sz="0" w:space="0" w:color="auto"/>
        <w:left w:val="none" w:sz="0" w:space="0" w:color="auto"/>
        <w:bottom w:val="none" w:sz="0" w:space="0" w:color="auto"/>
        <w:right w:val="none" w:sz="0" w:space="0" w:color="auto"/>
      </w:divBdr>
    </w:div>
    <w:div w:id="1895043451">
      <w:bodyDiv w:val="1"/>
      <w:marLeft w:val="0"/>
      <w:marRight w:val="0"/>
      <w:marTop w:val="0"/>
      <w:marBottom w:val="0"/>
      <w:divBdr>
        <w:top w:val="none" w:sz="0" w:space="0" w:color="auto"/>
        <w:left w:val="none" w:sz="0" w:space="0" w:color="auto"/>
        <w:bottom w:val="none" w:sz="0" w:space="0" w:color="auto"/>
        <w:right w:val="none" w:sz="0" w:space="0" w:color="auto"/>
      </w:divBdr>
    </w:div>
    <w:div w:id="1895582791">
      <w:bodyDiv w:val="1"/>
      <w:marLeft w:val="0"/>
      <w:marRight w:val="0"/>
      <w:marTop w:val="0"/>
      <w:marBottom w:val="0"/>
      <w:divBdr>
        <w:top w:val="none" w:sz="0" w:space="0" w:color="auto"/>
        <w:left w:val="none" w:sz="0" w:space="0" w:color="auto"/>
        <w:bottom w:val="none" w:sz="0" w:space="0" w:color="auto"/>
        <w:right w:val="none" w:sz="0" w:space="0" w:color="auto"/>
      </w:divBdr>
    </w:div>
    <w:div w:id="1896576919">
      <w:bodyDiv w:val="1"/>
      <w:marLeft w:val="0"/>
      <w:marRight w:val="0"/>
      <w:marTop w:val="0"/>
      <w:marBottom w:val="0"/>
      <w:divBdr>
        <w:top w:val="none" w:sz="0" w:space="0" w:color="auto"/>
        <w:left w:val="none" w:sz="0" w:space="0" w:color="auto"/>
        <w:bottom w:val="none" w:sz="0" w:space="0" w:color="auto"/>
        <w:right w:val="none" w:sz="0" w:space="0" w:color="auto"/>
      </w:divBdr>
    </w:div>
    <w:div w:id="1898472653">
      <w:bodyDiv w:val="1"/>
      <w:marLeft w:val="0"/>
      <w:marRight w:val="0"/>
      <w:marTop w:val="0"/>
      <w:marBottom w:val="0"/>
      <w:divBdr>
        <w:top w:val="none" w:sz="0" w:space="0" w:color="auto"/>
        <w:left w:val="none" w:sz="0" w:space="0" w:color="auto"/>
        <w:bottom w:val="none" w:sz="0" w:space="0" w:color="auto"/>
        <w:right w:val="none" w:sz="0" w:space="0" w:color="auto"/>
      </w:divBdr>
    </w:div>
    <w:div w:id="1906909998">
      <w:bodyDiv w:val="1"/>
      <w:marLeft w:val="0"/>
      <w:marRight w:val="0"/>
      <w:marTop w:val="0"/>
      <w:marBottom w:val="0"/>
      <w:divBdr>
        <w:top w:val="none" w:sz="0" w:space="0" w:color="auto"/>
        <w:left w:val="none" w:sz="0" w:space="0" w:color="auto"/>
        <w:bottom w:val="none" w:sz="0" w:space="0" w:color="auto"/>
        <w:right w:val="none" w:sz="0" w:space="0" w:color="auto"/>
      </w:divBdr>
    </w:div>
    <w:div w:id="1908879383">
      <w:bodyDiv w:val="1"/>
      <w:marLeft w:val="0"/>
      <w:marRight w:val="0"/>
      <w:marTop w:val="0"/>
      <w:marBottom w:val="0"/>
      <w:divBdr>
        <w:top w:val="none" w:sz="0" w:space="0" w:color="auto"/>
        <w:left w:val="none" w:sz="0" w:space="0" w:color="auto"/>
        <w:bottom w:val="none" w:sz="0" w:space="0" w:color="auto"/>
        <w:right w:val="none" w:sz="0" w:space="0" w:color="auto"/>
      </w:divBdr>
    </w:div>
    <w:div w:id="1914196544">
      <w:bodyDiv w:val="1"/>
      <w:marLeft w:val="0"/>
      <w:marRight w:val="0"/>
      <w:marTop w:val="0"/>
      <w:marBottom w:val="0"/>
      <w:divBdr>
        <w:top w:val="none" w:sz="0" w:space="0" w:color="auto"/>
        <w:left w:val="none" w:sz="0" w:space="0" w:color="auto"/>
        <w:bottom w:val="none" w:sz="0" w:space="0" w:color="auto"/>
        <w:right w:val="none" w:sz="0" w:space="0" w:color="auto"/>
      </w:divBdr>
    </w:div>
    <w:div w:id="1915166747">
      <w:bodyDiv w:val="1"/>
      <w:marLeft w:val="0"/>
      <w:marRight w:val="0"/>
      <w:marTop w:val="0"/>
      <w:marBottom w:val="0"/>
      <w:divBdr>
        <w:top w:val="none" w:sz="0" w:space="0" w:color="auto"/>
        <w:left w:val="none" w:sz="0" w:space="0" w:color="auto"/>
        <w:bottom w:val="none" w:sz="0" w:space="0" w:color="auto"/>
        <w:right w:val="none" w:sz="0" w:space="0" w:color="auto"/>
      </w:divBdr>
    </w:div>
    <w:div w:id="1919166285">
      <w:bodyDiv w:val="1"/>
      <w:marLeft w:val="0"/>
      <w:marRight w:val="0"/>
      <w:marTop w:val="0"/>
      <w:marBottom w:val="0"/>
      <w:divBdr>
        <w:top w:val="none" w:sz="0" w:space="0" w:color="auto"/>
        <w:left w:val="none" w:sz="0" w:space="0" w:color="auto"/>
        <w:bottom w:val="none" w:sz="0" w:space="0" w:color="auto"/>
        <w:right w:val="none" w:sz="0" w:space="0" w:color="auto"/>
      </w:divBdr>
    </w:div>
    <w:div w:id="1922063958">
      <w:bodyDiv w:val="1"/>
      <w:marLeft w:val="0"/>
      <w:marRight w:val="0"/>
      <w:marTop w:val="0"/>
      <w:marBottom w:val="0"/>
      <w:divBdr>
        <w:top w:val="none" w:sz="0" w:space="0" w:color="auto"/>
        <w:left w:val="none" w:sz="0" w:space="0" w:color="auto"/>
        <w:bottom w:val="none" w:sz="0" w:space="0" w:color="auto"/>
        <w:right w:val="none" w:sz="0" w:space="0" w:color="auto"/>
      </w:divBdr>
    </w:div>
    <w:div w:id="1950160954">
      <w:bodyDiv w:val="1"/>
      <w:marLeft w:val="0"/>
      <w:marRight w:val="0"/>
      <w:marTop w:val="0"/>
      <w:marBottom w:val="0"/>
      <w:divBdr>
        <w:top w:val="none" w:sz="0" w:space="0" w:color="auto"/>
        <w:left w:val="none" w:sz="0" w:space="0" w:color="auto"/>
        <w:bottom w:val="none" w:sz="0" w:space="0" w:color="auto"/>
        <w:right w:val="none" w:sz="0" w:space="0" w:color="auto"/>
      </w:divBdr>
    </w:div>
    <w:div w:id="1953437090">
      <w:bodyDiv w:val="1"/>
      <w:marLeft w:val="0"/>
      <w:marRight w:val="0"/>
      <w:marTop w:val="0"/>
      <w:marBottom w:val="0"/>
      <w:divBdr>
        <w:top w:val="none" w:sz="0" w:space="0" w:color="auto"/>
        <w:left w:val="none" w:sz="0" w:space="0" w:color="auto"/>
        <w:bottom w:val="none" w:sz="0" w:space="0" w:color="auto"/>
        <w:right w:val="none" w:sz="0" w:space="0" w:color="auto"/>
      </w:divBdr>
    </w:div>
    <w:div w:id="1964798696">
      <w:bodyDiv w:val="1"/>
      <w:marLeft w:val="0"/>
      <w:marRight w:val="0"/>
      <w:marTop w:val="0"/>
      <w:marBottom w:val="0"/>
      <w:divBdr>
        <w:top w:val="none" w:sz="0" w:space="0" w:color="auto"/>
        <w:left w:val="none" w:sz="0" w:space="0" w:color="auto"/>
        <w:bottom w:val="none" w:sz="0" w:space="0" w:color="auto"/>
        <w:right w:val="none" w:sz="0" w:space="0" w:color="auto"/>
      </w:divBdr>
    </w:div>
    <w:div w:id="1965693354">
      <w:bodyDiv w:val="1"/>
      <w:marLeft w:val="0"/>
      <w:marRight w:val="0"/>
      <w:marTop w:val="0"/>
      <w:marBottom w:val="0"/>
      <w:divBdr>
        <w:top w:val="none" w:sz="0" w:space="0" w:color="auto"/>
        <w:left w:val="none" w:sz="0" w:space="0" w:color="auto"/>
        <w:bottom w:val="none" w:sz="0" w:space="0" w:color="auto"/>
        <w:right w:val="none" w:sz="0" w:space="0" w:color="auto"/>
      </w:divBdr>
    </w:div>
    <w:div w:id="1967194591">
      <w:bodyDiv w:val="1"/>
      <w:marLeft w:val="0"/>
      <w:marRight w:val="0"/>
      <w:marTop w:val="0"/>
      <w:marBottom w:val="0"/>
      <w:divBdr>
        <w:top w:val="none" w:sz="0" w:space="0" w:color="auto"/>
        <w:left w:val="none" w:sz="0" w:space="0" w:color="auto"/>
        <w:bottom w:val="none" w:sz="0" w:space="0" w:color="auto"/>
        <w:right w:val="none" w:sz="0" w:space="0" w:color="auto"/>
      </w:divBdr>
    </w:div>
    <w:div w:id="1967619894">
      <w:bodyDiv w:val="1"/>
      <w:marLeft w:val="0"/>
      <w:marRight w:val="0"/>
      <w:marTop w:val="0"/>
      <w:marBottom w:val="0"/>
      <w:divBdr>
        <w:top w:val="none" w:sz="0" w:space="0" w:color="auto"/>
        <w:left w:val="none" w:sz="0" w:space="0" w:color="auto"/>
        <w:bottom w:val="none" w:sz="0" w:space="0" w:color="auto"/>
        <w:right w:val="none" w:sz="0" w:space="0" w:color="auto"/>
      </w:divBdr>
    </w:div>
    <w:div w:id="1968777494">
      <w:bodyDiv w:val="1"/>
      <w:marLeft w:val="0"/>
      <w:marRight w:val="0"/>
      <w:marTop w:val="0"/>
      <w:marBottom w:val="0"/>
      <w:divBdr>
        <w:top w:val="none" w:sz="0" w:space="0" w:color="auto"/>
        <w:left w:val="none" w:sz="0" w:space="0" w:color="auto"/>
        <w:bottom w:val="none" w:sz="0" w:space="0" w:color="auto"/>
        <w:right w:val="none" w:sz="0" w:space="0" w:color="auto"/>
      </w:divBdr>
    </w:div>
    <w:div w:id="1974022397">
      <w:bodyDiv w:val="1"/>
      <w:marLeft w:val="0"/>
      <w:marRight w:val="0"/>
      <w:marTop w:val="0"/>
      <w:marBottom w:val="0"/>
      <w:divBdr>
        <w:top w:val="none" w:sz="0" w:space="0" w:color="auto"/>
        <w:left w:val="none" w:sz="0" w:space="0" w:color="auto"/>
        <w:bottom w:val="none" w:sz="0" w:space="0" w:color="auto"/>
        <w:right w:val="none" w:sz="0" w:space="0" w:color="auto"/>
      </w:divBdr>
    </w:div>
    <w:div w:id="1984314251">
      <w:bodyDiv w:val="1"/>
      <w:marLeft w:val="0"/>
      <w:marRight w:val="0"/>
      <w:marTop w:val="0"/>
      <w:marBottom w:val="0"/>
      <w:divBdr>
        <w:top w:val="none" w:sz="0" w:space="0" w:color="auto"/>
        <w:left w:val="none" w:sz="0" w:space="0" w:color="auto"/>
        <w:bottom w:val="none" w:sz="0" w:space="0" w:color="auto"/>
        <w:right w:val="none" w:sz="0" w:space="0" w:color="auto"/>
      </w:divBdr>
    </w:div>
    <w:div w:id="1991011328">
      <w:bodyDiv w:val="1"/>
      <w:marLeft w:val="0"/>
      <w:marRight w:val="0"/>
      <w:marTop w:val="0"/>
      <w:marBottom w:val="0"/>
      <w:divBdr>
        <w:top w:val="none" w:sz="0" w:space="0" w:color="auto"/>
        <w:left w:val="none" w:sz="0" w:space="0" w:color="auto"/>
        <w:bottom w:val="none" w:sz="0" w:space="0" w:color="auto"/>
        <w:right w:val="none" w:sz="0" w:space="0" w:color="auto"/>
      </w:divBdr>
    </w:div>
    <w:div w:id="1992439723">
      <w:bodyDiv w:val="1"/>
      <w:marLeft w:val="0"/>
      <w:marRight w:val="0"/>
      <w:marTop w:val="0"/>
      <w:marBottom w:val="0"/>
      <w:divBdr>
        <w:top w:val="none" w:sz="0" w:space="0" w:color="auto"/>
        <w:left w:val="none" w:sz="0" w:space="0" w:color="auto"/>
        <w:bottom w:val="none" w:sz="0" w:space="0" w:color="auto"/>
        <w:right w:val="none" w:sz="0" w:space="0" w:color="auto"/>
      </w:divBdr>
    </w:div>
    <w:div w:id="1996105570">
      <w:bodyDiv w:val="1"/>
      <w:marLeft w:val="0"/>
      <w:marRight w:val="0"/>
      <w:marTop w:val="0"/>
      <w:marBottom w:val="0"/>
      <w:divBdr>
        <w:top w:val="none" w:sz="0" w:space="0" w:color="auto"/>
        <w:left w:val="none" w:sz="0" w:space="0" w:color="auto"/>
        <w:bottom w:val="none" w:sz="0" w:space="0" w:color="auto"/>
        <w:right w:val="none" w:sz="0" w:space="0" w:color="auto"/>
      </w:divBdr>
    </w:div>
    <w:div w:id="1996256731">
      <w:bodyDiv w:val="1"/>
      <w:marLeft w:val="0"/>
      <w:marRight w:val="0"/>
      <w:marTop w:val="0"/>
      <w:marBottom w:val="0"/>
      <w:divBdr>
        <w:top w:val="none" w:sz="0" w:space="0" w:color="auto"/>
        <w:left w:val="none" w:sz="0" w:space="0" w:color="auto"/>
        <w:bottom w:val="none" w:sz="0" w:space="0" w:color="auto"/>
        <w:right w:val="none" w:sz="0" w:space="0" w:color="auto"/>
      </w:divBdr>
    </w:div>
    <w:div w:id="1999192902">
      <w:bodyDiv w:val="1"/>
      <w:marLeft w:val="0"/>
      <w:marRight w:val="0"/>
      <w:marTop w:val="0"/>
      <w:marBottom w:val="0"/>
      <w:divBdr>
        <w:top w:val="none" w:sz="0" w:space="0" w:color="auto"/>
        <w:left w:val="none" w:sz="0" w:space="0" w:color="auto"/>
        <w:bottom w:val="none" w:sz="0" w:space="0" w:color="auto"/>
        <w:right w:val="none" w:sz="0" w:space="0" w:color="auto"/>
      </w:divBdr>
    </w:div>
    <w:div w:id="2006393684">
      <w:bodyDiv w:val="1"/>
      <w:marLeft w:val="0"/>
      <w:marRight w:val="0"/>
      <w:marTop w:val="0"/>
      <w:marBottom w:val="0"/>
      <w:divBdr>
        <w:top w:val="none" w:sz="0" w:space="0" w:color="auto"/>
        <w:left w:val="none" w:sz="0" w:space="0" w:color="auto"/>
        <w:bottom w:val="none" w:sz="0" w:space="0" w:color="auto"/>
        <w:right w:val="none" w:sz="0" w:space="0" w:color="auto"/>
      </w:divBdr>
    </w:div>
    <w:div w:id="2007826820">
      <w:bodyDiv w:val="1"/>
      <w:marLeft w:val="0"/>
      <w:marRight w:val="0"/>
      <w:marTop w:val="0"/>
      <w:marBottom w:val="0"/>
      <w:divBdr>
        <w:top w:val="none" w:sz="0" w:space="0" w:color="auto"/>
        <w:left w:val="none" w:sz="0" w:space="0" w:color="auto"/>
        <w:bottom w:val="none" w:sz="0" w:space="0" w:color="auto"/>
        <w:right w:val="none" w:sz="0" w:space="0" w:color="auto"/>
      </w:divBdr>
    </w:div>
    <w:div w:id="2009212623">
      <w:bodyDiv w:val="1"/>
      <w:marLeft w:val="0"/>
      <w:marRight w:val="0"/>
      <w:marTop w:val="0"/>
      <w:marBottom w:val="0"/>
      <w:divBdr>
        <w:top w:val="none" w:sz="0" w:space="0" w:color="auto"/>
        <w:left w:val="none" w:sz="0" w:space="0" w:color="auto"/>
        <w:bottom w:val="none" w:sz="0" w:space="0" w:color="auto"/>
        <w:right w:val="none" w:sz="0" w:space="0" w:color="auto"/>
      </w:divBdr>
    </w:div>
    <w:div w:id="2018384840">
      <w:bodyDiv w:val="1"/>
      <w:marLeft w:val="0"/>
      <w:marRight w:val="0"/>
      <w:marTop w:val="0"/>
      <w:marBottom w:val="0"/>
      <w:divBdr>
        <w:top w:val="none" w:sz="0" w:space="0" w:color="auto"/>
        <w:left w:val="none" w:sz="0" w:space="0" w:color="auto"/>
        <w:bottom w:val="none" w:sz="0" w:space="0" w:color="auto"/>
        <w:right w:val="none" w:sz="0" w:space="0" w:color="auto"/>
      </w:divBdr>
    </w:div>
    <w:div w:id="2021277612">
      <w:bodyDiv w:val="1"/>
      <w:marLeft w:val="0"/>
      <w:marRight w:val="0"/>
      <w:marTop w:val="0"/>
      <w:marBottom w:val="0"/>
      <w:divBdr>
        <w:top w:val="none" w:sz="0" w:space="0" w:color="auto"/>
        <w:left w:val="none" w:sz="0" w:space="0" w:color="auto"/>
        <w:bottom w:val="none" w:sz="0" w:space="0" w:color="auto"/>
        <w:right w:val="none" w:sz="0" w:space="0" w:color="auto"/>
      </w:divBdr>
    </w:div>
    <w:div w:id="2024745562">
      <w:bodyDiv w:val="1"/>
      <w:marLeft w:val="0"/>
      <w:marRight w:val="0"/>
      <w:marTop w:val="0"/>
      <w:marBottom w:val="0"/>
      <w:divBdr>
        <w:top w:val="none" w:sz="0" w:space="0" w:color="auto"/>
        <w:left w:val="none" w:sz="0" w:space="0" w:color="auto"/>
        <w:bottom w:val="none" w:sz="0" w:space="0" w:color="auto"/>
        <w:right w:val="none" w:sz="0" w:space="0" w:color="auto"/>
      </w:divBdr>
    </w:div>
    <w:div w:id="2025206534">
      <w:bodyDiv w:val="1"/>
      <w:marLeft w:val="0"/>
      <w:marRight w:val="0"/>
      <w:marTop w:val="0"/>
      <w:marBottom w:val="0"/>
      <w:divBdr>
        <w:top w:val="none" w:sz="0" w:space="0" w:color="auto"/>
        <w:left w:val="none" w:sz="0" w:space="0" w:color="auto"/>
        <w:bottom w:val="none" w:sz="0" w:space="0" w:color="auto"/>
        <w:right w:val="none" w:sz="0" w:space="0" w:color="auto"/>
      </w:divBdr>
    </w:div>
    <w:div w:id="2027100169">
      <w:bodyDiv w:val="1"/>
      <w:marLeft w:val="0"/>
      <w:marRight w:val="0"/>
      <w:marTop w:val="0"/>
      <w:marBottom w:val="0"/>
      <w:divBdr>
        <w:top w:val="none" w:sz="0" w:space="0" w:color="auto"/>
        <w:left w:val="none" w:sz="0" w:space="0" w:color="auto"/>
        <w:bottom w:val="none" w:sz="0" w:space="0" w:color="auto"/>
        <w:right w:val="none" w:sz="0" w:space="0" w:color="auto"/>
      </w:divBdr>
    </w:div>
    <w:div w:id="2030714272">
      <w:bodyDiv w:val="1"/>
      <w:marLeft w:val="0"/>
      <w:marRight w:val="0"/>
      <w:marTop w:val="0"/>
      <w:marBottom w:val="0"/>
      <w:divBdr>
        <w:top w:val="none" w:sz="0" w:space="0" w:color="auto"/>
        <w:left w:val="none" w:sz="0" w:space="0" w:color="auto"/>
        <w:bottom w:val="none" w:sz="0" w:space="0" w:color="auto"/>
        <w:right w:val="none" w:sz="0" w:space="0" w:color="auto"/>
      </w:divBdr>
    </w:div>
    <w:div w:id="2030716091">
      <w:bodyDiv w:val="1"/>
      <w:marLeft w:val="0"/>
      <w:marRight w:val="0"/>
      <w:marTop w:val="0"/>
      <w:marBottom w:val="0"/>
      <w:divBdr>
        <w:top w:val="none" w:sz="0" w:space="0" w:color="auto"/>
        <w:left w:val="none" w:sz="0" w:space="0" w:color="auto"/>
        <w:bottom w:val="none" w:sz="0" w:space="0" w:color="auto"/>
        <w:right w:val="none" w:sz="0" w:space="0" w:color="auto"/>
      </w:divBdr>
    </w:div>
    <w:div w:id="2036692713">
      <w:bodyDiv w:val="1"/>
      <w:marLeft w:val="0"/>
      <w:marRight w:val="0"/>
      <w:marTop w:val="0"/>
      <w:marBottom w:val="0"/>
      <w:divBdr>
        <w:top w:val="none" w:sz="0" w:space="0" w:color="auto"/>
        <w:left w:val="none" w:sz="0" w:space="0" w:color="auto"/>
        <w:bottom w:val="none" w:sz="0" w:space="0" w:color="auto"/>
        <w:right w:val="none" w:sz="0" w:space="0" w:color="auto"/>
      </w:divBdr>
    </w:div>
    <w:div w:id="2038240482">
      <w:bodyDiv w:val="1"/>
      <w:marLeft w:val="0"/>
      <w:marRight w:val="0"/>
      <w:marTop w:val="0"/>
      <w:marBottom w:val="0"/>
      <w:divBdr>
        <w:top w:val="none" w:sz="0" w:space="0" w:color="auto"/>
        <w:left w:val="none" w:sz="0" w:space="0" w:color="auto"/>
        <w:bottom w:val="none" w:sz="0" w:space="0" w:color="auto"/>
        <w:right w:val="none" w:sz="0" w:space="0" w:color="auto"/>
      </w:divBdr>
    </w:div>
    <w:div w:id="2042242002">
      <w:bodyDiv w:val="1"/>
      <w:marLeft w:val="0"/>
      <w:marRight w:val="0"/>
      <w:marTop w:val="0"/>
      <w:marBottom w:val="0"/>
      <w:divBdr>
        <w:top w:val="none" w:sz="0" w:space="0" w:color="auto"/>
        <w:left w:val="none" w:sz="0" w:space="0" w:color="auto"/>
        <w:bottom w:val="none" w:sz="0" w:space="0" w:color="auto"/>
        <w:right w:val="none" w:sz="0" w:space="0" w:color="auto"/>
      </w:divBdr>
    </w:div>
    <w:div w:id="2043700565">
      <w:bodyDiv w:val="1"/>
      <w:marLeft w:val="0"/>
      <w:marRight w:val="0"/>
      <w:marTop w:val="0"/>
      <w:marBottom w:val="0"/>
      <w:divBdr>
        <w:top w:val="none" w:sz="0" w:space="0" w:color="auto"/>
        <w:left w:val="none" w:sz="0" w:space="0" w:color="auto"/>
        <w:bottom w:val="none" w:sz="0" w:space="0" w:color="auto"/>
        <w:right w:val="none" w:sz="0" w:space="0" w:color="auto"/>
      </w:divBdr>
    </w:div>
    <w:div w:id="2048406950">
      <w:bodyDiv w:val="1"/>
      <w:marLeft w:val="0"/>
      <w:marRight w:val="0"/>
      <w:marTop w:val="0"/>
      <w:marBottom w:val="0"/>
      <w:divBdr>
        <w:top w:val="none" w:sz="0" w:space="0" w:color="auto"/>
        <w:left w:val="none" w:sz="0" w:space="0" w:color="auto"/>
        <w:bottom w:val="none" w:sz="0" w:space="0" w:color="auto"/>
        <w:right w:val="none" w:sz="0" w:space="0" w:color="auto"/>
      </w:divBdr>
    </w:div>
    <w:div w:id="2054693867">
      <w:bodyDiv w:val="1"/>
      <w:marLeft w:val="0"/>
      <w:marRight w:val="0"/>
      <w:marTop w:val="0"/>
      <w:marBottom w:val="0"/>
      <w:divBdr>
        <w:top w:val="none" w:sz="0" w:space="0" w:color="auto"/>
        <w:left w:val="none" w:sz="0" w:space="0" w:color="auto"/>
        <w:bottom w:val="none" w:sz="0" w:space="0" w:color="auto"/>
        <w:right w:val="none" w:sz="0" w:space="0" w:color="auto"/>
      </w:divBdr>
    </w:div>
    <w:div w:id="2058233550">
      <w:bodyDiv w:val="1"/>
      <w:marLeft w:val="0"/>
      <w:marRight w:val="0"/>
      <w:marTop w:val="0"/>
      <w:marBottom w:val="0"/>
      <w:divBdr>
        <w:top w:val="none" w:sz="0" w:space="0" w:color="auto"/>
        <w:left w:val="none" w:sz="0" w:space="0" w:color="auto"/>
        <w:bottom w:val="none" w:sz="0" w:space="0" w:color="auto"/>
        <w:right w:val="none" w:sz="0" w:space="0" w:color="auto"/>
      </w:divBdr>
    </w:div>
    <w:div w:id="2058966053">
      <w:bodyDiv w:val="1"/>
      <w:marLeft w:val="0"/>
      <w:marRight w:val="0"/>
      <w:marTop w:val="0"/>
      <w:marBottom w:val="0"/>
      <w:divBdr>
        <w:top w:val="none" w:sz="0" w:space="0" w:color="auto"/>
        <w:left w:val="none" w:sz="0" w:space="0" w:color="auto"/>
        <w:bottom w:val="none" w:sz="0" w:space="0" w:color="auto"/>
        <w:right w:val="none" w:sz="0" w:space="0" w:color="auto"/>
      </w:divBdr>
    </w:div>
    <w:div w:id="2059670842">
      <w:bodyDiv w:val="1"/>
      <w:marLeft w:val="0"/>
      <w:marRight w:val="0"/>
      <w:marTop w:val="0"/>
      <w:marBottom w:val="0"/>
      <w:divBdr>
        <w:top w:val="none" w:sz="0" w:space="0" w:color="auto"/>
        <w:left w:val="none" w:sz="0" w:space="0" w:color="auto"/>
        <w:bottom w:val="none" w:sz="0" w:space="0" w:color="auto"/>
        <w:right w:val="none" w:sz="0" w:space="0" w:color="auto"/>
      </w:divBdr>
    </w:div>
    <w:div w:id="2061663832">
      <w:bodyDiv w:val="1"/>
      <w:marLeft w:val="0"/>
      <w:marRight w:val="0"/>
      <w:marTop w:val="0"/>
      <w:marBottom w:val="0"/>
      <w:divBdr>
        <w:top w:val="none" w:sz="0" w:space="0" w:color="auto"/>
        <w:left w:val="none" w:sz="0" w:space="0" w:color="auto"/>
        <w:bottom w:val="none" w:sz="0" w:space="0" w:color="auto"/>
        <w:right w:val="none" w:sz="0" w:space="0" w:color="auto"/>
      </w:divBdr>
    </w:div>
    <w:div w:id="2064450832">
      <w:bodyDiv w:val="1"/>
      <w:marLeft w:val="0"/>
      <w:marRight w:val="0"/>
      <w:marTop w:val="0"/>
      <w:marBottom w:val="0"/>
      <w:divBdr>
        <w:top w:val="none" w:sz="0" w:space="0" w:color="auto"/>
        <w:left w:val="none" w:sz="0" w:space="0" w:color="auto"/>
        <w:bottom w:val="none" w:sz="0" w:space="0" w:color="auto"/>
        <w:right w:val="none" w:sz="0" w:space="0" w:color="auto"/>
      </w:divBdr>
    </w:div>
    <w:div w:id="2065057051">
      <w:bodyDiv w:val="1"/>
      <w:marLeft w:val="0"/>
      <w:marRight w:val="0"/>
      <w:marTop w:val="0"/>
      <w:marBottom w:val="0"/>
      <w:divBdr>
        <w:top w:val="none" w:sz="0" w:space="0" w:color="auto"/>
        <w:left w:val="none" w:sz="0" w:space="0" w:color="auto"/>
        <w:bottom w:val="none" w:sz="0" w:space="0" w:color="auto"/>
        <w:right w:val="none" w:sz="0" w:space="0" w:color="auto"/>
      </w:divBdr>
    </w:div>
    <w:div w:id="2087680295">
      <w:bodyDiv w:val="1"/>
      <w:marLeft w:val="0"/>
      <w:marRight w:val="0"/>
      <w:marTop w:val="0"/>
      <w:marBottom w:val="0"/>
      <w:divBdr>
        <w:top w:val="none" w:sz="0" w:space="0" w:color="auto"/>
        <w:left w:val="none" w:sz="0" w:space="0" w:color="auto"/>
        <w:bottom w:val="none" w:sz="0" w:space="0" w:color="auto"/>
        <w:right w:val="none" w:sz="0" w:space="0" w:color="auto"/>
      </w:divBdr>
    </w:div>
    <w:div w:id="2092042667">
      <w:bodyDiv w:val="1"/>
      <w:marLeft w:val="0"/>
      <w:marRight w:val="0"/>
      <w:marTop w:val="0"/>
      <w:marBottom w:val="0"/>
      <w:divBdr>
        <w:top w:val="none" w:sz="0" w:space="0" w:color="auto"/>
        <w:left w:val="none" w:sz="0" w:space="0" w:color="auto"/>
        <w:bottom w:val="none" w:sz="0" w:space="0" w:color="auto"/>
        <w:right w:val="none" w:sz="0" w:space="0" w:color="auto"/>
      </w:divBdr>
    </w:div>
    <w:div w:id="2096588234">
      <w:bodyDiv w:val="1"/>
      <w:marLeft w:val="0"/>
      <w:marRight w:val="0"/>
      <w:marTop w:val="0"/>
      <w:marBottom w:val="0"/>
      <w:divBdr>
        <w:top w:val="none" w:sz="0" w:space="0" w:color="auto"/>
        <w:left w:val="none" w:sz="0" w:space="0" w:color="auto"/>
        <w:bottom w:val="none" w:sz="0" w:space="0" w:color="auto"/>
        <w:right w:val="none" w:sz="0" w:space="0" w:color="auto"/>
      </w:divBdr>
    </w:div>
    <w:div w:id="2101294975">
      <w:bodyDiv w:val="1"/>
      <w:marLeft w:val="0"/>
      <w:marRight w:val="0"/>
      <w:marTop w:val="0"/>
      <w:marBottom w:val="0"/>
      <w:divBdr>
        <w:top w:val="none" w:sz="0" w:space="0" w:color="auto"/>
        <w:left w:val="none" w:sz="0" w:space="0" w:color="auto"/>
        <w:bottom w:val="none" w:sz="0" w:space="0" w:color="auto"/>
        <w:right w:val="none" w:sz="0" w:space="0" w:color="auto"/>
      </w:divBdr>
    </w:div>
    <w:div w:id="2105149263">
      <w:bodyDiv w:val="1"/>
      <w:marLeft w:val="0"/>
      <w:marRight w:val="0"/>
      <w:marTop w:val="0"/>
      <w:marBottom w:val="0"/>
      <w:divBdr>
        <w:top w:val="none" w:sz="0" w:space="0" w:color="auto"/>
        <w:left w:val="none" w:sz="0" w:space="0" w:color="auto"/>
        <w:bottom w:val="none" w:sz="0" w:space="0" w:color="auto"/>
        <w:right w:val="none" w:sz="0" w:space="0" w:color="auto"/>
      </w:divBdr>
    </w:div>
    <w:div w:id="2108306204">
      <w:bodyDiv w:val="1"/>
      <w:marLeft w:val="0"/>
      <w:marRight w:val="0"/>
      <w:marTop w:val="0"/>
      <w:marBottom w:val="0"/>
      <w:divBdr>
        <w:top w:val="none" w:sz="0" w:space="0" w:color="auto"/>
        <w:left w:val="none" w:sz="0" w:space="0" w:color="auto"/>
        <w:bottom w:val="none" w:sz="0" w:space="0" w:color="auto"/>
        <w:right w:val="none" w:sz="0" w:space="0" w:color="auto"/>
      </w:divBdr>
    </w:div>
    <w:div w:id="2112705368">
      <w:bodyDiv w:val="1"/>
      <w:marLeft w:val="0"/>
      <w:marRight w:val="0"/>
      <w:marTop w:val="0"/>
      <w:marBottom w:val="0"/>
      <w:divBdr>
        <w:top w:val="none" w:sz="0" w:space="0" w:color="auto"/>
        <w:left w:val="none" w:sz="0" w:space="0" w:color="auto"/>
        <w:bottom w:val="none" w:sz="0" w:space="0" w:color="auto"/>
        <w:right w:val="none" w:sz="0" w:space="0" w:color="auto"/>
      </w:divBdr>
    </w:div>
    <w:div w:id="2124105467">
      <w:bodyDiv w:val="1"/>
      <w:marLeft w:val="0"/>
      <w:marRight w:val="0"/>
      <w:marTop w:val="0"/>
      <w:marBottom w:val="0"/>
      <w:divBdr>
        <w:top w:val="none" w:sz="0" w:space="0" w:color="auto"/>
        <w:left w:val="none" w:sz="0" w:space="0" w:color="auto"/>
        <w:bottom w:val="none" w:sz="0" w:space="0" w:color="auto"/>
        <w:right w:val="none" w:sz="0" w:space="0" w:color="auto"/>
      </w:divBdr>
    </w:div>
    <w:div w:id="2134521049">
      <w:bodyDiv w:val="1"/>
      <w:marLeft w:val="0"/>
      <w:marRight w:val="0"/>
      <w:marTop w:val="0"/>
      <w:marBottom w:val="0"/>
      <w:divBdr>
        <w:top w:val="none" w:sz="0" w:space="0" w:color="auto"/>
        <w:left w:val="none" w:sz="0" w:space="0" w:color="auto"/>
        <w:bottom w:val="none" w:sz="0" w:space="0" w:color="auto"/>
        <w:right w:val="none" w:sz="0" w:space="0" w:color="auto"/>
      </w:divBdr>
    </w:div>
    <w:div w:id="213459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uspto.gov/strategicplan" TargetMode="External"/><Relationship Id="rId26" Type="http://schemas.openxmlformats.org/officeDocument/2006/relationships/hyperlink" Target="http://www.uspto.gov/learning-and-resources/statistics/patent-pendency-model" TargetMode="External"/><Relationship Id="rId39" Type="http://schemas.openxmlformats.org/officeDocument/2006/relationships/hyperlink" Target="https://www.uspto.gov/FeeSettingAndAdjusting" TargetMode="External"/><Relationship Id="rId3" Type="http://schemas.openxmlformats.org/officeDocument/2006/relationships/styles" Target="styles.xml"/><Relationship Id="rId21" Type="http://schemas.openxmlformats.org/officeDocument/2006/relationships/hyperlink" Target="mailto:Christopher.Lockard@uspto.gov" TargetMode="External"/><Relationship Id="rId34" Type="http://schemas.openxmlformats.org/officeDocument/2006/relationships/hyperlink" Target="https://www.uspto.gov/sites/default/files/documents/Elasticity_Appendix.docx" TargetMode="External"/><Relationship Id="rId42"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hitehouse.gov/wp-content/uploads/legacy_drupal_files/omb/inforeg/inforeg/regpol/circular-a-4_regulatory-impact-analysis-a-primer.pdf" TargetMode="External"/><Relationship Id="rId25" Type="http://schemas.openxmlformats.org/officeDocument/2006/relationships/hyperlink" Target="https://www.cbo.gov/about/products/budget_economic_data" TargetMode="External"/><Relationship Id="rId33" Type="http://schemas.openxmlformats.org/officeDocument/2006/relationships/hyperlink" Target="https://www.uspto.gov/sites/default/files/documents/Elasticity_Appendix.docx" TargetMode="External"/><Relationship Id="rId38" Type="http://schemas.openxmlformats.org/officeDocument/2006/relationships/hyperlink" Target="https://www.uspto.gov/FeeSettingAndAdjusting" TargetMode="External"/><Relationship Id="rId2" Type="http://schemas.openxmlformats.org/officeDocument/2006/relationships/numbering" Target="numbering.xml"/><Relationship Id="rId16" Type="http://schemas.openxmlformats.org/officeDocument/2006/relationships/hyperlink" Target="https://www.whitehouse.gov/wp-content/uploads/legacy_drupal_files/omb/circulars/A4/a-4.pdf" TargetMode="External"/><Relationship Id="rId20" Type="http://schemas.openxmlformats.org/officeDocument/2006/relationships/hyperlink" Target="mailto:Brendan.Hourigan@uspto.gov" TargetMode="External"/><Relationship Id="rId29" Type="http://schemas.openxmlformats.org/officeDocument/2006/relationships/hyperlink" Target="https://www.uspto.gov/sites/default/files/documents/uspto-ip-us-economy-third-edition.pdf" TargetMode="External"/><Relationship Id="rId41" Type="http://schemas.openxmlformats.org/officeDocument/2006/relationships/hyperlink" Target="https://www.uspto.gov/FeeSettingAndAdjust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cbo.gov/about/products/budget_economic_data" TargetMode="External"/><Relationship Id="rId32" Type="http://schemas.openxmlformats.org/officeDocument/2006/relationships/hyperlink" Target="https://www.uspto.gov/about-us/performance-and-planning/fee-setting-and-adjusting" TargetMode="External"/><Relationship Id="rId37" Type="http://schemas.openxmlformats.org/officeDocument/2006/relationships/hyperlink" Target="https://www.whitehouse.gov/wp-content/uploads/2017/11/Circular-025.pdf" TargetMode="External"/><Relationship Id="rId40" Type="http://schemas.openxmlformats.org/officeDocument/2006/relationships/hyperlink" Target="https://www.uspto.gov/FeeSettingAndAdjusting"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ww.whitehouse.gov/wp-content/uploads/legacy_drupal_files/omb/circulars/A4/a-4.pdf" TargetMode="External"/><Relationship Id="rId28" Type="http://schemas.openxmlformats.org/officeDocument/2006/relationships/hyperlink" Target="http://www.uspto.gov/patents/process/index.jsp" TargetMode="External"/><Relationship Id="rId36" Type="http://schemas.openxmlformats.org/officeDocument/2006/relationships/hyperlink" Target="https://www.uspto.gov/FeeSettingAndAdjusting" TargetMode="External"/><Relationship Id="rId10" Type="http://schemas.openxmlformats.org/officeDocument/2006/relationships/header" Target="header2.xml"/><Relationship Id="rId19" Type="http://schemas.openxmlformats.org/officeDocument/2006/relationships/hyperlink" Target="https://www.uspto.gov/about-us/performance-and-planning/budget-and-financial-information" TargetMode="External"/><Relationship Id="rId31" Type="http://schemas.openxmlformats.org/officeDocument/2006/relationships/hyperlink" Target="https://www.uspto.gov/FeeSettingAndAdjusting"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uspto.gov/about-us/performance-and-planning/fee-setting-and-adjusting" TargetMode="External"/><Relationship Id="rId27" Type="http://schemas.openxmlformats.org/officeDocument/2006/relationships/hyperlink" Target="https://www.uspto.gov/sites/default/files/documents/Elasticity_Appendix.docx" TargetMode="External"/><Relationship Id="rId30" Type="http://schemas.openxmlformats.org/officeDocument/2006/relationships/hyperlink" Target="https://www.uspto.gov/about-us/performance-and-planning/fee-setting-and-adjusting" TargetMode="External"/><Relationship Id="rId35" Type="http://schemas.openxmlformats.org/officeDocument/2006/relationships/hyperlink" Target="https://www.uspto.gov/about-us/performance-and-planning/fee-setting-and-adjusting"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DEF26-937F-4AB4-A96F-4C9E551CD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16899</Words>
  <Characters>96330</Characters>
  <Application>Microsoft Office Word</Application>
  <DocSecurity>0</DocSecurity>
  <Lines>802</Lines>
  <Paragraphs>226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2024-11-18T22:10:00Z</dcterms:created>
  <dcterms:modified xsi:type="dcterms:W3CDTF">2024-11-18T22:17:00Z</dcterms:modified>
</cp:coreProperties>
</file>