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5A9B" w14:textId="52DE78AC" w:rsidR="00981445" w:rsidRPr="003B3FDD" w:rsidRDefault="00981445" w:rsidP="00A65FD3">
      <w:pPr>
        <w:pStyle w:val="Heading1"/>
      </w:pPr>
      <w:r w:rsidRPr="003B3FDD">
        <w:t>The “Marrakesh Treat</w:t>
      </w:r>
      <w:r w:rsidR="00AD3329">
        <w:t>y</w:t>
      </w:r>
      <w:r w:rsidRPr="003B3FDD">
        <w:t xml:space="preserve"> Implementation Act of 201</w:t>
      </w:r>
      <w:r w:rsidR="00D22EF9">
        <w:t>6</w:t>
      </w:r>
      <w:r w:rsidRPr="003B3FDD">
        <w:t>”</w:t>
      </w:r>
    </w:p>
    <w:p w14:paraId="7502BFA0" w14:textId="77777777" w:rsidR="00162586" w:rsidRPr="003B3FDD" w:rsidRDefault="00CF2859" w:rsidP="00A65FD3">
      <w:pPr>
        <w:pStyle w:val="Heading1"/>
      </w:pPr>
      <w:r w:rsidRPr="003B3FDD">
        <w:rPr>
          <w:spacing w:val="-1"/>
        </w:rPr>
        <w:t>Statement</w:t>
      </w:r>
      <w:r w:rsidRPr="003B3FDD">
        <w:t xml:space="preserve"> of </w:t>
      </w:r>
      <w:r w:rsidRPr="003B3FDD">
        <w:rPr>
          <w:spacing w:val="-1"/>
        </w:rPr>
        <w:t>Purpose</w:t>
      </w:r>
      <w:r w:rsidRPr="003B3FDD">
        <w:t xml:space="preserve"> and Need</w:t>
      </w:r>
      <w:r w:rsidR="000D580C" w:rsidRPr="003B3FDD">
        <w:t xml:space="preserve"> and Sectional Analysis</w:t>
      </w:r>
    </w:p>
    <w:p w14:paraId="057E5CBB" w14:textId="77777777" w:rsidR="00162586" w:rsidRPr="003B3FDD" w:rsidRDefault="00162586" w:rsidP="00A65FD3">
      <w:pPr>
        <w:pStyle w:val="Heading1"/>
      </w:pPr>
    </w:p>
    <w:p w14:paraId="5BB8324C" w14:textId="65A2C484" w:rsidR="00162586" w:rsidRPr="003B3FDD" w:rsidRDefault="00CF2859" w:rsidP="00AA369A">
      <w:pPr>
        <w:pStyle w:val="BodyText"/>
        <w:ind w:left="0" w:right="124"/>
        <w:rPr>
          <w:rFonts w:cs="Times New Roman"/>
        </w:rPr>
      </w:pPr>
      <w:r w:rsidRPr="003B3FDD">
        <w:rPr>
          <w:rFonts w:cs="Times New Roman"/>
        </w:rPr>
        <w:t xml:space="preserve">The </w:t>
      </w:r>
      <w:r w:rsidR="00570076" w:rsidRPr="003B3FDD">
        <w:rPr>
          <w:rFonts w:cs="Times New Roman"/>
        </w:rPr>
        <w:t xml:space="preserve">proposed </w:t>
      </w:r>
      <w:r w:rsidR="00981445" w:rsidRPr="003B3FDD">
        <w:rPr>
          <w:rFonts w:cs="Times New Roman"/>
        </w:rPr>
        <w:t>Marrakesh Treat</w:t>
      </w:r>
      <w:r w:rsidR="00AD3329">
        <w:rPr>
          <w:rFonts w:cs="Times New Roman"/>
        </w:rPr>
        <w:t>y</w:t>
      </w:r>
      <w:r w:rsidR="00981445" w:rsidRPr="003B3FDD">
        <w:rPr>
          <w:rFonts w:cs="Times New Roman"/>
        </w:rPr>
        <w:t xml:space="preserve"> Implementation </w:t>
      </w:r>
      <w:r w:rsidRPr="003B3FDD">
        <w:rPr>
          <w:rFonts w:cs="Times New Roman"/>
        </w:rPr>
        <w:t>Act of 201</w:t>
      </w:r>
      <w:r w:rsidR="003703B6">
        <w:rPr>
          <w:rFonts w:cs="Times New Roman"/>
        </w:rPr>
        <w:t>6</w:t>
      </w:r>
      <w:r w:rsidRPr="003B3FDD">
        <w:rPr>
          <w:rFonts w:cs="Times New Roman"/>
        </w:rPr>
        <w:t xml:space="preserve"> </w:t>
      </w:r>
      <w:r w:rsidR="00570076" w:rsidRPr="003B3FDD">
        <w:rPr>
          <w:rFonts w:cs="Times New Roman"/>
        </w:rPr>
        <w:t xml:space="preserve">would make </w:t>
      </w:r>
      <w:r w:rsidR="00B85F9D" w:rsidRPr="003B3FDD">
        <w:rPr>
          <w:rFonts w:cs="Times New Roman"/>
        </w:rPr>
        <w:t xml:space="preserve">limited changes </w:t>
      </w:r>
      <w:bookmarkStart w:id="0" w:name="_GoBack"/>
      <w:bookmarkEnd w:id="0"/>
      <w:r w:rsidR="00B85F9D" w:rsidRPr="003B3FDD">
        <w:rPr>
          <w:rFonts w:cs="Times New Roman"/>
        </w:rPr>
        <w:t xml:space="preserve">to U.S. law in order </w:t>
      </w:r>
      <w:r w:rsidRPr="003B3FDD">
        <w:rPr>
          <w:rFonts w:cs="Times New Roman"/>
        </w:rPr>
        <w:t xml:space="preserve">to </w:t>
      </w:r>
      <w:r w:rsidR="00535477" w:rsidRPr="003B3FDD">
        <w:rPr>
          <w:rFonts w:cs="Times New Roman"/>
          <w:spacing w:val="-1"/>
        </w:rPr>
        <w:t xml:space="preserve">implement the Marrakesh Treaty to Facilitate Access to Published Works for Persons Who Are Blind, Visually Impaired, or Otherwise Print Disabled, </w:t>
      </w:r>
      <w:r w:rsidR="00B5521E">
        <w:rPr>
          <w:rFonts w:cs="Times New Roman"/>
          <w:spacing w:val="-1"/>
        </w:rPr>
        <w:t>done at</w:t>
      </w:r>
      <w:r w:rsidR="00535477" w:rsidRPr="003B3FDD">
        <w:rPr>
          <w:rFonts w:cs="Times New Roman"/>
          <w:spacing w:val="-1"/>
        </w:rPr>
        <w:t xml:space="preserve"> Marrakesh on June 27, 2013</w:t>
      </w:r>
      <w:r w:rsidR="00ED6574">
        <w:rPr>
          <w:rFonts w:cs="Times New Roman"/>
          <w:spacing w:val="-1"/>
        </w:rPr>
        <w:t xml:space="preserve"> and signed by the United States on October 2, 2013</w:t>
      </w:r>
      <w:r w:rsidR="00535477" w:rsidRPr="003B3FDD">
        <w:rPr>
          <w:rFonts w:cs="Times New Roman"/>
          <w:spacing w:val="-1"/>
        </w:rPr>
        <w:t>.  Th</w:t>
      </w:r>
      <w:r w:rsidR="00AD3329">
        <w:rPr>
          <w:rFonts w:cs="Times New Roman"/>
          <w:spacing w:val="-1"/>
        </w:rPr>
        <w:t>is</w:t>
      </w:r>
      <w:r w:rsidR="00535477" w:rsidRPr="003B3FDD">
        <w:rPr>
          <w:rFonts w:cs="Times New Roman"/>
          <w:spacing w:val="-1"/>
        </w:rPr>
        <w:t xml:space="preserve"> Treat</w:t>
      </w:r>
      <w:r w:rsidR="00AD3329">
        <w:rPr>
          <w:rFonts w:cs="Times New Roman"/>
          <w:spacing w:val="-1"/>
        </w:rPr>
        <w:t>y</w:t>
      </w:r>
      <w:r w:rsidR="00535477" w:rsidRPr="003B3FDD">
        <w:rPr>
          <w:rFonts w:cs="Times New Roman"/>
          <w:spacing w:val="-1"/>
        </w:rPr>
        <w:t xml:space="preserve"> w</w:t>
      </w:r>
      <w:r w:rsidR="00AD3329">
        <w:rPr>
          <w:rFonts w:cs="Times New Roman"/>
          <w:spacing w:val="-1"/>
        </w:rPr>
        <w:t>as</w:t>
      </w:r>
      <w:r w:rsidR="00535477" w:rsidRPr="003B3FDD">
        <w:rPr>
          <w:rFonts w:cs="Times New Roman"/>
          <w:spacing w:val="-1"/>
        </w:rPr>
        <w:t xml:space="preserve"> </w:t>
      </w:r>
      <w:r w:rsidR="0052681C" w:rsidRPr="003B3FDD">
        <w:rPr>
          <w:rFonts w:cs="Times New Roman"/>
          <w:spacing w:val="-1"/>
        </w:rPr>
        <w:t xml:space="preserve">negotiated and concluded </w:t>
      </w:r>
      <w:r w:rsidR="00535477" w:rsidRPr="003B3FDD">
        <w:rPr>
          <w:rFonts w:cs="Times New Roman"/>
          <w:spacing w:val="-1"/>
        </w:rPr>
        <w:t xml:space="preserve">under the auspices of the World Intellectual Property Organization (WIPO) to </w:t>
      </w:r>
      <w:r w:rsidR="00570076" w:rsidRPr="003B3FDD">
        <w:rPr>
          <w:rFonts w:cs="Times New Roman"/>
          <w:spacing w:val="-1"/>
        </w:rPr>
        <w:t xml:space="preserve">facilitate </w:t>
      </w:r>
      <w:r w:rsidR="00535477" w:rsidRPr="003B3FDD">
        <w:rPr>
          <w:rFonts w:cs="Times New Roman"/>
          <w:spacing w:val="-1"/>
        </w:rPr>
        <w:t xml:space="preserve">access to printed works for persons </w:t>
      </w:r>
      <w:r w:rsidR="0004039A">
        <w:rPr>
          <w:rFonts w:cs="Times New Roman"/>
          <w:spacing w:val="-1"/>
        </w:rPr>
        <w:t>who are blind or have other</w:t>
      </w:r>
      <w:r w:rsidR="00535477" w:rsidRPr="003B3FDD">
        <w:rPr>
          <w:rFonts w:cs="Times New Roman"/>
          <w:spacing w:val="-1"/>
        </w:rPr>
        <w:t xml:space="preserve"> </w:t>
      </w:r>
      <w:r w:rsidR="0052681C" w:rsidRPr="003B3FDD">
        <w:rPr>
          <w:rFonts w:cs="Times New Roman"/>
          <w:spacing w:val="-1"/>
        </w:rPr>
        <w:t xml:space="preserve">print </w:t>
      </w:r>
      <w:r w:rsidR="00535477" w:rsidRPr="003B3FDD">
        <w:rPr>
          <w:rFonts w:cs="Times New Roman"/>
          <w:spacing w:val="-1"/>
        </w:rPr>
        <w:t xml:space="preserve">disabilities.  </w:t>
      </w:r>
      <w:r w:rsidRPr="003B3FDD">
        <w:rPr>
          <w:rFonts w:cs="Times New Roman"/>
          <w:spacing w:val="-1"/>
        </w:rPr>
        <w:t>What</w:t>
      </w:r>
      <w:r w:rsidRPr="003B3FDD">
        <w:rPr>
          <w:rFonts w:cs="Times New Roman"/>
        </w:rPr>
        <w:t xml:space="preserve"> </w:t>
      </w:r>
      <w:r w:rsidRPr="003B3FDD">
        <w:rPr>
          <w:rFonts w:cs="Times New Roman"/>
          <w:spacing w:val="-1"/>
        </w:rPr>
        <w:t>follows</w:t>
      </w:r>
      <w:r w:rsidRPr="003B3FDD">
        <w:rPr>
          <w:rFonts w:cs="Times New Roman"/>
        </w:rPr>
        <w:t xml:space="preserve"> is a</w:t>
      </w:r>
      <w:r w:rsidR="00535477" w:rsidRPr="003B3FDD">
        <w:rPr>
          <w:rFonts w:cs="Times New Roman"/>
        </w:rPr>
        <w:t xml:space="preserve"> </w:t>
      </w:r>
      <w:r w:rsidRPr="003B3FDD">
        <w:rPr>
          <w:rFonts w:cs="Times New Roman"/>
        </w:rPr>
        <w:t xml:space="preserve">brief </w:t>
      </w:r>
      <w:r w:rsidRPr="003B3FDD">
        <w:rPr>
          <w:rFonts w:cs="Times New Roman"/>
          <w:spacing w:val="-1"/>
        </w:rPr>
        <w:t>description</w:t>
      </w:r>
      <w:r w:rsidRPr="003B3FDD">
        <w:rPr>
          <w:rFonts w:cs="Times New Roman"/>
        </w:rPr>
        <w:t xml:space="preserve"> of</w:t>
      </w:r>
      <w:r w:rsidRPr="003B3FDD">
        <w:rPr>
          <w:rFonts w:cs="Times New Roman"/>
          <w:spacing w:val="-1"/>
        </w:rPr>
        <w:t xml:space="preserve"> </w:t>
      </w:r>
      <w:r w:rsidR="00535477" w:rsidRPr="003B3FDD">
        <w:rPr>
          <w:rFonts w:cs="Times New Roman"/>
          <w:spacing w:val="-1"/>
        </w:rPr>
        <w:t xml:space="preserve">the background of </w:t>
      </w:r>
      <w:r w:rsidR="00AD3329">
        <w:rPr>
          <w:rFonts w:cs="Times New Roman"/>
          <w:spacing w:val="-1"/>
        </w:rPr>
        <w:t xml:space="preserve">the </w:t>
      </w:r>
      <w:r w:rsidR="00535477" w:rsidRPr="003B3FDD">
        <w:rPr>
          <w:rFonts w:cs="Times New Roman"/>
          <w:spacing w:val="-1"/>
        </w:rPr>
        <w:t xml:space="preserve">Treaty, the provisions </w:t>
      </w:r>
      <w:r w:rsidR="002F29FC" w:rsidRPr="003B3FDD">
        <w:rPr>
          <w:rFonts w:cs="Times New Roman"/>
          <w:spacing w:val="-1"/>
        </w:rPr>
        <w:t xml:space="preserve">of </w:t>
      </w:r>
      <w:r w:rsidR="00AD3329">
        <w:rPr>
          <w:rFonts w:cs="Times New Roman"/>
          <w:spacing w:val="-1"/>
        </w:rPr>
        <w:t xml:space="preserve">the </w:t>
      </w:r>
      <w:r w:rsidR="002F29FC" w:rsidRPr="003B3FDD">
        <w:rPr>
          <w:rFonts w:cs="Times New Roman"/>
          <w:spacing w:val="-1"/>
        </w:rPr>
        <w:t>Trea</w:t>
      </w:r>
      <w:r w:rsidR="00C81174" w:rsidRPr="003B3FDD">
        <w:rPr>
          <w:rFonts w:cs="Times New Roman"/>
          <w:spacing w:val="-1"/>
        </w:rPr>
        <w:t>t</w:t>
      </w:r>
      <w:r w:rsidR="002F29FC" w:rsidRPr="003B3FDD">
        <w:rPr>
          <w:rFonts w:cs="Times New Roman"/>
          <w:spacing w:val="-1"/>
        </w:rPr>
        <w:t xml:space="preserve">y </w:t>
      </w:r>
      <w:r w:rsidR="00B85F9D" w:rsidRPr="003B3FDD">
        <w:rPr>
          <w:rFonts w:cs="Times New Roman"/>
          <w:spacing w:val="-1"/>
        </w:rPr>
        <w:t xml:space="preserve">and </w:t>
      </w:r>
      <w:r w:rsidR="00AD3329">
        <w:rPr>
          <w:rFonts w:cs="Times New Roman"/>
          <w:spacing w:val="-1"/>
        </w:rPr>
        <w:t>its</w:t>
      </w:r>
      <w:r w:rsidR="00B85F9D" w:rsidRPr="003B3FDD">
        <w:rPr>
          <w:rFonts w:cs="Times New Roman"/>
          <w:spacing w:val="-1"/>
        </w:rPr>
        <w:t xml:space="preserve"> relation </w:t>
      </w:r>
      <w:r w:rsidR="00535477" w:rsidRPr="003B3FDD">
        <w:rPr>
          <w:rFonts w:cs="Times New Roman"/>
          <w:spacing w:val="-1"/>
        </w:rPr>
        <w:t xml:space="preserve">to </w:t>
      </w:r>
      <w:r w:rsidR="00B85F9D" w:rsidRPr="003B3FDD">
        <w:rPr>
          <w:rFonts w:cs="Times New Roman"/>
          <w:spacing w:val="-1"/>
        </w:rPr>
        <w:t xml:space="preserve">current </w:t>
      </w:r>
      <w:r w:rsidR="00535477" w:rsidRPr="003B3FDD">
        <w:rPr>
          <w:rFonts w:cs="Times New Roman"/>
          <w:spacing w:val="-1"/>
        </w:rPr>
        <w:t>U.S. law</w:t>
      </w:r>
      <w:r w:rsidR="00B85F9D" w:rsidRPr="003B3FDD">
        <w:rPr>
          <w:rFonts w:cs="Times New Roman"/>
          <w:spacing w:val="-1"/>
        </w:rPr>
        <w:t>,</w:t>
      </w:r>
      <w:r w:rsidR="00535477" w:rsidRPr="003B3FDD">
        <w:rPr>
          <w:rFonts w:cs="Times New Roman"/>
          <w:spacing w:val="-1"/>
        </w:rPr>
        <w:t xml:space="preserve"> and </w:t>
      </w:r>
      <w:r w:rsidR="00FB5258" w:rsidRPr="003B3FDD">
        <w:rPr>
          <w:rFonts w:cs="Times New Roman"/>
          <w:spacing w:val="-1"/>
        </w:rPr>
        <w:t>discussion of</w:t>
      </w:r>
      <w:r w:rsidR="00B85F9D" w:rsidRPr="003B3FDD">
        <w:rPr>
          <w:rFonts w:cs="Times New Roman"/>
          <w:spacing w:val="-1"/>
        </w:rPr>
        <w:t xml:space="preserve"> the</w:t>
      </w:r>
      <w:r w:rsidR="00FB5258" w:rsidRPr="003B3FDD">
        <w:rPr>
          <w:rFonts w:cs="Times New Roman"/>
          <w:spacing w:val="-1"/>
        </w:rPr>
        <w:t xml:space="preserve"> proposed changes.</w:t>
      </w:r>
    </w:p>
    <w:p w14:paraId="446E6893" w14:textId="77777777" w:rsidR="00162586" w:rsidRPr="003B3FDD" w:rsidRDefault="00162586" w:rsidP="00AA369A">
      <w:pPr>
        <w:spacing w:before="2"/>
        <w:rPr>
          <w:rFonts w:ascii="Times New Roman" w:eastAsia="Times New Roman" w:hAnsi="Times New Roman" w:cs="Times New Roman"/>
          <w:sz w:val="24"/>
          <w:szCs w:val="24"/>
        </w:rPr>
      </w:pPr>
    </w:p>
    <w:p w14:paraId="5AAE9682" w14:textId="77777777" w:rsidR="00DD02BD" w:rsidRPr="003B3FDD" w:rsidRDefault="00DD02BD" w:rsidP="00A65FD3">
      <w:pPr>
        <w:pStyle w:val="Heading2"/>
      </w:pPr>
      <w:r w:rsidRPr="003B3FDD">
        <w:t>PROVISIONS TO IMPLEMENT THE TREATY</w:t>
      </w:r>
      <w:r w:rsidR="00C46FE3" w:rsidRPr="003B3FDD">
        <w:t xml:space="preserve"> </w:t>
      </w:r>
    </w:p>
    <w:p w14:paraId="76D0E186" w14:textId="77777777" w:rsidR="00DD02BD" w:rsidRPr="003B3FDD" w:rsidRDefault="00DD02BD" w:rsidP="00DD02BD">
      <w:pPr>
        <w:rPr>
          <w:rFonts w:ascii="Times New Roman" w:hAnsi="Times New Roman" w:cs="Times New Roman"/>
          <w:b/>
          <w:sz w:val="24"/>
          <w:szCs w:val="24"/>
        </w:rPr>
      </w:pPr>
    </w:p>
    <w:p w14:paraId="4668CBE3" w14:textId="77777777" w:rsidR="00DD02BD" w:rsidRPr="003B3FDD" w:rsidRDefault="00DD02BD" w:rsidP="00A65FD3">
      <w:pPr>
        <w:pStyle w:val="Heading3"/>
      </w:pPr>
      <w:r w:rsidRPr="003B3FDD">
        <w:t>Background</w:t>
      </w:r>
    </w:p>
    <w:p w14:paraId="3D62A732" w14:textId="77777777" w:rsidR="00DD02BD" w:rsidRPr="003B3FDD" w:rsidRDefault="00DD02BD" w:rsidP="00DD02BD">
      <w:pPr>
        <w:rPr>
          <w:rFonts w:ascii="Times New Roman" w:hAnsi="Times New Roman" w:cs="Times New Roman"/>
          <w:b/>
          <w:sz w:val="24"/>
          <w:szCs w:val="24"/>
        </w:rPr>
      </w:pPr>
    </w:p>
    <w:p w14:paraId="0CB4F9F1" w14:textId="0815A6C6" w:rsidR="00DD02BD" w:rsidRPr="003B3FDD" w:rsidRDefault="00D53763" w:rsidP="00DD02BD">
      <w:pPr>
        <w:rPr>
          <w:rFonts w:ascii="Times New Roman" w:hAnsi="Times New Roman" w:cs="Times New Roman"/>
          <w:sz w:val="24"/>
          <w:szCs w:val="24"/>
        </w:rPr>
      </w:pPr>
      <w:r>
        <w:rPr>
          <w:rFonts w:ascii="Times New Roman" w:hAnsi="Times New Roman" w:cs="Times New Roman"/>
          <w:sz w:val="24"/>
          <w:szCs w:val="24"/>
        </w:rPr>
        <w:t>T</w:t>
      </w:r>
      <w:r w:rsidR="00DD02BD" w:rsidRPr="003B3FDD">
        <w:rPr>
          <w:rFonts w:ascii="Times New Roman" w:hAnsi="Times New Roman" w:cs="Times New Roman"/>
          <w:sz w:val="24"/>
          <w:szCs w:val="24"/>
        </w:rPr>
        <w:t xml:space="preserve">he Marrakesh Treaty to Facilitate Access to Published Works for Persons Who are Blind, Visually Impaired, or Otherwise Print Disabled (the Marrakesh Treaty) </w:t>
      </w:r>
      <w:r w:rsidR="00ED6574">
        <w:rPr>
          <w:rFonts w:ascii="Times New Roman" w:hAnsi="Times New Roman" w:cs="Times New Roman"/>
          <w:sz w:val="24"/>
          <w:szCs w:val="24"/>
        </w:rPr>
        <w:t>aims</w:t>
      </w:r>
      <w:r w:rsidR="00DD02BD" w:rsidRPr="003B3FDD">
        <w:rPr>
          <w:rFonts w:ascii="Times New Roman" w:hAnsi="Times New Roman" w:cs="Times New Roman"/>
          <w:sz w:val="24"/>
          <w:szCs w:val="24"/>
        </w:rPr>
        <w:t xml:space="preserve"> to reduce the global shortage of print materials in special accessible formats for the </w:t>
      </w:r>
      <w:r w:rsidR="005A40E1">
        <w:rPr>
          <w:rFonts w:ascii="Times New Roman" w:hAnsi="Times New Roman" w:cs="Times New Roman"/>
          <w:sz w:val="24"/>
          <w:szCs w:val="24"/>
        </w:rPr>
        <w:t xml:space="preserve">many </w:t>
      </w:r>
      <w:r w:rsidR="00DD02BD" w:rsidRPr="003B3FDD">
        <w:rPr>
          <w:rFonts w:ascii="Times New Roman" w:hAnsi="Times New Roman" w:cs="Times New Roman"/>
          <w:sz w:val="24"/>
          <w:szCs w:val="24"/>
        </w:rPr>
        <w:t>million</w:t>
      </w:r>
      <w:r w:rsidR="005A40E1">
        <w:rPr>
          <w:rFonts w:ascii="Times New Roman" w:hAnsi="Times New Roman" w:cs="Times New Roman"/>
          <w:sz w:val="24"/>
          <w:szCs w:val="24"/>
        </w:rPr>
        <w:t>s of Americans and other</w:t>
      </w:r>
      <w:r w:rsidR="005A3F5A">
        <w:rPr>
          <w:rFonts w:ascii="Times New Roman" w:hAnsi="Times New Roman" w:cs="Times New Roman"/>
          <w:sz w:val="24"/>
          <w:szCs w:val="24"/>
        </w:rPr>
        <w:t>s</w:t>
      </w:r>
      <w:r w:rsidR="005A40E1">
        <w:rPr>
          <w:rFonts w:ascii="Times New Roman" w:hAnsi="Times New Roman" w:cs="Times New Roman"/>
          <w:sz w:val="24"/>
          <w:szCs w:val="24"/>
        </w:rPr>
        <w:t xml:space="preserve"> throughout the world</w:t>
      </w:r>
      <w:r w:rsidR="00DD02BD" w:rsidRPr="003B3FDD">
        <w:rPr>
          <w:rFonts w:ascii="Times New Roman" w:hAnsi="Times New Roman" w:cs="Times New Roman"/>
          <w:sz w:val="24"/>
          <w:szCs w:val="24"/>
        </w:rPr>
        <w:t xml:space="preserve"> who are blind</w:t>
      </w:r>
      <w:r w:rsidR="00450364">
        <w:rPr>
          <w:rFonts w:ascii="Times New Roman" w:hAnsi="Times New Roman" w:cs="Times New Roman"/>
          <w:sz w:val="24"/>
          <w:szCs w:val="24"/>
        </w:rPr>
        <w:t xml:space="preserve"> or</w:t>
      </w:r>
      <w:r w:rsidR="00DD02BD" w:rsidRPr="003B3FDD">
        <w:rPr>
          <w:rFonts w:ascii="Times New Roman" w:hAnsi="Times New Roman" w:cs="Times New Roman"/>
          <w:sz w:val="24"/>
          <w:szCs w:val="24"/>
        </w:rPr>
        <w:t xml:space="preserve"> visually impaired or have other print disabilities (such as physical limitations that prevent holding a book).  At present, </w:t>
      </w:r>
      <w:r w:rsidR="005A40E1">
        <w:rPr>
          <w:rFonts w:ascii="Times New Roman" w:hAnsi="Times New Roman" w:cs="Times New Roman"/>
          <w:sz w:val="24"/>
          <w:szCs w:val="24"/>
        </w:rPr>
        <w:t>according to WIPO,</w:t>
      </w:r>
      <w:r w:rsidR="00DD02BD" w:rsidRPr="003B3FDD">
        <w:rPr>
          <w:rFonts w:ascii="Times New Roman" w:hAnsi="Times New Roman" w:cs="Times New Roman"/>
          <w:sz w:val="24"/>
          <w:szCs w:val="24"/>
        </w:rPr>
        <w:t xml:space="preserve"> only </w:t>
      </w:r>
      <w:r w:rsidR="005A40E1">
        <w:rPr>
          <w:rFonts w:ascii="Times New Roman" w:hAnsi="Times New Roman" w:cs="Times New Roman"/>
          <w:sz w:val="24"/>
          <w:szCs w:val="24"/>
        </w:rPr>
        <w:t xml:space="preserve">a small </w:t>
      </w:r>
      <w:r w:rsidR="00DD02BD" w:rsidRPr="003B3FDD">
        <w:rPr>
          <w:rFonts w:ascii="Times New Roman" w:hAnsi="Times New Roman" w:cs="Times New Roman"/>
          <w:sz w:val="24"/>
          <w:szCs w:val="24"/>
        </w:rPr>
        <w:t>percent</w:t>
      </w:r>
      <w:r w:rsidR="005A40E1">
        <w:rPr>
          <w:rFonts w:ascii="Times New Roman" w:hAnsi="Times New Roman" w:cs="Times New Roman"/>
          <w:sz w:val="24"/>
          <w:szCs w:val="24"/>
        </w:rPr>
        <w:t>age</w:t>
      </w:r>
      <w:r w:rsidR="00DD02BD" w:rsidRPr="003B3FDD">
        <w:rPr>
          <w:rFonts w:ascii="Times New Roman" w:hAnsi="Times New Roman" w:cs="Times New Roman"/>
          <w:sz w:val="24"/>
          <w:szCs w:val="24"/>
        </w:rPr>
        <w:t xml:space="preserve"> of books published worldwide every year are available in Braille, large print, and accessible digital files, </w:t>
      </w:r>
      <w:r w:rsidR="005A40E1">
        <w:rPr>
          <w:rFonts w:ascii="Times New Roman" w:hAnsi="Times New Roman" w:cs="Times New Roman"/>
          <w:sz w:val="24"/>
          <w:szCs w:val="24"/>
        </w:rPr>
        <w:t xml:space="preserve">resulting in diminished </w:t>
      </w:r>
      <w:r w:rsidR="00DD02BD" w:rsidRPr="003B3FDD">
        <w:rPr>
          <w:rFonts w:ascii="Times New Roman" w:hAnsi="Times New Roman" w:cs="Times New Roman"/>
          <w:sz w:val="24"/>
          <w:szCs w:val="24"/>
        </w:rPr>
        <w:t>access to information, culture</w:t>
      </w:r>
      <w:r w:rsidR="00450364">
        <w:rPr>
          <w:rFonts w:ascii="Times New Roman" w:hAnsi="Times New Roman" w:cs="Times New Roman"/>
          <w:sz w:val="24"/>
          <w:szCs w:val="24"/>
        </w:rPr>
        <w:t>,</w:t>
      </w:r>
      <w:r w:rsidR="00DD02BD" w:rsidRPr="003B3FDD">
        <w:rPr>
          <w:rFonts w:ascii="Times New Roman" w:hAnsi="Times New Roman" w:cs="Times New Roman"/>
          <w:sz w:val="24"/>
          <w:szCs w:val="24"/>
        </w:rPr>
        <w:t xml:space="preserve"> and education for persons with print disabilities.  The Marrakesh Treaty address</w:t>
      </w:r>
      <w:r w:rsidR="005A40E1">
        <w:rPr>
          <w:rFonts w:ascii="Times New Roman" w:hAnsi="Times New Roman" w:cs="Times New Roman"/>
          <w:sz w:val="24"/>
          <w:szCs w:val="24"/>
        </w:rPr>
        <w:t>es</w:t>
      </w:r>
      <w:r w:rsidR="00DD02BD" w:rsidRPr="003B3FDD">
        <w:rPr>
          <w:rFonts w:ascii="Times New Roman" w:hAnsi="Times New Roman" w:cs="Times New Roman"/>
          <w:sz w:val="24"/>
          <w:szCs w:val="24"/>
        </w:rPr>
        <w:t xml:space="preserve"> this </w:t>
      </w:r>
      <w:r w:rsidR="005A40E1">
        <w:rPr>
          <w:rFonts w:ascii="Times New Roman" w:hAnsi="Times New Roman" w:cs="Times New Roman"/>
          <w:sz w:val="24"/>
          <w:szCs w:val="24"/>
        </w:rPr>
        <w:t>gap</w:t>
      </w:r>
      <w:r w:rsidR="00FC563B">
        <w:rPr>
          <w:rFonts w:ascii="Times New Roman" w:hAnsi="Times New Roman" w:cs="Times New Roman"/>
          <w:sz w:val="24"/>
          <w:szCs w:val="24"/>
        </w:rPr>
        <w:t xml:space="preserve"> </w:t>
      </w:r>
      <w:r w:rsidR="00DD02BD" w:rsidRPr="003B3FDD">
        <w:rPr>
          <w:rFonts w:ascii="Times New Roman" w:hAnsi="Times New Roman" w:cs="Times New Roman"/>
          <w:sz w:val="24"/>
          <w:szCs w:val="24"/>
        </w:rPr>
        <w:t>by providing</w:t>
      </w:r>
      <w:r w:rsidR="005A40E1">
        <w:rPr>
          <w:rFonts w:ascii="Times New Roman" w:hAnsi="Times New Roman" w:cs="Times New Roman"/>
          <w:sz w:val="24"/>
          <w:szCs w:val="24"/>
        </w:rPr>
        <w:t>,</w:t>
      </w:r>
      <w:r w:rsidR="00DD02BD" w:rsidRPr="003B3FDD">
        <w:rPr>
          <w:rFonts w:ascii="Times New Roman" w:hAnsi="Times New Roman" w:cs="Times New Roman"/>
          <w:sz w:val="24"/>
          <w:szCs w:val="24"/>
        </w:rPr>
        <w:t xml:space="preserve"> with appropriate safeguards</w:t>
      </w:r>
      <w:r w:rsidR="005A40E1">
        <w:rPr>
          <w:rFonts w:ascii="Times New Roman" w:hAnsi="Times New Roman" w:cs="Times New Roman"/>
          <w:sz w:val="24"/>
          <w:szCs w:val="24"/>
        </w:rPr>
        <w:t>,</w:t>
      </w:r>
      <w:r w:rsidR="00DD02BD" w:rsidRPr="003B3FDD">
        <w:rPr>
          <w:rFonts w:ascii="Times New Roman" w:hAnsi="Times New Roman" w:cs="Times New Roman"/>
          <w:sz w:val="24"/>
          <w:szCs w:val="24"/>
        </w:rPr>
        <w:t xml:space="preserve"> that copyright restrictions should not impede the creation and distribution of such </w:t>
      </w:r>
      <w:r w:rsidR="009247C3" w:rsidRPr="003B3FDD">
        <w:rPr>
          <w:rFonts w:ascii="Times New Roman" w:hAnsi="Times New Roman" w:cs="Times New Roman"/>
          <w:sz w:val="24"/>
          <w:szCs w:val="24"/>
        </w:rPr>
        <w:t>accessible</w:t>
      </w:r>
      <w:r w:rsidR="00DD02BD" w:rsidRPr="003B3FDD">
        <w:rPr>
          <w:rFonts w:ascii="Times New Roman" w:hAnsi="Times New Roman" w:cs="Times New Roman"/>
          <w:sz w:val="24"/>
          <w:szCs w:val="24"/>
        </w:rPr>
        <w:t xml:space="preserve"> format copies</w:t>
      </w:r>
      <w:r w:rsidR="005A40E1">
        <w:rPr>
          <w:rFonts w:ascii="Times New Roman" w:hAnsi="Times New Roman" w:cs="Times New Roman"/>
          <w:sz w:val="24"/>
          <w:szCs w:val="24"/>
        </w:rPr>
        <w:t>, and by fostering the exchange of such copies internationally</w:t>
      </w:r>
      <w:r w:rsidR="00DD02BD" w:rsidRPr="003B3FDD">
        <w:rPr>
          <w:rFonts w:ascii="Times New Roman" w:hAnsi="Times New Roman" w:cs="Times New Roman"/>
          <w:sz w:val="24"/>
          <w:szCs w:val="24"/>
        </w:rPr>
        <w:t xml:space="preserve">.  By facilitating the cross-border dissemination of </w:t>
      </w:r>
      <w:r w:rsidR="009247C3" w:rsidRPr="003B3FDD">
        <w:rPr>
          <w:rFonts w:ascii="Times New Roman" w:hAnsi="Times New Roman" w:cs="Times New Roman"/>
          <w:sz w:val="24"/>
          <w:szCs w:val="24"/>
        </w:rPr>
        <w:t>such</w:t>
      </w:r>
      <w:r w:rsidR="00DD02BD" w:rsidRPr="003B3FDD">
        <w:rPr>
          <w:rFonts w:ascii="Times New Roman" w:hAnsi="Times New Roman" w:cs="Times New Roman"/>
          <w:sz w:val="24"/>
          <w:szCs w:val="24"/>
        </w:rPr>
        <w:t xml:space="preserve"> copies, the Marrakesh Treaty will reduce duplicative efforts and meaningfully increase the number of works available </w:t>
      </w:r>
      <w:r w:rsidR="009247C3" w:rsidRPr="003B3FDD">
        <w:rPr>
          <w:rFonts w:ascii="Times New Roman" w:hAnsi="Times New Roman" w:cs="Times New Roman"/>
          <w:sz w:val="24"/>
          <w:szCs w:val="24"/>
        </w:rPr>
        <w:t>around the world for</w:t>
      </w:r>
      <w:r w:rsidR="002213FA" w:rsidRPr="003B3FDD">
        <w:rPr>
          <w:rFonts w:ascii="Times New Roman" w:hAnsi="Times New Roman" w:cs="Times New Roman"/>
          <w:sz w:val="24"/>
          <w:szCs w:val="24"/>
        </w:rPr>
        <w:t xml:space="preserve"> </w:t>
      </w:r>
      <w:r w:rsidR="00DD02BD" w:rsidRPr="003B3FDD">
        <w:rPr>
          <w:rFonts w:ascii="Times New Roman" w:hAnsi="Times New Roman" w:cs="Times New Roman"/>
          <w:sz w:val="24"/>
          <w:szCs w:val="24"/>
        </w:rPr>
        <w:t>blind and print-disabled persons</w:t>
      </w:r>
      <w:r w:rsidR="009247C3" w:rsidRPr="003B3FDD">
        <w:rPr>
          <w:rFonts w:ascii="Times New Roman" w:hAnsi="Times New Roman" w:cs="Times New Roman"/>
          <w:sz w:val="24"/>
          <w:szCs w:val="24"/>
        </w:rPr>
        <w:t xml:space="preserve">, including </w:t>
      </w:r>
      <w:r w:rsidR="00DC012E" w:rsidRPr="003B3FDD">
        <w:rPr>
          <w:rFonts w:ascii="Times New Roman" w:hAnsi="Times New Roman" w:cs="Times New Roman"/>
          <w:sz w:val="24"/>
          <w:szCs w:val="24"/>
        </w:rPr>
        <w:t xml:space="preserve">U.S. citizens </w:t>
      </w:r>
      <w:r w:rsidR="00DD02BD" w:rsidRPr="003B3FDD">
        <w:rPr>
          <w:rFonts w:ascii="Times New Roman" w:hAnsi="Times New Roman" w:cs="Times New Roman"/>
          <w:sz w:val="24"/>
          <w:szCs w:val="24"/>
        </w:rPr>
        <w:t>residing in the United States</w:t>
      </w:r>
      <w:r w:rsidR="00DC012E" w:rsidRPr="003B3FDD">
        <w:rPr>
          <w:rFonts w:ascii="Times New Roman" w:hAnsi="Times New Roman" w:cs="Times New Roman"/>
          <w:sz w:val="24"/>
          <w:szCs w:val="24"/>
        </w:rPr>
        <w:t xml:space="preserve"> and abroad</w:t>
      </w:r>
      <w:r w:rsidR="001C39A7" w:rsidRPr="003B3FDD">
        <w:rPr>
          <w:rFonts w:ascii="Times New Roman" w:hAnsi="Times New Roman" w:cs="Times New Roman"/>
          <w:sz w:val="24"/>
          <w:szCs w:val="24"/>
        </w:rPr>
        <w:t>.</w:t>
      </w:r>
    </w:p>
    <w:p w14:paraId="15E53EB0" w14:textId="77777777" w:rsidR="00DD02BD" w:rsidRPr="003B3FDD" w:rsidRDefault="00DD02BD" w:rsidP="00DD02BD">
      <w:pPr>
        <w:rPr>
          <w:rFonts w:ascii="Times New Roman" w:hAnsi="Times New Roman" w:cs="Times New Roman"/>
          <w:sz w:val="24"/>
          <w:szCs w:val="24"/>
        </w:rPr>
      </w:pPr>
    </w:p>
    <w:p w14:paraId="582FCC37" w14:textId="6C268903" w:rsidR="00A65FD3" w:rsidRDefault="00DD02BD" w:rsidP="00A65FD3">
      <w:pPr>
        <w:spacing w:after="360"/>
      </w:pPr>
      <w:r w:rsidRPr="003B3FDD">
        <w:rPr>
          <w:rFonts w:ascii="Times New Roman" w:hAnsi="Times New Roman" w:cs="Times New Roman"/>
          <w:sz w:val="24"/>
          <w:szCs w:val="24"/>
        </w:rPr>
        <w:t>The Marrakesh Treaty</w:t>
      </w:r>
      <w:r w:rsidR="00A34089">
        <w:rPr>
          <w:rFonts w:ascii="Times New Roman" w:hAnsi="Times New Roman" w:cs="Times New Roman"/>
          <w:sz w:val="24"/>
          <w:szCs w:val="24"/>
        </w:rPr>
        <w:t xml:space="preserve"> contains two principal requirements. </w:t>
      </w:r>
      <w:r w:rsidRPr="003B3FDD">
        <w:rPr>
          <w:rFonts w:ascii="Times New Roman" w:hAnsi="Times New Roman" w:cs="Times New Roman"/>
          <w:sz w:val="24"/>
          <w:szCs w:val="24"/>
        </w:rPr>
        <w:t xml:space="preserve"> First, </w:t>
      </w:r>
      <w:r w:rsidR="005A40E1">
        <w:rPr>
          <w:rFonts w:ascii="Times New Roman" w:hAnsi="Times New Roman" w:cs="Times New Roman"/>
          <w:sz w:val="24"/>
          <w:szCs w:val="24"/>
        </w:rPr>
        <w:t>it</w:t>
      </w:r>
      <w:r w:rsidRPr="003B3FDD">
        <w:rPr>
          <w:rFonts w:ascii="Times New Roman" w:hAnsi="Times New Roman" w:cs="Times New Roman"/>
          <w:sz w:val="24"/>
          <w:szCs w:val="24"/>
        </w:rPr>
        <w:t xml:space="preserve"> requires </w:t>
      </w:r>
      <w:r w:rsidR="005A40E1">
        <w:rPr>
          <w:rFonts w:ascii="Times New Roman" w:hAnsi="Times New Roman" w:cs="Times New Roman"/>
          <w:sz w:val="24"/>
          <w:szCs w:val="24"/>
        </w:rPr>
        <w:t>p</w:t>
      </w:r>
      <w:r w:rsidRPr="003B3FDD">
        <w:rPr>
          <w:rFonts w:ascii="Times New Roman" w:hAnsi="Times New Roman" w:cs="Times New Roman"/>
          <w:sz w:val="24"/>
          <w:szCs w:val="24"/>
        </w:rPr>
        <w:t xml:space="preserve">arties to provide </w:t>
      </w:r>
      <w:r w:rsidR="005A40E1">
        <w:rPr>
          <w:rFonts w:ascii="Times New Roman" w:hAnsi="Times New Roman" w:cs="Times New Roman"/>
          <w:sz w:val="24"/>
          <w:szCs w:val="24"/>
        </w:rPr>
        <w:t xml:space="preserve">an </w:t>
      </w:r>
      <w:r w:rsidRPr="003B3FDD">
        <w:rPr>
          <w:rFonts w:ascii="Times New Roman" w:hAnsi="Times New Roman" w:cs="Times New Roman"/>
          <w:sz w:val="24"/>
          <w:szCs w:val="24"/>
        </w:rPr>
        <w:t>exception</w:t>
      </w:r>
      <w:r w:rsidR="005A40E1">
        <w:rPr>
          <w:rFonts w:ascii="Times New Roman" w:hAnsi="Times New Roman" w:cs="Times New Roman"/>
          <w:sz w:val="24"/>
          <w:szCs w:val="24"/>
        </w:rPr>
        <w:t xml:space="preserve"> or limitation</w:t>
      </w:r>
      <w:r w:rsidRPr="003B3FDD">
        <w:rPr>
          <w:rFonts w:ascii="Times New Roman" w:hAnsi="Times New Roman" w:cs="Times New Roman"/>
          <w:sz w:val="24"/>
          <w:szCs w:val="24"/>
        </w:rPr>
        <w:t xml:space="preserve"> in their national copyright laws</w:t>
      </w:r>
      <w:r w:rsidR="00A34089">
        <w:rPr>
          <w:rFonts w:ascii="Times New Roman" w:hAnsi="Times New Roman" w:cs="Times New Roman"/>
          <w:sz w:val="24"/>
          <w:szCs w:val="24"/>
        </w:rPr>
        <w:t xml:space="preserve"> for the creation and distribution of accessible format copies for the exclusive use of blind and other print-disabled persons, subject to their </w:t>
      </w:r>
      <w:r w:rsidR="00B66FDC">
        <w:rPr>
          <w:rFonts w:ascii="Times New Roman" w:hAnsi="Times New Roman" w:cs="Times New Roman"/>
          <w:sz w:val="24"/>
          <w:szCs w:val="24"/>
        </w:rPr>
        <w:t xml:space="preserve">international </w:t>
      </w:r>
      <w:r w:rsidR="00A34089">
        <w:rPr>
          <w:rFonts w:ascii="Times New Roman" w:hAnsi="Times New Roman" w:cs="Times New Roman"/>
          <w:sz w:val="24"/>
          <w:szCs w:val="24"/>
        </w:rPr>
        <w:t>obligations</w:t>
      </w:r>
      <w:r w:rsidR="00B66FDC">
        <w:rPr>
          <w:rFonts w:ascii="Times New Roman" w:hAnsi="Times New Roman" w:cs="Times New Roman"/>
          <w:sz w:val="24"/>
          <w:szCs w:val="24"/>
        </w:rPr>
        <w:t>, including</w:t>
      </w:r>
      <w:r w:rsidR="00A34089">
        <w:rPr>
          <w:rFonts w:ascii="Times New Roman" w:hAnsi="Times New Roman" w:cs="Times New Roman"/>
          <w:sz w:val="24"/>
          <w:szCs w:val="24"/>
        </w:rPr>
        <w:t xml:space="preserve"> the well-established international standard for copyright exceptions and limitations known as the three-step test.  </w:t>
      </w:r>
      <w:r w:rsidR="005A40E1">
        <w:rPr>
          <w:rFonts w:ascii="Times New Roman" w:hAnsi="Times New Roman" w:cs="Times New Roman"/>
          <w:sz w:val="24"/>
          <w:szCs w:val="24"/>
        </w:rPr>
        <w:t xml:space="preserve"> </w:t>
      </w:r>
      <w:r w:rsidRPr="003B3FDD">
        <w:rPr>
          <w:rFonts w:ascii="Times New Roman" w:hAnsi="Times New Roman" w:cs="Times New Roman"/>
          <w:sz w:val="24"/>
          <w:szCs w:val="24"/>
        </w:rPr>
        <w:t xml:space="preserve">Second, the Treaty requires </w:t>
      </w:r>
      <w:r w:rsidR="005A40E1">
        <w:rPr>
          <w:rFonts w:ascii="Times New Roman" w:hAnsi="Times New Roman" w:cs="Times New Roman"/>
          <w:sz w:val="24"/>
          <w:szCs w:val="24"/>
        </w:rPr>
        <w:t>p</w:t>
      </w:r>
      <w:r w:rsidRPr="003B3FDD">
        <w:rPr>
          <w:rFonts w:ascii="Times New Roman" w:hAnsi="Times New Roman" w:cs="Times New Roman"/>
          <w:sz w:val="24"/>
          <w:szCs w:val="24"/>
        </w:rPr>
        <w:t>arties to permit the export of accessible format cop</w:t>
      </w:r>
      <w:r w:rsidR="009247C3" w:rsidRPr="003B3FDD">
        <w:rPr>
          <w:rFonts w:ascii="Times New Roman" w:hAnsi="Times New Roman" w:cs="Times New Roman"/>
          <w:sz w:val="24"/>
          <w:szCs w:val="24"/>
        </w:rPr>
        <w:t>ies</w:t>
      </w:r>
      <w:r w:rsidRPr="003B3FDD">
        <w:rPr>
          <w:rFonts w:ascii="Times New Roman" w:hAnsi="Times New Roman" w:cs="Times New Roman"/>
          <w:sz w:val="24"/>
          <w:szCs w:val="24"/>
        </w:rPr>
        <w:t xml:space="preserve"> made under such an exception for the use of blind and other print-disabled persons in other </w:t>
      </w:r>
      <w:proofErr w:type="gramStart"/>
      <w:r w:rsidR="005A40E1">
        <w:rPr>
          <w:rFonts w:ascii="Times New Roman" w:hAnsi="Times New Roman" w:cs="Times New Roman"/>
          <w:sz w:val="24"/>
          <w:szCs w:val="24"/>
        </w:rPr>
        <w:t>p</w:t>
      </w:r>
      <w:r w:rsidRPr="003B3FDD">
        <w:rPr>
          <w:rFonts w:ascii="Times New Roman" w:hAnsi="Times New Roman" w:cs="Times New Roman"/>
          <w:sz w:val="24"/>
          <w:szCs w:val="24"/>
        </w:rPr>
        <w:t>arties</w:t>
      </w:r>
      <w:proofErr w:type="gramEnd"/>
      <w:r w:rsidR="005A40E1">
        <w:rPr>
          <w:rFonts w:ascii="Times New Roman" w:hAnsi="Times New Roman" w:cs="Times New Roman"/>
          <w:sz w:val="24"/>
          <w:szCs w:val="24"/>
        </w:rPr>
        <w:t xml:space="preserve"> to the </w:t>
      </w:r>
      <w:r w:rsidR="00A34089">
        <w:rPr>
          <w:rFonts w:ascii="Times New Roman" w:hAnsi="Times New Roman" w:cs="Times New Roman"/>
          <w:sz w:val="24"/>
          <w:szCs w:val="24"/>
        </w:rPr>
        <w:t>T</w:t>
      </w:r>
      <w:r w:rsidR="005A40E1">
        <w:rPr>
          <w:rFonts w:ascii="Times New Roman" w:hAnsi="Times New Roman" w:cs="Times New Roman"/>
          <w:sz w:val="24"/>
          <w:szCs w:val="24"/>
        </w:rPr>
        <w:t>reaty</w:t>
      </w:r>
      <w:r w:rsidR="009247C3" w:rsidRPr="003B3FDD">
        <w:rPr>
          <w:rFonts w:ascii="Times New Roman" w:hAnsi="Times New Roman" w:cs="Times New Roman"/>
          <w:sz w:val="24"/>
          <w:szCs w:val="24"/>
        </w:rPr>
        <w:t>,</w:t>
      </w:r>
      <w:r w:rsidRPr="003B3FDD">
        <w:rPr>
          <w:rFonts w:ascii="Times New Roman" w:hAnsi="Times New Roman" w:cs="Times New Roman"/>
          <w:sz w:val="24"/>
          <w:szCs w:val="24"/>
        </w:rPr>
        <w:t xml:space="preserve"> subject to </w:t>
      </w:r>
      <w:r w:rsidR="009247C3" w:rsidRPr="003B3FDD">
        <w:rPr>
          <w:rFonts w:ascii="Times New Roman" w:hAnsi="Times New Roman" w:cs="Times New Roman"/>
          <w:sz w:val="24"/>
          <w:szCs w:val="24"/>
        </w:rPr>
        <w:t xml:space="preserve">various </w:t>
      </w:r>
      <w:r w:rsidRPr="003B3FDD">
        <w:rPr>
          <w:rFonts w:ascii="Times New Roman" w:hAnsi="Times New Roman" w:cs="Times New Roman"/>
          <w:sz w:val="24"/>
          <w:szCs w:val="24"/>
        </w:rPr>
        <w:t>safeguards</w:t>
      </w:r>
      <w:r w:rsidR="005A40E1" w:rsidRPr="003B3FDD">
        <w:rPr>
          <w:rFonts w:ascii="Times New Roman" w:hAnsi="Times New Roman" w:cs="Times New Roman"/>
          <w:sz w:val="24"/>
          <w:szCs w:val="24"/>
        </w:rPr>
        <w:t>.</w:t>
      </w:r>
    </w:p>
    <w:p w14:paraId="2AAD1066" w14:textId="50AF6C34" w:rsidR="0073297B" w:rsidRPr="003B3FDD" w:rsidRDefault="00DD02BD" w:rsidP="00A65FD3">
      <w:pPr>
        <w:pStyle w:val="Heading3"/>
        <w:rPr>
          <w:rFonts w:ascii="Times New Roman" w:hAnsi="Times New Roman" w:cs="Times New Roman"/>
          <w:b/>
        </w:rPr>
      </w:pPr>
      <w:r w:rsidRPr="003B3FDD">
        <w:t>Discussion</w:t>
      </w:r>
    </w:p>
    <w:p w14:paraId="4C5AD393" w14:textId="085F10A9" w:rsidR="00DD02BD" w:rsidRPr="003B3FDD" w:rsidRDefault="00DD02BD" w:rsidP="00DD02BD">
      <w:pPr>
        <w:rPr>
          <w:rFonts w:ascii="Times New Roman" w:eastAsia="Calibri" w:hAnsi="Times New Roman" w:cs="Times New Roman"/>
          <w:bCs/>
          <w:color w:val="000000"/>
          <w:sz w:val="24"/>
          <w:szCs w:val="24"/>
        </w:rPr>
      </w:pPr>
      <w:r w:rsidRPr="003B3FDD">
        <w:rPr>
          <w:rFonts w:ascii="Times New Roman" w:eastAsia="Calibri" w:hAnsi="Times New Roman" w:cs="Times New Roman"/>
          <w:bCs/>
          <w:color w:val="000000"/>
          <w:sz w:val="24"/>
          <w:szCs w:val="24"/>
        </w:rPr>
        <w:t xml:space="preserve">The Treaty’s provisions are </w:t>
      </w:r>
      <w:r w:rsidRPr="005A36A1">
        <w:rPr>
          <w:rFonts w:ascii="Times New Roman" w:eastAsia="Calibri" w:hAnsi="Times New Roman" w:cs="Times New Roman"/>
          <w:bCs/>
          <w:color w:val="000000"/>
          <w:sz w:val="24"/>
          <w:szCs w:val="24"/>
        </w:rPr>
        <w:t xml:space="preserve">broadly consistent </w:t>
      </w:r>
      <w:r w:rsidRPr="003B3FDD">
        <w:rPr>
          <w:rFonts w:ascii="Times New Roman" w:eastAsia="Calibri" w:hAnsi="Times New Roman" w:cs="Times New Roman"/>
          <w:bCs/>
          <w:color w:val="000000"/>
          <w:sz w:val="24"/>
          <w:szCs w:val="24"/>
        </w:rPr>
        <w:t xml:space="preserve">with the approach and structure of existing U.S. law, primarily reflected in Section 121 of the Copyright Act. </w:t>
      </w:r>
      <w:r w:rsidRPr="003B3FDD">
        <w:rPr>
          <w:rFonts w:ascii="Times New Roman" w:hAnsi="Times New Roman" w:cs="Times New Roman"/>
          <w:sz w:val="24"/>
          <w:szCs w:val="24"/>
        </w:rPr>
        <w:t xml:space="preserve">Under Section 121, certain non-profit organizations and government agencies are permitted to produce and distribute copies of previously published, nondramatic literary works in specialized formats </w:t>
      </w:r>
      <w:r w:rsidRPr="003B3FDD">
        <w:rPr>
          <w:rFonts w:ascii="Times New Roman" w:hAnsi="Times New Roman" w:cs="Times New Roman"/>
          <w:sz w:val="24"/>
          <w:szCs w:val="24"/>
        </w:rPr>
        <w:lastRenderedPageBreak/>
        <w:t xml:space="preserve">for the exclusive use of </w:t>
      </w:r>
      <w:r w:rsidR="009247C3" w:rsidRPr="003B3FDD">
        <w:rPr>
          <w:rFonts w:ascii="Times New Roman" w:hAnsi="Times New Roman" w:cs="Times New Roman"/>
          <w:sz w:val="24"/>
          <w:szCs w:val="24"/>
        </w:rPr>
        <w:t xml:space="preserve">the </w:t>
      </w:r>
      <w:r w:rsidRPr="003B3FDD">
        <w:rPr>
          <w:rFonts w:ascii="Times New Roman" w:hAnsi="Times New Roman" w:cs="Times New Roman"/>
          <w:sz w:val="24"/>
          <w:szCs w:val="24"/>
        </w:rPr>
        <w:t>blind or other persons with disabilities</w:t>
      </w:r>
      <w:r w:rsidRPr="003B3FDD">
        <w:rPr>
          <w:rFonts w:ascii="Times New Roman" w:eastAsia="Calibri" w:hAnsi="Times New Roman" w:cs="Times New Roman"/>
          <w:bCs/>
          <w:color w:val="000000"/>
          <w:sz w:val="24"/>
          <w:szCs w:val="24"/>
        </w:rPr>
        <w:t xml:space="preserve">. Section 121 does not define </w:t>
      </w:r>
      <w:r w:rsidR="009247C3" w:rsidRPr="003B3FDD">
        <w:rPr>
          <w:rFonts w:ascii="Times New Roman" w:eastAsia="Calibri" w:hAnsi="Times New Roman" w:cs="Times New Roman"/>
          <w:bCs/>
          <w:color w:val="000000"/>
          <w:sz w:val="24"/>
          <w:szCs w:val="24"/>
        </w:rPr>
        <w:t>“</w:t>
      </w:r>
      <w:r w:rsidRPr="003B3FDD">
        <w:rPr>
          <w:rFonts w:ascii="Times New Roman" w:hAnsi="Times New Roman" w:cs="Times New Roman"/>
          <w:sz w:val="24"/>
          <w:szCs w:val="24"/>
        </w:rPr>
        <w:t>blind or other persons with disabilities</w:t>
      </w:r>
      <w:r w:rsidR="009B36F9">
        <w:rPr>
          <w:rFonts w:ascii="Times New Roman" w:hAnsi="Times New Roman" w:cs="Times New Roman"/>
          <w:sz w:val="24"/>
          <w:szCs w:val="24"/>
        </w:rPr>
        <w:t>,</w:t>
      </w:r>
      <w:r w:rsidR="009247C3" w:rsidRPr="003B3FDD">
        <w:rPr>
          <w:rFonts w:ascii="Times New Roman" w:hAnsi="Times New Roman" w:cs="Times New Roman"/>
          <w:sz w:val="24"/>
          <w:szCs w:val="24"/>
        </w:rPr>
        <w:t>”</w:t>
      </w:r>
      <w:r w:rsidRPr="003B3FDD">
        <w:rPr>
          <w:rFonts w:ascii="Times New Roman" w:eastAsia="Calibri" w:hAnsi="Times New Roman" w:cs="Times New Roman"/>
          <w:bCs/>
          <w:color w:val="000000"/>
          <w:sz w:val="24"/>
          <w:szCs w:val="24"/>
        </w:rPr>
        <w:t xml:space="preserve"> but instead refers to individuals who qualify under </w:t>
      </w:r>
      <w:r w:rsidRPr="003B3FDD">
        <w:rPr>
          <w:rFonts w:ascii="Times New Roman" w:hAnsi="Times New Roman" w:cs="Times New Roman"/>
          <w:sz w:val="24"/>
          <w:szCs w:val="24"/>
        </w:rPr>
        <w:t>2 U.S.C</w:t>
      </w:r>
      <w:r w:rsidR="00ED6574">
        <w:rPr>
          <w:rFonts w:ascii="Times New Roman" w:hAnsi="Times New Roman" w:cs="Times New Roman"/>
          <w:sz w:val="24"/>
          <w:szCs w:val="24"/>
        </w:rPr>
        <w:t>.</w:t>
      </w:r>
      <w:r w:rsidRPr="003B3FDD">
        <w:rPr>
          <w:rFonts w:ascii="Times New Roman" w:hAnsi="Times New Roman" w:cs="Times New Roman"/>
          <w:sz w:val="24"/>
          <w:szCs w:val="24"/>
        </w:rPr>
        <w:t xml:space="preserve"> 135a, which authorizes appropriations for the Library of Congress’s loans of library materials for blind and other physically handicapped </w:t>
      </w:r>
      <w:r w:rsidR="009247C3" w:rsidRPr="003B3FDD">
        <w:rPr>
          <w:rFonts w:ascii="Times New Roman" w:hAnsi="Times New Roman" w:cs="Times New Roman"/>
          <w:sz w:val="24"/>
          <w:szCs w:val="24"/>
        </w:rPr>
        <w:t>persons</w:t>
      </w:r>
      <w:r w:rsidRPr="003B3FDD">
        <w:rPr>
          <w:rFonts w:ascii="Times New Roman" w:hAnsi="Times New Roman" w:cs="Times New Roman"/>
          <w:sz w:val="24"/>
          <w:szCs w:val="24"/>
        </w:rPr>
        <w:t>. T</w:t>
      </w:r>
      <w:r w:rsidRPr="003B3FDD">
        <w:rPr>
          <w:rFonts w:ascii="Times New Roman" w:eastAsia="Calibri" w:hAnsi="Times New Roman" w:cs="Times New Roman"/>
          <w:bCs/>
          <w:color w:val="000000"/>
          <w:sz w:val="24"/>
          <w:szCs w:val="24"/>
        </w:rPr>
        <w:t xml:space="preserve">his </w:t>
      </w:r>
      <w:r w:rsidR="00FC563B">
        <w:rPr>
          <w:rFonts w:ascii="Times New Roman" w:eastAsia="Calibri" w:hAnsi="Times New Roman" w:cs="Times New Roman"/>
          <w:bCs/>
          <w:color w:val="000000"/>
          <w:sz w:val="24"/>
          <w:szCs w:val="24"/>
        </w:rPr>
        <w:t xml:space="preserve">proposed </w:t>
      </w:r>
      <w:r w:rsidRPr="003B3FDD">
        <w:rPr>
          <w:rFonts w:ascii="Times New Roman" w:eastAsia="Calibri" w:hAnsi="Times New Roman" w:cs="Times New Roman"/>
          <w:bCs/>
          <w:color w:val="000000"/>
          <w:sz w:val="24"/>
          <w:szCs w:val="24"/>
        </w:rPr>
        <w:t xml:space="preserve">legislation </w:t>
      </w:r>
      <w:r w:rsidR="00FC563B">
        <w:rPr>
          <w:rFonts w:ascii="Times New Roman" w:eastAsia="Calibri" w:hAnsi="Times New Roman" w:cs="Times New Roman"/>
          <w:bCs/>
          <w:color w:val="000000"/>
          <w:sz w:val="24"/>
          <w:szCs w:val="24"/>
        </w:rPr>
        <w:t xml:space="preserve">puts forth </w:t>
      </w:r>
      <w:r w:rsidRPr="003B3FDD">
        <w:rPr>
          <w:rFonts w:ascii="Times New Roman" w:eastAsia="Calibri" w:hAnsi="Times New Roman" w:cs="Times New Roman"/>
          <w:bCs/>
          <w:color w:val="000000"/>
          <w:sz w:val="24"/>
          <w:szCs w:val="24"/>
        </w:rPr>
        <w:t>a limited set of changes to Section 121</w:t>
      </w:r>
      <w:r w:rsidR="00AA369A" w:rsidRPr="003B3FDD">
        <w:rPr>
          <w:rFonts w:ascii="Times New Roman" w:eastAsia="Calibri" w:hAnsi="Times New Roman" w:cs="Times New Roman"/>
          <w:bCs/>
          <w:color w:val="000000"/>
          <w:sz w:val="24"/>
          <w:szCs w:val="24"/>
        </w:rPr>
        <w:t xml:space="preserve"> </w:t>
      </w:r>
      <w:r w:rsidRPr="003B3FDD">
        <w:rPr>
          <w:rFonts w:ascii="Times New Roman" w:eastAsia="Calibri" w:hAnsi="Times New Roman" w:cs="Times New Roman"/>
          <w:bCs/>
          <w:color w:val="000000"/>
          <w:sz w:val="24"/>
          <w:szCs w:val="24"/>
        </w:rPr>
        <w:t>to implement the Treaty’s provisions.</w:t>
      </w:r>
      <w:r w:rsidR="003002D7" w:rsidRPr="003B3FDD" w:rsidDel="003002D7">
        <w:rPr>
          <w:rStyle w:val="FootnoteReference"/>
          <w:rFonts w:ascii="Times New Roman" w:eastAsia="Calibri" w:hAnsi="Times New Roman" w:cs="Times New Roman"/>
          <w:bCs/>
          <w:color w:val="000000"/>
          <w:sz w:val="24"/>
          <w:szCs w:val="24"/>
        </w:rPr>
        <w:t xml:space="preserve"> </w:t>
      </w:r>
    </w:p>
    <w:p w14:paraId="537382EC" w14:textId="77777777" w:rsidR="00DD02BD" w:rsidRPr="003B3FDD" w:rsidRDefault="00DD02BD" w:rsidP="00DD02BD">
      <w:pPr>
        <w:rPr>
          <w:rFonts w:ascii="Times New Roman" w:eastAsia="Calibri" w:hAnsi="Times New Roman" w:cs="Times New Roman"/>
          <w:color w:val="000000"/>
          <w:sz w:val="24"/>
          <w:szCs w:val="24"/>
        </w:rPr>
      </w:pPr>
    </w:p>
    <w:p w14:paraId="11726D61" w14:textId="77777777" w:rsidR="00DD02BD" w:rsidRPr="003B3FDD" w:rsidRDefault="00300742" w:rsidP="00A65FD3">
      <w:pPr>
        <w:pStyle w:val="Heading4"/>
        <w:rPr>
          <w:rFonts w:eastAsia="Calibri"/>
          <w:color w:val="000000"/>
        </w:rPr>
      </w:pPr>
      <w:r w:rsidRPr="003B3FDD">
        <w:t>Current U.S. Law and Proposed Changes:</w:t>
      </w:r>
    </w:p>
    <w:p w14:paraId="6DDAED50" w14:textId="77777777" w:rsidR="00DD02BD" w:rsidRPr="003B3FDD" w:rsidRDefault="00DD02BD" w:rsidP="00DD02BD">
      <w:pPr>
        <w:rPr>
          <w:rFonts w:ascii="Times New Roman" w:eastAsia="Calibri" w:hAnsi="Times New Roman" w:cs="Times New Roman"/>
          <w:color w:val="000000"/>
          <w:sz w:val="24"/>
          <w:szCs w:val="24"/>
        </w:rPr>
      </w:pPr>
    </w:p>
    <w:p w14:paraId="02CF166B" w14:textId="77777777" w:rsidR="00DD02BD" w:rsidRPr="003B3FDD" w:rsidRDefault="00DD02BD" w:rsidP="00A65FD3">
      <w:pPr>
        <w:pStyle w:val="Heading5"/>
      </w:pPr>
      <w:r w:rsidRPr="003B3FDD">
        <w:t xml:space="preserve"> Scope of Works</w:t>
      </w:r>
    </w:p>
    <w:p w14:paraId="5D9BC031" w14:textId="77777777" w:rsidR="00DD02BD" w:rsidRPr="003B3FDD" w:rsidRDefault="00DD02BD" w:rsidP="00DD02BD">
      <w:pPr>
        <w:rPr>
          <w:rFonts w:ascii="Times New Roman" w:eastAsia="Calibri" w:hAnsi="Times New Roman" w:cs="Times New Roman"/>
          <w:color w:val="000000"/>
          <w:sz w:val="24"/>
          <w:szCs w:val="24"/>
        </w:rPr>
      </w:pPr>
    </w:p>
    <w:p w14:paraId="3B28EFEB" w14:textId="5CD63B2B" w:rsidR="00DD02BD" w:rsidRPr="003B3FDD" w:rsidRDefault="00DD02BD" w:rsidP="00DD02BD">
      <w:pPr>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The Treaty (Article 2) defines “works” as “literary and artistic works within the meaning of Article 2(1) of the Berne Convention.” That Article sets forth categories of protected subject matter, including literary works such as books</w:t>
      </w:r>
      <w:r w:rsidR="00ED6574">
        <w:rPr>
          <w:rFonts w:ascii="Times New Roman" w:eastAsia="Calibri" w:hAnsi="Times New Roman" w:cs="Times New Roman"/>
          <w:color w:val="000000"/>
          <w:sz w:val="24"/>
          <w:szCs w:val="24"/>
        </w:rPr>
        <w:t>,</w:t>
      </w:r>
      <w:r w:rsidRPr="003B3FDD">
        <w:rPr>
          <w:rFonts w:ascii="Times New Roman" w:eastAsia="Calibri" w:hAnsi="Times New Roman" w:cs="Times New Roman"/>
          <w:color w:val="000000"/>
          <w:sz w:val="24"/>
          <w:szCs w:val="24"/>
        </w:rPr>
        <w:t xml:space="preserve"> dramatic works such as plays, and musical compositions such as musical scores.  The subject matter required to be covered by the Treaty encompasses such works</w:t>
      </w:r>
      <w:r w:rsidR="009247C3" w:rsidRPr="003B3FDD">
        <w:rPr>
          <w:rFonts w:ascii="Times New Roman" w:eastAsia="Calibri" w:hAnsi="Times New Roman" w:cs="Times New Roman"/>
          <w:color w:val="000000"/>
          <w:sz w:val="24"/>
          <w:szCs w:val="24"/>
        </w:rPr>
        <w:t xml:space="preserve"> only when</w:t>
      </w:r>
      <w:r w:rsidRPr="003B3FDD">
        <w:rPr>
          <w:rFonts w:ascii="Times New Roman" w:eastAsia="Calibri" w:hAnsi="Times New Roman" w:cs="Times New Roman"/>
          <w:color w:val="000000"/>
          <w:sz w:val="24"/>
          <w:szCs w:val="24"/>
        </w:rPr>
        <w:t xml:space="preserve"> “in the form of text, notation, and/or related illustrations.”  The Treaty’s scope, therefore, includes dramatic works in the form of text such as the script of </w:t>
      </w:r>
      <w:r w:rsidR="009247C3" w:rsidRPr="003B3FDD">
        <w:rPr>
          <w:rFonts w:ascii="Times New Roman" w:eastAsia="Calibri" w:hAnsi="Times New Roman" w:cs="Times New Roman"/>
          <w:color w:val="000000"/>
          <w:sz w:val="24"/>
          <w:szCs w:val="24"/>
        </w:rPr>
        <w:t xml:space="preserve">a </w:t>
      </w:r>
      <w:r w:rsidRPr="003B3FDD">
        <w:rPr>
          <w:rFonts w:ascii="Times New Roman" w:eastAsia="Calibri" w:hAnsi="Times New Roman" w:cs="Times New Roman"/>
          <w:color w:val="000000"/>
          <w:sz w:val="24"/>
          <w:szCs w:val="24"/>
        </w:rPr>
        <w:t xml:space="preserve">play, as well as musical works in the form of text and notation such as sheet music. </w:t>
      </w:r>
    </w:p>
    <w:p w14:paraId="2C88EC3B" w14:textId="77777777" w:rsidR="0073297B" w:rsidRPr="003B3FDD" w:rsidRDefault="0073297B" w:rsidP="00DD02BD">
      <w:pPr>
        <w:rPr>
          <w:rFonts w:ascii="Times New Roman" w:eastAsia="Calibri" w:hAnsi="Times New Roman" w:cs="Times New Roman"/>
          <w:color w:val="000000"/>
          <w:sz w:val="24"/>
          <w:szCs w:val="24"/>
        </w:rPr>
      </w:pPr>
    </w:p>
    <w:p w14:paraId="1BDB4F74" w14:textId="77777777" w:rsidR="0073297B" w:rsidRPr="003B3FDD" w:rsidRDefault="00DD02BD" w:rsidP="00DD02BD">
      <w:pPr>
        <w:rPr>
          <w:rFonts w:ascii="Times New Roman" w:hAnsi="Times New Roman" w:cs="Times New Roman"/>
          <w:sz w:val="24"/>
          <w:szCs w:val="24"/>
        </w:rPr>
      </w:pPr>
      <w:r w:rsidRPr="003B3FDD">
        <w:rPr>
          <w:rFonts w:ascii="Times New Roman" w:hAnsi="Times New Roman" w:cs="Times New Roman"/>
          <w:sz w:val="24"/>
          <w:szCs w:val="24"/>
        </w:rPr>
        <w:t xml:space="preserve">By contrast, </w:t>
      </w:r>
      <w:r w:rsidR="009247C3" w:rsidRPr="003B3FDD">
        <w:rPr>
          <w:rFonts w:ascii="Times New Roman" w:hAnsi="Times New Roman" w:cs="Times New Roman"/>
          <w:sz w:val="24"/>
          <w:szCs w:val="24"/>
        </w:rPr>
        <w:t xml:space="preserve">neither musical sound recordings nor </w:t>
      </w:r>
      <w:r w:rsidRPr="003B3FDD">
        <w:rPr>
          <w:rFonts w:ascii="Times New Roman" w:hAnsi="Times New Roman" w:cs="Times New Roman"/>
          <w:sz w:val="24"/>
          <w:szCs w:val="24"/>
        </w:rPr>
        <w:t>audiovisual works, which consist of a series of related images with or without accompanying sounds, are works in the form of text, notation, and/or related illustration, and therefore</w:t>
      </w:r>
      <w:r w:rsidR="009247C3" w:rsidRPr="003B3FDD">
        <w:rPr>
          <w:rFonts w:ascii="Times New Roman" w:hAnsi="Times New Roman" w:cs="Times New Roman"/>
          <w:sz w:val="24"/>
          <w:szCs w:val="24"/>
        </w:rPr>
        <w:t xml:space="preserve"> they</w:t>
      </w:r>
      <w:r w:rsidRPr="003B3FDD">
        <w:rPr>
          <w:rFonts w:ascii="Times New Roman" w:hAnsi="Times New Roman" w:cs="Times New Roman"/>
          <w:sz w:val="24"/>
          <w:szCs w:val="24"/>
        </w:rPr>
        <w:t xml:space="preserve"> are not covered by the Treaty. </w:t>
      </w:r>
    </w:p>
    <w:p w14:paraId="4783DB93" w14:textId="77777777" w:rsidR="00DD02BD" w:rsidRPr="003B3FDD" w:rsidRDefault="00DD02BD" w:rsidP="00DD02BD">
      <w:pPr>
        <w:rPr>
          <w:rFonts w:ascii="Times New Roman" w:hAnsi="Times New Roman" w:cs="Times New Roman"/>
          <w:sz w:val="24"/>
          <w:szCs w:val="24"/>
        </w:rPr>
      </w:pPr>
    </w:p>
    <w:p w14:paraId="3520D9FD" w14:textId="74D6F615" w:rsidR="003379CE" w:rsidRPr="00CA07BA" w:rsidRDefault="00DD02BD" w:rsidP="00F425C3">
      <w:pPr>
        <w:spacing w:after="240"/>
        <w:rPr>
          <w:rFonts w:ascii="Times New Roman" w:hAnsi="Times New Roman" w:cs="Times New Roman"/>
          <w:sz w:val="24"/>
          <w:szCs w:val="24"/>
        </w:rPr>
      </w:pPr>
      <w:r w:rsidRPr="003B3FDD">
        <w:rPr>
          <w:rFonts w:ascii="Times New Roman" w:hAnsi="Times New Roman" w:cs="Times New Roman"/>
          <w:sz w:val="24"/>
          <w:szCs w:val="24"/>
        </w:rPr>
        <w:t xml:space="preserve">Currently, </w:t>
      </w:r>
      <w:r w:rsidRPr="003B3FDD">
        <w:rPr>
          <w:rFonts w:ascii="Times New Roman" w:eastAsia="Calibri" w:hAnsi="Times New Roman" w:cs="Times New Roman"/>
          <w:color w:val="000000"/>
          <w:sz w:val="24"/>
          <w:szCs w:val="24"/>
        </w:rPr>
        <w:t>section 121(a) of the Copyright Act is exp</w:t>
      </w:r>
      <w:r w:rsidR="009247C3" w:rsidRPr="003B3FDD">
        <w:rPr>
          <w:rFonts w:ascii="Times New Roman" w:eastAsia="Calibri" w:hAnsi="Times New Roman" w:cs="Times New Roman"/>
          <w:color w:val="000000"/>
          <w:sz w:val="24"/>
          <w:szCs w:val="24"/>
        </w:rPr>
        <w:t>ressly</w:t>
      </w:r>
      <w:r w:rsidRPr="003B3FDD">
        <w:rPr>
          <w:rFonts w:ascii="Times New Roman" w:eastAsia="Calibri" w:hAnsi="Times New Roman" w:cs="Times New Roman"/>
          <w:color w:val="000000"/>
          <w:sz w:val="24"/>
          <w:szCs w:val="24"/>
        </w:rPr>
        <w:t xml:space="preserve"> limited to literary works that are non-dramatic, and is silent with respect to related illustrations and musical works. </w:t>
      </w:r>
      <w:r w:rsidR="00066AC4" w:rsidRPr="003B3FDD">
        <w:rPr>
          <w:rFonts w:ascii="Times New Roman" w:eastAsia="Calibri" w:hAnsi="Times New Roman" w:cs="Times New Roman"/>
          <w:color w:val="000000"/>
          <w:sz w:val="24"/>
          <w:szCs w:val="24"/>
        </w:rPr>
        <w:t xml:space="preserve">To ensure complete coverage of the works addressed by the Treaty, the proposed bill </w:t>
      </w:r>
      <w:r w:rsidR="00823465">
        <w:rPr>
          <w:rFonts w:ascii="Times New Roman" w:eastAsia="Calibri" w:hAnsi="Times New Roman" w:cs="Times New Roman"/>
          <w:color w:val="000000"/>
          <w:sz w:val="24"/>
          <w:szCs w:val="24"/>
        </w:rPr>
        <w:t>broadens</w:t>
      </w:r>
      <w:r w:rsidR="00823465" w:rsidRPr="003B3FDD">
        <w:rPr>
          <w:rFonts w:ascii="Times New Roman" w:eastAsia="Calibri" w:hAnsi="Times New Roman" w:cs="Times New Roman"/>
          <w:color w:val="000000"/>
          <w:sz w:val="24"/>
          <w:szCs w:val="24"/>
        </w:rPr>
        <w:t xml:space="preserve"> </w:t>
      </w:r>
      <w:r w:rsidR="00066AC4" w:rsidRPr="003B3FDD">
        <w:rPr>
          <w:rFonts w:ascii="Times New Roman" w:eastAsia="Calibri" w:hAnsi="Times New Roman" w:cs="Times New Roman"/>
          <w:color w:val="000000"/>
          <w:sz w:val="24"/>
          <w:szCs w:val="24"/>
        </w:rPr>
        <w:t xml:space="preserve">the </w:t>
      </w:r>
      <w:r w:rsidR="00823465">
        <w:rPr>
          <w:rFonts w:ascii="Times New Roman" w:eastAsia="Calibri" w:hAnsi="Times New Roman" w:cs="Times New Roman"/>
          <w:color w:val="000000"/>
          <w:sz w:val="24"/>
          <w:szCs w:val="24"/>
        </w:rPr>
        <w:t>categories</w:t>
      </w:r>
      <w:r w:rsidR="00823465" w:rsidRPr="003B3FDD">
        <w:rPr>
          <w:rFonts w:ascii="Times New Roman" w:eastAsia="Calibri" w:hAnsi="Times New Roman" w:cs="Times New Roman"/>
          <w:color w:val="000000"/>
          <w:sz w:val="24"/>
          <w:szCs w:val="24"/>
        </w:rPr>
        <w:t xml:space="preserve"> </w:t>
      </w:r>
      <w:r w:rsidR="00066AC4" w:rsidRPr="003B3FDD">
        <w:rPr>
          <w:rFonts w:ascii="Times New Roman" w:eastAsia="Calibri" w:hAnsi="Times New Roman" w:cs="Times New Roman"/>
          <w:color w:val="000000"/>
          <w:sz w:val="24"/>
          <w:szCs w:val="24"/>
        </w:rPr>
        <w:t>of works in Se</w:t>
      </w:r>
      <w:r w:rsidR="0030135D" w:rsidRPr="003B3FDD">
        <w:rPr>
          <w:rFonts w:ascii="Times New Roman" w:eastAsia="Calibri" w:hAnsi="Times New Roman" w:cs="Times New Roman"/>
          <w:color w:val="000000"/>
          <w:sz w:val="24"/>
          <w:szCs w:val="24"/>
        </w:rPr>
        <w:t>ction 121(</w:t>
      </w:r>
      <w:r w:rsidR="003002D7" w:rsidRPr="003B3FDD">
        <w:rPr>
          <w:rFonts w:ascii="Times New Roman" w:eastAsia="Calibri" w:hAnsi="Times New Roman" w:cs="Times New Roman"/>
          <w:color w:val="000000"/>
          <w:sz w:val="24"/>
          <w:szCs w:val="24"/>
        </w:rPr>
        <w:t>a),</w:t>
      </w:r>
      <w:r w:rsidR="00066AC4" w:rsidRPr="003B3FDD">
        <w:rPr>
          <w:rFonts w:ascii="Times New Roman" w:eastAsia="Calibri" w:hAnsi="Times New Roman" w:cs="Times New Roman"/>
          <w:color w:val="000000"/>
          <w:sz w:val="24"/>
          <w:szCs w:val="24"/>
        </w:rPr>
        <w:t xml:space="preserve"> as discussed more fully i</w:t>
      </w:r>
      <w:r w:rsidR="00704112" w:rsidRPr="003B3FDD">
        <w:rPr>
          <w:rFonts w:ascii="Times New Roman" w:eastAsia="Calibri" w:hAnsi="Times New Roman" w:cs="Times New Roman"/>
          <w:color w:val="000000"/>
          <w:sz w:val="24"/>
          <w:szCs w:val="24"/>
        </w:rPr>
        <w:t>n the sectional analysis below.</w:t>
      </w:r>
      <w:r w:rsidRPr="003B3FDD">
        <w:rPr>
          <w:rFonts w:ascii="Times New Roman" w:hAnsi="Times New Roman" w:cs="Times New Roman"/>
          <w:sz w:val="24"/>
          <w:szCs w:val="24"/>
        </w:rPr>
        <w:t xml:space="preserve"> </w:t>
      </w:r>
    </w:p>
    <w:p w14:paraId="4857820C" w14:textId="77777777" w:rsidR="003379CE" w:rsidRPr="00CA07BA" w:rsidRDefault="003379CE" w:rsidP="00A65FD3">
      <w:pPr>
        <w:pStyle w:val="Heading5"/>
        <w:spacing w:line="360" w:lineRule="auto"/>
        <w:rPr>
          <w:rFonts w:eastAsia="Calibri"/>
          <w:color w:val="000000"/>
        </w:rPr>
      </w:pPr>
      <w:r w:rsidRPr="00CA07BA">
        <w:t>Beneficiary Persons</w:t>
      </w:r>
    </w:p>
    <w:p w14:paraId="6024D69B" w14:textId="77777777" w:rsidR="003379CE" w:rsidRPr="00CA07BA" w:rsidRDefault="003379CE" w:rsidP="003379CE">
      <w:pPr>
        <w:pStyle w:val="ListParagraph"/>
        <w:ind w:left="360"/>
        <w:rPr>
          <w:rFonts w:ascii="Times New Roman" w:hAnsi="Times New Roman" w:cs="Times New Roman"/>
          <w:sz w:val="24"/>
          <w:szCs w:val="24"/>
        </w:rPr>
      </w:pPr>
    </w:p>
    <w:p w14:paraId="0049E6C2" w14:textId="77777777" w:rsidR="00DD02BD" w:rsidRPr="003B3FDD" w:rsidRDefault="003379CE" w:rsidP="009B36F9">
      <w:pPr>
        <w:rPr>
          <w:rFonts w:ascii="Times New Roman" w:hAnsi="Times New Roman" w:cs="Times New Roman"/>
          <w:sz w:val="24"/>
          <w:szCs w:val="24"/>
        </w:rPr>
      </w:pPr>
      <w:r w:rsidRPr="00CA07BA">
        <w:rPr>
          <w:rFonts w:ascii="Times New Roman" w:hAnsi="Times New Roman" w:cs="Times New Roman"/>
          <w:sz w:val="24"/>
          <w:szCs w:val="24"/>
        </w:rPr>
        <w:t>The Treaty (Article 3) defines a beneficiary person as a person who, regardless of any other disabilities, is “blind” or “has a visual impairment or a perceptual or reading disability which cannot be improved to give visual function substantially equivalent to that of a person who has no such impairment or disability and so is unable to read printed works substantially the same degree as a person without an impairment or disability.”  Persons</w:t>
      </w:r>
      <w:r w:rsidR="009B36F9">
        <w:rPr>
          <w:rFonts w:ascii="Times New Roman" w:hAnsi="Times New Roman" w:cs="Times New Roman"/>
          <w:sz w:val="24"/>
          <w:szCs w:val="24"/>
        </w:rPr>
        <w:t xml:space="preserve"> </w:t>
      </w:r>
      <w:r w:rsidR="00DD02BD" w:rsidRPr="003B3FDD">
        <w:rPr>
          <w:rFonts w:ascii="Times New Roman" w:hAnsi="Times New Roman" w:cs="Times New Roman"/>
          <w:sz w:val="24"/>
          <w:szCs w:val="24"/>
        </w:rPr>
        <w:t>who are “otherwise unable, through physical disability, to hold or manipulate a book or to focus or move the eyes to the extent that would be normally acceptable for reading” are also beneficiary persons under the Treaty.</w:t>
      </w:r>
    </w:p>
    <w:p w14:paraId="2E2649EA" w14:textId="77777777" w:rsidR="00DD02BD" w:rsidRPr="003B3FDD" w:rsidRDefault="00DD02BD" w:rsidP="00DD02BD">
      <w:pPr>
        <w:rPr>
          <w:rFonts w:ascii="Times New Roman" w:eastAsia="Calibri" w:hAnsi="Times New Roman" w:cs="Times New Roman"/>
          <w:color w:val="000000"/>
          <w:sz w:val="24"/>
          <w:szCs w:val="24"/>
        </w:rPr>
      </w:pPr>
    </w:p>
    <w:p w14:paraId="0DEE5AA6" w14:textId="24A9DF64" w:rsidR="00DD02BD" w:rsidRPr="003B3FDD" w:rsidRDefault="00DD02BD" w:rsidP="00DD02BD">
      <w:pPr>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The Copyright Act does not define “blind or other persons with disabilities,” but instead refers to individuals who qualify under 2 U.S.C. 135a, which in turn refers to associated Library of Congress regulations governing loans of library materials for blind and other physically handicapped persons by the National Library Service (NLS). 36 C</w:t>
      </w:r>
      <w:r w:rsidR="00D40609">
        <w:rPr>
          <w:rFonts w:ascii="Times New Roman" w:eastAsia="Calibri" w:hAnsi="Times New Roman" w:cs="Times New Roman"/>
          <w:color w:val="000000"/>
          <w:sz w:val="24"/>
          <w:szCs w:val="24"/>
        </w:rPr>
        <w:t>.</w:t>
      </w:r>
      <w:r w:rsidRPr="003B3FDD">
        <w:rPr>
          <w:rFonts w:ascii="Times New Roman" w:eastAsia="Calibri" w:hAnsi="Times New Roman" w:cs="Times New Roman"/>
          <w:color w:val="000000"/>
          <w:sz w:val="24"/>
          <w:szCs w:val="24"/>
        </w:rPr>
        <w:t>F</w:t>
      </w:r>
      <w:r w:rsidR="00D40609">
        <w:rPr>
          <w:rFonts w:ascii="Times New Roman" w:eastAsia="Calibri" w:hAnsi="Times New Roman" w:cs="Times New Roman"/>
          <w:color w:val="000000"/>
          <w:sz w:val="24"/>
          <w:szCs w:val="24"/>
        </w:rPr>
        <w:t>.</w:t>
      </w:r>
      <w:r w:rsidRPr="003B3FDD">
        <w:rPr>
          <w:rFonts w:ascii="Times New Roman" w:eastAsia="Calibri" w:hAnsi="Times New Roman" w:cs="Times New Roman"/>
          <w:color w:val="000000"/>
          <w:sz w:val="24"/>
          <w:szCs w:val="24"/>
        </w:rPr>
        <w:t>R</w:t>
      </w:r>
      <w:r w:rsidR="00D40609">
        <w:rPr>
          <w:rFonts w:ascii="Times New Roman" w:eastAsia="Calibri" w:hAnsi="Times New Roman" w:cs="Times New Roman"/>
          <w:color w:val="000000"/>
          <w:sz w:val="24"/>
          <w:szCs w:val="24"/>
        </w:rPr>
        <w:t>.</w:t>
      </w:r>
      <w:r w:rsidRPr="003B3FDD">
        <w:rPr>
          <w:rFonts w:ascii="Times New Roman" w:eastAsia="Calibri" w:hAnsi="Times New Roman" w:cs="Times New Roman"/>
          <w:color w:val="000000"/>
          <w:sz w:val="24"/>
          <w:szCs w:val="24"/>
        </w:rPr>
        <w:t xml:space="preserve"> 701.6. The Library of Congress administers this national program to loan books in </w:t>
      </w:r>
      <w:r w:rsidR="00B04193">
        <w:rPr>
          <w:rFonts w:ascii="Times New Roman" w:eastAsia="Calibri" w:hAnsi="Times New Roman" w:cs="Times New Roman"/>
          <w:color w:val="000000"/>
          <w:sz w:val="24"/>
          <w:szCs w:val="24"/>
        </w:rPr>
        <w:t>B</w:t>
      </w:r>
      <w:r w:rsidRPr="003B3FDD">
        <w:rPr>
          <w:rFonts w:ascii="Times New Roman" w:eastAsia="Calibri" w:hAnsi="Times New Roman" w:cs="Times New Roman"/>
          <w:color w:val="000000"/>
          <w:sz w:val="24"/>
          <w:szCs w:val="24"/>
        </w:rPr>
        <w:t xml:space="preserve">raille format or sound-reproduction recordings “to blind and to other physically handicapped readers certified by competent authority as unable to read normal printed material as a result of </w:t>
      </w:r>
      <w:r w:rsidRPr="003B3FDD">
        <w:rPr>
          <w:rFonts w:ascii="Times New Roman" w:eastAsia="Calibri" w:hAnsi="Times New Roman" w:cs="Times New Roman"/>
          <w:color w:val="000000"/>
          <w:sz w:val="24"/>
          <w:szCs w:val="24"/>
        </w:rPr>
        <w:lastRenderedPageBreak/>
        <w:t xml:space="preserve">physical limitations.” </w:t>
      </w:r>
      <w:r w:rsidR="003F6376" w:rsidRPr="003B3FDD">
        <w:rPr>
          <w:rFonts w:ascii="Times New Roman" w:eastAsia="Calibri" w:hAnsi="Times New Roman" w:cs="Times New Roman"/>
          <w:color w:val="000000"/>
          <w:sz w:val="24"/>
          <w:szCs w:val="24"/>
        </w:rPr>
        <w:t xml:space="preserve">36 </w:t>
      </w:r>
      <w:r w:rsidR="0086446C">
        <w:rPr>
          <w:rFonts w:ascii="Times New Roman" w:eastAsia="Calibri" w:hAnsi="Times New Roman" w:cs="Times New Roman"/>
          <w:color w:val="000000"/>
          <w:sz w:val="24"/>
          <w:szCs w:val="24"/>
        </w:rPr>
        <w:t>C.F.R.</w:t>
      </w:r>
      <w:r w:rsidR="003F6376" w:rsidRPr="003B3FDD">
        <w:rPr>
          <w:rFonts w:ascii="Times New Roman" w:eastAsia="Calibri" w:hAnsi="Times New Roman" w:cs="Times New Roman"/>
          <w:color w:val="000000"/>
          <w:sz w:val="24"/>
          <w:szCs w:val="24"/>
        </w:rPr>
        <w:t xml:space="preserve"> 701.6(b</w:t>
      </w:r>
      <w:proofErr w:type="gramStart"/>
      <w:r w:rsidR="003F6376" w:rsidRPr="003B3FDD">
        <w:rPr>
          <w:rFonts w:ascii="Times New Roman" w:eastAsia="Calibri" w:hAnsi="Times New Roman" w:cs="Times New Roman"/>
          <w:color w:val="000000"/>
          <w:sz w:val="24"/>
          <w:szCs w:val="24"/>
        </w:rPr>
        <w:t>)(</w:t>
      </w:r>
      <w:proofErr w:type="gramEnd"/>
      <w:r w:rsidR="003F6376" w:rsidRPr="003B3FDD">
        <w:rPr>
          <w:rFonts w:ascii="Times New Roman" w:eastAsia="Calibri" w:hAnsi="Times New Roman" w:cs="Times New Roman"/>
          <w:color w:val="000000"/>
          <w:sz w:val="24"/>
          <w:szCs w:val="24"/>
        </w:rPr>
        <w:t xml:space="preserve">iii). </w:t>
      </w:r>
    </w:p>
    <w:p w14:paraId="0C183C7E" w14:textId="77777777" w:rsidR="00DD02BD" w:rsidRPr="003B3FDD" w:rsidRDefault="00DD02BD" w:rsidP="00DD02BD">
      <w:pPr>
        <w:rPr>
          <w:rFonts w:ascii="Times New Roman" w:eastAsia="Calibri" w:hAnsi="Times New Roman" w:cs="Times New Roman"/>
          <w:color w:val="000000"/>
          <w:sz w:val="24"/>
          <w:szCs w:val="24"/>
        </w:rPr>
      </w:pPr>
    </w:p>
    <w:p w14:paraId="18D56B5E" w14:textId="36E3E4C6" w:rsidR="00DD02BD" w:rsidRPr="003B3FDD" w:rsidRDefault="00823465" w:rsidP="00DD02B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00DD02BD" w:rsidRPr="003B3FDD">
        <w:rPr>
          <w:rFonts w:ascii="Times New Roman" w:eastAsia="Calibri" w:hAnsi="Times New Roman" w:cs="Times New Roman"/>
          <w:color w:val="000000"/>
          <w:sz w:val="24"/>
          <w:szCs w:val="24"/>
        </w:rPr>
        <w:t xml:space="preserve">he </w:t>
      </w:r>
      <w:r>
        <w:rPr>
          <w:rFonts w:ascii="Times New Roman" w:eastAsia="Calibri" w:hAnsi="Times New Roman" w:cs="Times New Roman"/>
          <w:color w:val="000000"/>
          <w:sz w:val="24"/>
          <w:szCs w:val="24"/>
        </w:rPr>
        <w:t xml:space="preserve">relevant </w:t>
      </w:r>
      <w:r w:rsidR="00DD02BD" w:rsidRPr="003B3FDD">
        <w:rPr>
          <w:rFonts w:ascii="Times New Roman" w:eastAsia="Calibri" w:hAnsi="Times New Roman" w:cs="Times New Roman"/>
          <w:color w:val="000000"/>
          <w:sz w:val="24"/>
          <w:szCs w:val="24"/>
        </w:rPr>
        <w:t xml:space="preserve">definition in the Library of Congress regulation </w:t>
      </w:r>
      <w:r>
        <w:rPr>
          <w:rFonts w:ascii="Times New Roman" w:eastAsia="Calibri" w:hAnsi="Times New Roman" w:cs="Times New Roman"/>
          <w:color w:val="000000"/>
          <w:sz w:val="24"/>
          <w:szCs w:val="24"/>
        </w:rPr>
        <w:t xml:space="preserve">refers to reading </w:t>
      </w:r>
      <w:r w:rsidR="00DD02BD" w:rsidRPr="003B3FDD">
        <w:rPr>
          <w:rFonts w:ascii="Times New Roman" w:eastAsia="Calibri" w:hAnsi="Times New Roman" w:cs="Times New Roman"/>
          <w:color w:val="000000"/>
          <w:sz w:val="24"/>
          <w:szCs w:val="24"/>
        </w:rPr>
        <w:t>disabilities that result from “organic dysfunction</w:t>
      </w:r>
      <w:r>
        <w:rPr>
          <w:rFonts w:ascii="Times New Roman" w:eastAsia="Calibri" w:hAnsi="Times New Roman" w:cs="Times New Roman"/>
          <w:color w:val="000000"/>
          <w:sz w:val="24"/>
          <w:szCs w:val="24"/>
        </w:rPr>
        <w:t>,</w:t>
      </w:r>
      <w:r w:rsidR="00DD02BD" w:rsidRPr="003B3FD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i.e., that have a physical basis. </w:t>
      </w:r>
      <w:r w:rsidR="00DD02BD" w:rsidRPr="003B3FDD">
        <w:rPr>
          <w:rFonts w:ascii="Times New Roman" w:eastAsia="Calibri" w:hAnsi="Times New Roman" w:cs="Times New Roman"/>
          <w:color w:val="000000"/>
          <w:sz w:val="24"/>
          <w:szCs w:val="24"/>
        </w:rPr>
        <w:t xml:space="preserve">36 </w:t>
      </w:r>
      <w:r w:rsidR="0086446C">
        <w:rPr>
          <w:rFonts w:ascii="Times New Roman" w:eastAsia="Calibri" w:hAnsi="Times New Roman" w:cs="Times New Roman"/>
          <w:color w:val="000000"/>
          <w:sz w:val="24"/>
          <w:szCs w:val="24"/>
        </w:rPr>
        <w:t>C.F.R.</w:t>
      </w:r>
      <w:r w:rsidR="00DD02BD" w:rsidRPr="003B3FDD">
        <w:rPr>
          <w:rFonts w:ascii="Times New Roman" w:eastAsia="Calibri" w:hAnsi="Times New Roman" w:cs="Times New Roman"/>
          <w:color w:val="000000"/>
          <w:sz w:val="24"/>
          <w:szCs w:val="24"/>
        </w:rPr>
        <w:t xml:space="preserve"> § 701.6(b</w:t>
      </w:r>
      <w:proofErr w:type="gramStart"/>
      <w:r w:rsidR="00DD02BD" w:rsidRPr="003B3FDD">
        <w:rPr>
          <w:rFonts w:ascii="Times New Roman" w:eastAsia="Calibri" w:hAnsi="Times New Roman" w:cs="Times New Roman"/>
          <w:color w:val="000000"/>
          <w:sz w:val="24"/>
          <w:szCs w:val="24"/>
        </w:rPr>
        <w:t>)(</w:t>
      </w:r>
      <w:proofErr w:type="gramEnd"/>
      <w:r w:rsidR="00DD02BD" w:rsidRPr="003B3FDD">
        <w:rPr>
          <w:rFonts w:ascii="Times New Roman" w:eastAsia="Calibri" w:hAnsi="Times New Roman" w:cs="Times New Roman"/>
          <w:color w:val="000000"/>
          <w:sz w:val="24"/>
          <w:szCs w:val="24"/>
        </w:rPr>
        <w:t>iv)</w:t>
      </w:r>
      <w:r>
        <w:rPr>
          <w:rFonts w:ascii="Times New Roman" w:eastAsia="Calibri" w:hAnsi="Times New Roman" w:cs="Times New Roman"/>
          <w:color w:val="000000"/>
          <w:sz w:val="24"/>
          <w:szCs w:val="24"/>
        </w:rPr>
        <w:t>;</w:t>
      </w:r>
      <w:r>
        <w:rPr>
          <w:rFonts w:ascii="Times New Roman" w:hAnsi="Times New Roman" w:cs="Times New Roman"/>
          <w:sz w:val="24"/>
          <w:szCs w:val="24"/>
        </w:rPr>
        <w:t xml:space="preserve">  </w:t>
      </w:r>
      <w:r w:rsidR="00DD02BD" w:rsidRPr="003B3FDD">
        <w:rPr>
          <w:rFonts w:ascii="Times New Roman" w:eastAsia="Calibri" w:hAnsi="Times New Roman" w:cs="Times New Roman"/>
          <w:i/>
          <w:iCs/>
          <w:color w:val="000000"/>
          <w:sz w:val="24"/>
          <w:szCs w:val="24"/>
        </w:rPr>
        <w:t xml:space="preserve">See </w:t>
      </w:r>
      <w:r w:rsidR="00DD02BD" w:rsidRPr="003B3FDD">
        <w:rPr>
          <w:rFonts w:ascii="Times New Roman" w:eastAsia="Calibri" w:hAnsi="Times New Roman" w:cs="Times New Roman"/>
          <w:color w:val="000000"/>
          <w:sz w:val="24"/>
          <w:szCs w:val="24"/>
        </w:rPr>
        <w:t xml:space="preserve">NLS Fact Sheet, 2014, available at </w:t>
      </w:r>
      <w:hyperlink r:id="rId8" w:history="1">
        <w:r w:rsidR="00E81AD4" w:rsidRPr="003B3FDD">
          <w:rPr>
            <w:rStyle w:val="Hyperlink"/>
            <w:rFonts w:ascii="Times New Roman" w:eastAsia="Calibri" w:hAnsi="Times New Roman" w:cs="Times New Roman"/>
            <w:sz w:val="24"/>
            <w:szCs w:val="24"/>
          </w:rPr>
          <w:t>http://www.loc.gov/nls/reference/factsheets/readingdisabilities.html</w:t>
        </w:r>
      </w:hyperlink>
      <w:r w:rsidR="00DD02BD" w:rsidRPr="003B3FDD">
        <w:rPr>
          <w:rFonts w:ascii="Times New Roman" w:eastAsia="Calibri" w:hAnsi="Times New Roman" w:cs="Times New Roman"/>
          <w:color w:val="000000"/>
          <w:sz w:val="24"/>
          <w:szCs w:val="24"/>
        </w:rPr>
        <w:t xml:space="preserve">. </w:t>
      </w:r>
      <w:r w:rsidR="00066AC4" w:rsidRPr="003B3FDD">
        <w:rPr>
          <w:rFonts w:ascii="Times New Roman" w:hAnsi="Times New Roman" w:cs="Times New Roman"/>
          <w:sz w:val="24"/>
          <w:szCs w:val="24"/>
        </w:rPr>
        <w:t xml:space="preserve">To ensure complete coverage of the beneficiary persons </w:t>
      </w:r>
      <w:r>
        <w:rPr>
          <w:rFonts w:ascii="Times New Roman" w:hAnsi="Times New Roman" w:cs="Times New Roman"/>
          <w:sz w:val="24"/>
          <w:szCs w:val="24"/>
        </w:rPr>
        <w:t xml:space="preserve">set out </w:t>
      </w:r>
      <w:r w:rsidR="00066AC4" w:rsidRPr="003B3FDD">
        <w:rPr>
          <w:rFonts w:ascii="Times New Roman" w:hAnsi="Times New Roman" w:cs="Times New Roman"/>
          <w:sz w:val="24"/>
          <w:szCs w:val="24"/>
        </w:rPr>
        <w:t>in the Treaty, the bill amends the definition of “blind or other persons with disabilities” in Section 121(d</w:t>
      </w:r>
      <w:proofErr w:type="gramStart"/>
      <w:r w:rsidR="00066AC4" w:rsidRPr="003B3FDD">
        <w:rPr>
          <w:rFonts w:ascii="Times New Roman" w:hAnsi="Times New Roman" w:cs="Times New Roman"/>
          <w:sz w:val="24"/>
          <w:szCs w:val="24"/>
        </w:rPr>
        <w:t>)(</w:t>
      </w:r>
      <w:proofErr w:type="gramEnd"/>
      <w:r w:rsidR="00066AC4" w:rsidRPr="003B3FDD">
        <w:rPr>
          <w:rFonts w:ascii="Times New Roman" w:hAnsi="Times New Roman" w:cs="Times New Roman"/>
          <w:sz w:val="24"/>
          <w:szCs w:val="24"/>
        </w:rPr>
        <w:t>2), as discussed more fully in the section</w:t>
      </w:r>
      <w:r w:rsidR="003F06D2">
        <w:rPr>
          <w:rFonts w:ascii="Times New Roman" w:hAnsi="Times New Roman" w:cs="Times New Roman"/>
          <w:sz w:val="24"/>
          <w:szCs w:val="24"/>
        </w:rPr>
        <w:t>al</w:t>
      </w:r>
      <w:r w:rsidR="00066AC4" w:rsidRPr="003B3FDD">
        <w:rPr>
          <w:rFonts w:ascii="Times New Roman" w:hAnsi="Times New Roman" w:cs="Times New Roman"/>
          <w:sz w:val="24"/>
          <w:szCs w:val="24"/>
        </w:rPr>
        <w:t xml:space="preserve"> analysis.</w:t>
      </w:r>
      <w:r w:rsidR="00896280">
        <w:rPr>
          <w:rFonts w:ascii="Times New Roman" w:hAnsi="Times New Roman" w:cs="Times New Roman"/>
          <w:sz w:val="24"/>
          <w:szCs w:val="24"/>
        </w:rPr>
        <w:t xml:space="preserve"> The bill also provides that copies in specialized formats may be made for use by, and exported to, “eligible persons,”</w:t>
      </w:r>
      <w:r w:rsidR="003F06D2">
        <w:rPr>
          <w:rFonts w:ascii="Times New Roman" w:hAnsi="Times New Roman" w:cs="Times New Roman"/>
          <w:sz w:val="24"/>
          <w:szCs w:val="24"/>
        </w:rPr>
        <w:t xml:space="preserve"> </w:t>
      </w:r>
      <w:r w:rsidR="00896280">
        <w:rPr>
          <w:rFonts w:ascii="Times New Roman" w:hAnsi="Times New Roman" w:cs="Times New Roman"/>
          <w:sz w:val="24"/>
          <w:szCs w:val="24"/>
        </w:rPr>
        <w:t xml:space="preserve">a new term defined in subsection </w:t>
      </w:r>
      <w:r w:rsidR="00450364">
        <w:rPr>
          <w:rFonts w:ascii="Times New Roman" w:hAnsi="Times New Roman" w:cs="Times New Roman"/>
          <w:sz w:val="24"/>
          <w:szCs w:val="24"/>
        </w:rPr>
        <w:t>(</w:t>
      </w:r>
      <w:r w:rsidR="00896280">
        <w:rPr>
          <w:rFonts w:ascii="Times New Roman" w:hAnsi="Times New Roman" w:cs="Times New Roman"/>
          <w:sz w:val="24"/>
          <w:szCs w:val="24"/>
        </w:rPr>
        <w:t>e)(6), as discussed more fully in the section</w:t>
      </w:r>
      <w:r w:rsidR="003F06D2">
        <w:rPr>
          <w:rFonts w:ascii="Times New Roman" w:hAnsi="Times New Roman" w:cs="Times New Roman"/>
          <w:sz w:val="24"/>
          <w:szCs w:val="24"/>
        </w:rPr>
        <w:t>al</w:t>
      </w:r>
      <w:r w:rsidR="00896280">
        <w:rPr>
          <w:rFonts w:ascii="Times New Roman" w:hAnsi="Times New Roman" w:cs="Times New Roman"/>
          <w:sz w:val="24"/>
          <w:szCs w:val="24"/>
        </w:rPr>
        <w:t xml:space="preserve"> analysis.</w:t>
      </w:r>
    </w:p>
    <w:p w14:paraId="4E84B476" w14:textId="77777777" w:rsidR="00DD02BD" w:rsidRPr="003B3FDD" w:rsidRDefault="00DD02BD" w:rsidP="00DD02BD">
      <w:pPr>
        <w:rPr>
          <w:rFonts w:ascii="Times New Roman" w:hAnsi="Times New Roman" w:cs="Times New Roman"/>
          <w:b/>
          <w:i/>
          <w:color w:val="000000"/>
          <w:sz w:val="24"/>
          <w:szCs w:val="24"/>
        </w:rPr>
      </w:pPr>
    </w:p>
    <w:p w14:paraId="540BFF5D" w14:textId="77777777" w:rsidR="00DD02BD" w:rsidRPr="007D6FB7" w:rsidRDefault="00DD02BD" w:rsidP="00F425C3">
      <w:pPr>
        <w:pStyle w:val="Heading5"/>
        <w:spacing w:after="240"/>
      </w:pPr>
      <w:r w:rsidRPr="007D6FB7">
        <w:t xml:space="preserve">Authorized Entities </w:t>
      </w:r>
    </w:p>
    <w:p w14:paraId="6B506D39" w14:textId="77777777" w:rsidR="00DD02BD" w:rsidRPr="003B3FDD" w:rsidRDefault="00DD02BD" w:rsidP="00DD02BD">
      <w:pPr>
        <w:autoSpaceDE w:val="0"/>
        <w:autoSpaceDN w:val="0"/>
        <w:adjustRightInd w:val="0"/>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The Treaty (Article 2) defines an “authorized entity,” as an entity “that is authorized or recognized by the government” to provide certain services to beneficiary persons. The definition states that such an entity also includes a government institution or non-profit organization that provides accessible format copies to beneficiary persons “as one of its primary activities</w:t>
      </w:r>
      <w:r w:rsidR="004E4672" w:rsidRPr="003B3FDD">
        <w:rPr>
          <w:rFonts w:ascii="Times New Roman" w:eastAsia="Calibri" w:hAnsi="Times New Roman" w:cs="Times New Roman"/>
          <w:color w:val="000000"/>
          <w:sz w:val="24"/>
          <w:szCs w:val="24"/>
        </w:rPr>
        <w:t xml:space="preserve"> or institutional obligations.”</w:t>
      </w:r>
    </w:p>
    <w:p w14:paraId="077B06C4" w14:textId="77777777" w:rsidR="0073297B" w:rsidRPr="003B3FDD" w:rsidRDefault="0073297B" w:rsidP="00DD02BD">
      <w:pPr>
        <w:autoSpaceDE w:val="0"/>
        <w:autoSpaceDN w:val="0"/>
        <w:adjustRightInd w:val="0"/>
        <w:rPr>
          <w:rFonts w:ascii="Times New Roman" w:eastAsia="Calibri" w:hAnsi="Times New Roman" w:cs="Times New Roman"/>
          <w:color w:val="000000"/>
          <w:sz w:val="24"/>
          <w:szCs w:val="24"/>
        </w:rPr>
      </w:pPr>
    </w:p>
    <w:p w14:paraId="15BF45C7" w14:textId="28A82E5F" w:rsidR="00B66FDC" w:rsidRPr="003B3FDD" w:rsidRDefault="00DD02BD" w:rsidP="00B66FDC">
      <w:pPr>
        <w:autoSpaceDE w:val="0"/>
        <w:autoSpaceDN w:val="0"/>
        <w:adjustRightInd w:val="0"/>
        <w:rPr>
          <w:rFonts w:ascii="Times New Roman" w:hAnsi="Times New Roman" w:cs="Times New Roman"/>
          <w:sz w:val="24"/>
          <w:szCs w:val="24"/>
        </w:rPr>
      </w:pPr>
      <w:r w:rsidRPr="003B3FDD">
        <w:rPr>
          <w:rFonts w:ascii="Times New Roman" w:hAnsi="Times New Roman" w:cs="Times New Roman"/>
          <w:sz w:val="24"/>
          <w:szCs w:val="24"/>
        </w:rPr>
        <w:t>Article 2 also specifi</w:t>
      </w:r>
      <w:r w:rsidR="00E27F0A" w:rsidRPr="003B3FDD">
        <w:rPr>
          <w:rFonts w:ascii="Times New Roman" w:hAnsi="Times New Roman" w:cs="Times New Roman"/>
          <w:sz w:val="24"/>
          <w:szCs w:val="24"/>
        </w:rPr>
        <w:t>e</w:t>
      </w:r>
      <w:r w:rsidRPr="003B3FDD">
        <w:rPr>
          <w:rFonts w:ascii="Times New Roman" w:hAnsi="Times New Roman" w:cs="Times New Roman"/>
          <w:sz w:val="24"/>
          <w:szCs w:val="24"/>
        </w:rPr>
        <w:t xml:space="preserve">s </w:t>
      </w:r>
      <w:r w:rsidR="00823465">
        <w:rPr>
          <w:rFonts w:ascii="Times New Roman" w:hAnsi="Times New Roman" w:cs="Times New Roman"/>
          <w:sz w:val="24"/>
          <w:szCs w:val="24"/>
        </w:rPr>
        <w:t>areas regarding the handling and distribution of accessible format copies</w:t>
      </w:r>
      <w:r w:rsidR="0096044F">
        <w:rPr>
          <w:rFonts w:ascii="Times New Roman" w:hAnsi="Times New Roman" w:cs="Times New Roman"/>
          <w:sz w:val="24"/>
          <w:szCs w:val="24"/>
        </w:rPr>
        <w:t>,</w:t>
      </w:r>
      <w:r w:rsidR="00823465">
        <w:rPr>
          <w:rFonts w:ascii="Times New Roman" w:hAnsi="Times New Roman" w:cs="Times New Roman"/>
          <w:sz w:val="24"/>
          <w:szCs w:val="24"/>
        </w:rPr>
        <w:t xml:space="preserve"> in which an</w:t>
      </w:r>
      <w:r w:rsidR="00823465" w:rsidRPr="003B3FDD">
        <w:rPr>
          <w:rFonts w:ascii="Times New Roman" w:hAnsi="Times New Roman" w:cs="Times New Roman"/>
          <w:sz w:val="24"/>
          <w:szCs w:val="24"/>
        </w:rPr>
        <w:t xml:space="preserve"> </w:t>
      </w:r>
      <w:r w:rsidRPr="003B3FDD">
        <w:rPr>
          <w:rFonts w:ascii="Times New Roman" w:hAnsi="Times New Roman" w:cs="Times New Roman"/>
          <w:sz w:val="24"/>
          <w:szCs w:val="24"/>
        </w:rPr>
        <w:t>authorized entit</w:t>
      </w:r>
      <w:r w:rsidR="00823465">
        <w:rPr>
          <w:rFonts w:ascii="Times New Roman" w:hAnsi="Times New Roman" w:cs="Times New Roman"/>
          <w:sz w:val="24"/>
          <w:szCs w:val="24"/>
        </w:rPr>
        <w:t>y in a Treaty Party</w:t>
      </w:r>
      <w:r w:rsidRPr="003B3FDD">
        <w:rPr>
          <w:rFonts w:ascii="Times New Roman" w:hAnsi="Times New Roman" w:cs="Times New Roman"/>
          <w:sz w:val="24"/>
          <w:szCs w:val="24"/>
        </w:rPr>
        <w:t xml:space="preserve"> </w:t>
      </w:r>
      <w:r w:rsidR="00823465">
        <w:rPr>
          <w:rFonts w:ascii="Times New Roman" w:hAnsi="Times New Roman" w:cs="Times New Roman"/>
          <w:sz w:val="24"/>
          <w:szCs w:val="24"/>
        </w:rPr>
        <w:t>“</w:t>
      </w:r>
      <w:r w:rsidRPr="003B3FDD">
        <w:rPr>
          <w:rFonts w:ascii="Times New Roman" w:hAnsi="Times New Roman" w:cs="Times New Roman"/>
          <w:sz w:val="24"/>
          <w:szCs w:val="24"/>
        </w:rPr>
        <w:t>establish</w:t>
      </w:r>
      <w:r w:rsidR="00823465">
        <w:rPr>
          <w:rFonts w:ascii="Times New Roman" w:hAnsi="Times New Roman" w:cs="Times New Roman"/>
          <w:sz w:val="24"/>
          <w:szCs w:val="24"/>
        </w:rPr>
        <w:t>es</w:t>
      </w:r>
      <w:r w:rsidRPr="003B3FDD">
        <w:rPr>
          <w:rFonts w:ascii="Times New Roman" w:hAnsi="Times New Roman" w:cs="Times New Roman"/>
          <w:sz w:val="24"/>
          <w:szCs w:val="24"/>
        </w:rPr>
        <w:t xml:space="preserve"> and follow</w:t>
      </w:r>
      <w:r w:rsidR="00381744">
        <w:rPr>
          <w:rFonts w:ascii="Times New Roman" w:hAnsi="Times New Roman" w:cs="Times New Roman"/>
          <w:sz w:val="24"/>
          <w:szCs w:val="24"/>
        </w:rPr>
        <w:t>s</w:t>
      </w:r>
      <w:r w:rsidRPr="003B3FDD">
        <w:rPr>
          <w:rFonts w:ascii="Times New Roman" w:hAnsi="Times New Roman" w:cs="Times New Roman"/>
          <w:sz w:val="24"/>
          <w:szCs w:val="24"/>
        </w:rPr>
        <w:t xml:space="preserve"> </w:t>
      </w:r>
      <w:r w:rsidR="00823465">
        <w:rPr>
          <w:rFonts w:ascii="Times New Roman" w:hAnsi="Times New Roman" w:cs="Times New Roman"/>
          <w:sz w:val="24"/>
          <w:szCs w:val="24"/>
        </w:rPr>
        <w:t xml:space="preserve">its </w:t>
      </w:r>
      <w:r w:rsidRPr="003B3FDD">
        <w:rPr>
          <w:rFonts w:ascii="Times New Roman" w:hAnsi="Times New Roman" w:cs="Times New Roman"/>
          <w:sz w:val="24"/>
          <w:szCs w:val="24"/>
        </w:rPr>
        <w:t>own practices</w:t>
      </w:r>
      <w:r w:rsidR="00823465">
        <w:rPr>
          <w:rFonts w:ascii="Times New Roman" w:hAnsi="Times New Roman" w:cs="Times New Roman"/>
          <w:sz w:val="24"/>
          <w:szCs w:val="24"/>
        </w:rPr>
        <w:t>.</w:t>
      </w:r>
      <w:r w:rsidR="00005193">
        <w:rPr>
          <w:rFonts w:ascii="Times New Roman" w:hAnsi="Times New Roman" w:cs="Times New Roman"/>
          <w:sz w:val="24"/>
          <w:szCs w:val="24"/>
        </w:rPr>
        <w:t>”</w:t>
      </w:r>
      <w:r w:rsidR="00823465">
        <w:rPr>
          <w:rFonts w:ascii="Times New Roman" w:hAnsi="Times New Roman" w:cs="Times New Roman"/>
          <w:sz w:val="24"/>
          <w:szCs w:val="24"/>
        </w:rPr>
        <w:t xml:space="preserve">  The article sets out </w:t>
      </w:r>
      <w:r w:rsidRPr="003B3FDD">
        <w:rPr>
          <w:rFonts w:ascii="Times New Roman" w:eastAsia="Calibri" w:hAnsi="Times New Roman" w:cs="Times New Roman"/>
          <w:color w:val="000000"/>
          <w:sz w:val="24"/>
          <w:szCs w:val="24"/>
        </w:rPr>
        <w:t xml:space="preserve">four such practices: </w:t>
      </w:r>
      <w:r w:rsidRPr="003B3FDD">
        <w:rPr>
          <w:rFonts w:ascii="Times New Roman" w:hAnsi="Times New Roman" w:cs="Times New Roman"/>
          <w:sz w:val="24"/>
          <w:szCs w:val="24"/>
        </w:rPr>
        <w:t xml:space="preserve"> (1) establishing that the people it is serving are beneficiary persons; (2) limiting its distribution and making available of accessible format copies to beneficiary persons or authorized entities; (3) discouraging the reproduction, distribution, and making available of unauthorized copies</w:t>
      </w:r>
      <w:r w:rsidR="00ED464B">
        <w:rPr>
          <w:rFonts w:ascii="Times New Roman" w:hAnsi="Times New Roman" w:cs="Times New Roman"/>
          <w:sz w:val="24"/>
          <w:szCs w:val="24"/>
        </w:rPr>
        <w:t>;</w:t>
      </w:r>
      <w:r w:rsidRPr="003B3FDD">
        <w:rPr>
          <w:rFonts w:ascii="Times New Roman" w:hAnsi="Times New Roman" w:cs="Times New Roman"/>
          <w:sz w:val="24"/>
          <w:szCs w:val="24"/>
        </w:rPr>
        <w:t xml:space="preserve"> and (4) maintaining due care in</w:t>
      </w:r>
      <w:r w:rsidRPr="00450364">
        <w:rPr>
          <w:rFonts w:ascii="Times New Roman" w:hAnsi="Times New Roman" w:cs="Times New Roman"/>
          <w:sz w:val="24"/>
          <w:szCs w:val="24"/>
        </w:rPr>
        <w:t>,</w:t>
      </w:r>
      <w:r w:rsidRPr="003B3FDD">
        <w:rPr>
          <w:rFonts w:ascii="Times New Roman" w:hAnsi="Times New Roman" w:cs="Times New Roman"/>
          <w:sz w:val="24"/>
          <w:szCs w:val="24"/>
        </w:rPr>
        <w:t xml:space="preserve"> and records of</w:t>
      </w:r>
      <w:r w:rsidRPr="00450364">
        <w:rPr>
          <w:rFonts w:ascii="Times New Roman" w:hAnsi="Times New Roman" w:cs="Times New Roman"/>
          <w:sz w:val="24"/>
          <w:szCs w:val="24"/>
        </w:rPr>
        <w:t>,</w:t>
      </w:r>
      <w:r w:rsidRPr="003B3FDD">
        <w:rPr>
          <w:rFonts w:ascii="Times New Roman" w:hAnsi="Times New Roman" w:cs="Times New Roman"/>
          <w:sz w:val="24"/>
          <w:szCs w:val="24"/>
        </w:rPr>
        <w:t xml:space="preserve"> its handling of copies of works, while respecting the privacy of beneficiary persons.</w:t>
      </w:r>
      <w:r w:rsidRPr="003B3FDD">
        <w:rPr>
          <w:rFonts w:ascii="Times New Roman" w:eastAsia="Calibri" w:hAnsi="Times New Roman" w:cs="Times New Roman"/>
          <w:color w:val="000000"/>
          <w:sz w:val="24"/>
          <w:szCs w:val="24"/>
        </w:rPr>
        <w:t xml:space="preserve"> </w:t>
      </w:r>
      <w:r w:rsidR="007F3ACC">
        <w:rPr>
          <w:rFonts w:ascii="Times New Roman" w:eastAsia="Calibri" w:hAnsi="Times New Roman" w:cs="Times New Roman"/>
          <w:color w:val="000000"/>
          <w:sz w:val="24"/>
          <w:szCs w:val="24"/>
        </w:rPr>
        <w:t xml:space="preserve"> </w:t>
      </w:r>
      <w:r w:rsidR="007F3ACC">
        <w:rPr>
          <w:rFonts w:ascii="Times New Roman" w:hAnsi="Times New Roman" w:cs="Times New Roman"/>
          <w:sz w:val="24"/>
          <w:szCs w:val="24"/>
        </w:rPr>
        <w:t xml:space="preserve">For the purposes of the Treaty, these practices are self-judging by the authorized </w:t>
      </w:r>
      <w:r w:rsidR="00A65FD3">
        <w:rPr>
          <w:rFonts w:ascii="Times New Roman" w:hAnsi="Times New Roman" w:cs="Times New Roman"/>
          <w:sz w:val="24"/>
          <w:szCs w:val="24"/>
        </w:rPr>
        <w:t>entities.</w:t>
      </w:r>
    </w:p>
    <w:p w14:paraId="0E44EC0F" w14:textId="77777777" w:rsidR="00217456" w:rsidRPr="003B3FDD" w:rsidRDefault="00217456" w:rsidP="00DD02BD">
      <w:pPr>
        <w:autoSpaceDE w:val="0"/>
        <w:autoSpaceDN w:val="0"/>
        <w:adjustRightInd w:val="0"/>
        <w:rPr>
          <w:rFonts w:ascii="Times New Roman" w:hAnsi="Times New Roman" w:cs="Times New Roman"/>
          <w:sz w:val="24"/>
          <w:szCs w:val="24"/>
        </w:rPr>
      </w:pPr>
    </w:p>
    <w:p w14:paraId="0520BCCA" w14:textId="77777777" w:rsidR="00A82F55" w:rsidRPr="003B3FDD" w:rsidRDefault="006C1023" w:rsidP="00033B62">
      <w:pPr>
        <w:rPr>
          <w:rFonts w:ascii="Times New Roman" w:hAnsi="Times New Roman" w:cs="Times New Roman"/>
          <w:sz w:val="24"/>
          <w:szCs w:val="24"/>
        </w:rPr>
      </w:pPr>
      <w:r w:rsidRPr="00381744">
        <w:rPr>
          <w:rFonts w:ascii="Times New Roman" w:hAnsi="Times New Roman" w:cs="Times New Roman"/>
          <w:sz w:val="24"/>
          <w:szCs w:val="24"/>
        </w:rPr>
        <w:t xml:space="preserve">The Treaty definition of authorized entity is </w:t>
      </w:r>
      <w:r w:rsidR="00381744">
        <w:rPr>
          <w:rFonts w:ascii="Times New Roman" w:hAnsi="Times New Roman" w:cs="Times New Roman"/>
          <w:sz w:val="24"/>
          <w:szCs w:val="24"/>
        </w:rPr>
        <w:t>consistent with</w:t>
      </w:r>
      <w:r w:rsidR="00883604" w:rsidRPr="00381744">
        <w:rPr>
          <w:rFonts w:ascii="Times New Roman" w:hAnsi="Times New Roman" w:cs="Times New Roman"/>
          <w:sz w:val="24"/>
          <w:szCs w:val="24"/>
        </w:rPr>
        <w:t xml:space="preserve"> </w:t>
      </w:r>
      <w:r w:rsidRPr="00381744">
        <w:rPr>
          <w:rFonts w:ascii="Times New Roman" w:hAnsi="Times New Roman" w:cs="Times New Roman"/>
          <w:sz w:val="24"/>
          <w:szCs w:val="24"/>
        </w:rPr>
        <w:t>the definition of “authorized entity” in Section 121.</w:t>
      </w:r>
      <w:r w:rsidR="00F635A6" w:rsidRPr="00381744">
        <w:rPr>
          <w:rFonts w:ascii="Times New Roman" w:hAnsi="Times New Roman" w:cs="Times New Roman"/>
          <w:sz w:val="24"/>
          <w:szCs w:val="24"/>
        </w:rPr>
        <w:t xml:space="preserve">  </w:t>
      </w:r>
      <w:r w:rsidR="00F635A6" w:rsidRPr="00823465">
        <w:rPr>
          <w:rFonts w:ascii="Times New Roman" w:hAnsi="Times New Roman" w:cs="Times New Roman"/>
          <w:sz w:val="24"/>
          <w:szCs w:val="24"/>
        </w:rPr>
        <w:t xml:space="preserve">Both </w:t>
      </w:r>
      <w:r w:rsidR="00823465" w:rsidRPr="007D6FB7">
        <w:rPr>
          <w:rFonts w:ascii="Times New Roman" w:hAnsi="Times New Roman" w:cs="Times New Roman"/>
          <w:sz w:val="24"/>
          <w:szCs w:val="24"/>
        </w:rPr>
        <w:t>provisions</w:t>
      </w:r>
      <w:r w:rsidR="00823465" w:rsidRPr="00823465">
        <w:rPr>
          <w:rFonts w:ascii="Times New Roman" w:hAnsi="Times New Roman" w:cs="Times New Roman"/>
          <w:sz w:val="24"/>
          <w:szCs w:val="24"/>
        </w:rPr>
        <w:t xml:space="preserve"> </w:t>
      </w:r>
      <w:r w:rsidR="0014495D">
        <w:rPr>
          <w:rFonts w:ascii="Times New Roman" w:hAnsi="Times New Roman" w:cs="Times New Roman"/>
          <w:sz w:val="24"/>
          <w:szCs w:val="24"/>
        </w:rPr>
        <w:t>include</w:t>
      </w:r>
      <w:r w:rsidR="0014495D" w:rsidRPr="003B3FDD">
        <w:rPr>
          <w:rFonts w:ascii="Times New Roman" w:hAnsi="Times New Roman" w:cs="Times New Roman"/>
          <w:sz w:val="24"/>
          <w:szCs w:val="24"/>
        </w:rPr>
        <w:t xml:space="preserve"> </w:t>
      </w:r>
      <w:r w:rsidR="00F635A6" w:rsidRPr="003B3FDD">
        <w:rPr>
          <w:rFonts w:ascii="Times New Roman" w:hAnsi="Times New Roman" w:cs="Times New Roman"/>
          <w:sz w:val="24"/>
          <w:szCs w:val="24"/>
        </w:rPr>
        <w:t>nonprofit organizations or government agencies that provide services relating to training, education, or adaptive reading or information access</w:t>
      </w:r>
      <w:r w:rsidR="00883604" w:rsidRPr="003B3FDD">
        <w:rPr>
          <w:rFonts w:ascii="Times New Roman" w:hAnsi="Times New Roman" w:cs="Times New Roman"/>
          <w:sz w:val="24"/>
          <w:szCs w:val="24"/>
        </w:rPr>
        <w:t xml:space="preserve"> </w:t>
      </w:r>
      <w:r w:rsidR="00F635A6" w:rsidRPr="003B3FDD">
        <w:rPr>
          <w:rFonts w:ascii="Times New Roman" w:hAnsi="Times New Roman" w:cs="Times New Roman"/>
          <w:sz w:val="24"/>
          <w:szCs w:val="24"/>
        </w:rPr>
        <w:t>to beneficiary persons.</w:t>
      </w:r>
      <w:r w:rsidR="00883604" w:rsidRPr="003B3FDD">
        <w:rPr>
          <w:rFonts w:ascii="Times New Roman" w:hAnsi="Times New Roman" w:cs="Times New Roman"/>
          <w:sz w:val="24"/>
          <w:szCs w:val="24"/>
        </w:rPr>
        <w:t xml:space="preserve"> </w:t>
      </w:r>
      <w:r w:rsidR="00823465" w:rsidRPr="003B3FDD">
        <w:rPr>
          <w:rFonts w:ascii="Times New Roman" w:hAnsi="Times New Roman" w:cs="Times New Roman"/>
          <w:sz w:val="24"/>
          <w:szCs w:val="24"/>
        </w:rPr>
        <w:t xml:space="preserve"> </w:t>
      </w:r>
      <w:r w:rsidR="00B44D02">
        <w:rPr>
          <w:rFonts w:ascii="Times New Roman" w:hAnsi="Times New Roman" w:cs="Times New Roman"/>
          <w:sz w:val="24"/>
          <w:szCs w:val="24"/>
        </w:rPr>
        <w:t xml:space="preserve"> As to </w:t>
      </w:r>
      <w:r w:rsidR="00883604" w:rsidRPr="003B3FDD">
        <w:rPr>
          <w:rFonts w:ascii="Times New Roman" w:hAnsi="Times New Roman" w:cs="Times New Roman"/>
          <w:sz w:val="24"/>
          <w:szCs w:val="24"/>
        </w:rPr>
        <w:t>the</w:t>
      </w:r>
      <w:r w:rsidR="00703110" w:rsidRPr="003B3FDD">
        <w:rPr>
          <w:rFonts w:ascii="Times New Roman" w:hAnsi="Times New Roman" w:cs="Times New Roman"/>
          <w:sz w:val="24"/>
          <w:szCs w:val="24"/>
        </w:rPr>
        <w:t xml:space="preserve"> practices of authorized entities </w:t>
      </w:r>
      <w:r w:rsidR="00B44D02">
        <w:rPr>
          <w:rFonts w:ascii="Times New Roman" w:hAnsi="Times New Roman" w:cs="Times New Roman"/>
          <w:sz w:val="24"/>
          <w:szCs w:val="24"/>
        </w:rPr>
        <w:t xml:space="preserve">specified </w:t>
      </w:r>
      <w:r w:rsidRPr="003B3FDD">
        <w:rPr>
          <w:rFonts w:ascii="Times New Roman" w:hAnsi="Times New Roman" w:cs="Times New Roman"/>
          <w:sz w:val="24"/>
          <w:szCs w:val="24"/>
        </w:rPr>
        <w:t>in Article 2</w:t>
      </w:r>
      <w:r w:rsidR="00B44D02">
        <w:rPr>
          <w:rFonts w:ascii="Times New Roman" w:hAnsi="Times New Roman" w:cs="Times New Roman"/>
          <w:sz w:val="24"/>
          <w:szCs w:val="24"/>
        </w:rPr>
        <w:t xml:space="preserve"> of the Treaty,</w:t>
      </w:r>
      <w:r w:rsidRPr="003B3FDD">
        <w:rPr>
          <w:rFonts w:ascii="Times New Roman" w:hAnsi="Times New Roman" w:cs="Times New Roman"/>
          <w:sz w:val="24"/>
          <w:szCs w:val="24"/>
        </w:rPr>
        <w:t xml:space="preserve"> </w:t>
      </w:r>
      <w:r w:rsidR="00B44D02">
        <w:rPr>
          <w:rFonts w:ascii="Times New Roman" w:hAnsi="Times New Roman" w:cs="Times New Roman"/>
          <w:sz w:val="24"/>
          <w:szCs w:val="24"/>
        </w:rPr>
        <w:t>t</w:t>
      </w:r>
      <w:r w:rsidR="00E10F82" w:rsidRPr="003B3FDD">
        <w:rPr>
          <w:rFonts w:ascii="Times New Roman" w:hAnsi="Times New Roman" w:cs="Times New Roman"/>
          <w:sz w:val="24"/>
          <w:szCs w:val="24"/>
        </w:rPr>
        <w:t>he first three are substantially equivalen</w:t>
      </w:r>
      <w:r w:rsidR="007805C1" w:rsidRPr="003B3FDD">
        <w:rPr>
          <w:rFonts w:ascii="Times New Roman" w:hAnsi="Times New Roman" w:cs="Times New Roman"/>
          <w:sz w:val="24"/>
          <w:szCs w:val="24"/>
        </w:rPr>
        <w:t xml:space="preserve">t to the functions </w:t>
      </w:r>
      <w:r w:rsidR="00E10F82" w:rsidRPr="003B3FDD">
        <w:rPr>
          <w:rFonts w:ascii="Times New Roman" w:hAnsi="Times New Roman" w:cs="Times New Roman"/>
          <w:sz w:val="24"/>
          <w:szCs w:val="24"/>
        </w:rPr>
        <w:t xml:space="preserve">of authorized entities in Section 121, and it is understood that authorized entities in the United States generally </w:t>
      </w:r>
      <w:r w:rsidR="00D22432">
        <w:rPr>
          <w:rFonts w:ascii="Times New Roman" w:hAnsi="Times New Roman" w:cs="Times New Roman"/>
          <w:sz w:val="24"/>
          <w:szCs w:val="24"/>
        </w:rPr>
        <w:t>establish and follow their own practices with regard</w:t>
      </w:r>
      <w:r w:rsidR="00E10F82" w:rsidRPr="003B3FDD">
        <w:rPr>
          <w:rFonts w:ascii="Times New Roman" w:hAnsi="Times New Roman" w:cs="Times New Roman"/>
          <w:sz w:val="24"/>
          <w:szCs w:val="24"/>
        </w:rPr>
        <w:t xml:space="preserve"> to the fourth practice</w:t>
      </w:r>
      <w:r w:rsidR="007805C1" w:rsidRPr="003B3FDD">
        <w:rPr>
          <w:rFonts w:ascii="Times New Roman" w:hAnsi="Times New Roman" w:cs="Times New Roman"/>
          <w:sz w:val="24"/>
          <w:szCs w:val="24"/>
        </w:rPr>
        <w:t>, maintain</w:t>
      </w:r>
      <w:r w:rsidR="00883604" w:rsidRPr="003B3FDD">
        <w:rPr>
          <w:rFonts w:ascii="Times New Roman" w:hAnsi="Times New Roman" w:cs="Times New Roman"/>
          <w:sz w:val="24"/>
          <w:szCs w:val="24"/>
        </w:rPr>
        <w:t>ing</w:t>
      </w:r>
      <w:r w:rsidR="007805C1" w:rsidRPr="003B3FDD">
        <w:rPr>
          <w:rFonts w:ascii="Times New Roman" w:hAnsi="Times New Roman" w:cs="Times New Roman"/>
          <w:sz w:val="24"/>
          <w:szCs w:val="24"/>
        </w:rPr>
        <w:t xml:space="preserve"> due care in</w:t>
      </w:r>
      <w:r w:rsidR="00450364">
        <w:rPr>
          <w:rFonts w:ascii="Times New Roman" w:hAnsi="Times New Roman" w:cs="Times New Roman"/>
          <w:sz w:val="24"/>
          <w:szCs w:val="24"/>
        </w:rPr>
        <w:t>,</w:t>
      </w:r>
      <w:r w:rsidR="007805C1" w:rsidRPr="003B3FDD">
        <w:rPr>
          <w:rFonts w:ascii="Times New Roman" w:hAnsi="Times New Roman" w:cs="Times New Roman"/>
          <w:sz w:val="24"/>
          <w:szCs w:val="24"/>
        </w:rPr>
        <w:t xml:space="preserve"> and records of</w:t>
      </w:r>
      <w:r w:rsidR="00450364">
        <w:rPr>
          <w:rFonts w:ascii="Times New Roman" w:hAnsi="Times New Roman" w:cs="Times New Roman"/>
          <w:sz w:val="24"/>
          <w:szCs w:val="24"/>
        </w:rPr>
        <w:t>,</w:t>
      </w:r>
      <w:r w:rsidR="007805C1" w:rsidRPr="003B3FDD">
        <w:rPr>
          <w:rFonts w:ascii="Times New Roman" w:hAnsi="Times New Roman" w:cs="Times New Roman"/>
          <w:sz w:val="24"/>
          <w:szCs w:val="24"/>
        </w:rPr>
        <w:t xml:space="preserve"> their handling of copies of work while respecting the privacy of the blind and other perso</w:t>
      </w:r>
      <w:r w:rsidR="0030386B" w:rsidRPr="003B3FDD">
        <w:rPr>
          <w:rFonts w:ascii="Times New Roman" w:hAnsi="Times New Roman" w:cs="Times New Roman"/>
          <w:sz w:val="24"/>
          <w:szCs w:val="24"/>
        </w:rPr>
        <w:t>ns with disabilities they serve.</w:t>
      </w:r>
      <w:r w:rsidR="004D2BD5" w:rsidRPr="003B3FDD">
        <w:rPr>
          <w:rFonts w:ascii="Times New Roman" w:hAnsi="Times New Roman" w:cs="Times New Roman"/>
          <w:sz w:val="24"/>
          <w:szCs w:val="24"/>
        </w:rPr>
        <w:t xml:space="preserve"> </w:t>
      </w:r>
      <w:r w:rsidR="000E40C3">
        <w:rPr>
          <w:rFonts w:ascii="Times New Roman" w:hAnsi="Times New Roman" w:cs="Times New Roman"/>
          <w:sz w:val="24"/>
          <w:szCs w:val="24"/>
        </w:rPr>
        <w:t xml:space="preserve">While it is </w:t>
      </w:r>
      <w:r w:rsidR="00883604" w:rsidRPr="003B3FDD">
        <w:rPr>
          <w:rFonts w:ascii="Times New Roman" w:hAnsi="Times New Roman" w:cs="Times New Roman"/>
          <w:sz w:val="24"/>
          <w:szCs w:val="24"/>
        </w:rPr>
        <w:t>not necessary to amend the definition in Section 121</w:t>
      </w:r>
      <w:r w:rsidR="000E40C3">
        <w:rPr>
          <w:rFonts w:ascii="Times New Roman" w:hAnsi="Times New Roman" w:cs="Times New Roman"/>
          <w:sz w:val="24"/>
          <w:szCs w:val="24"/>
        </w:rPr>
        <w:t xml:space="preserve">, it is </w:t>
      </w:r>
      <w:r w:rsidR="00823465">
        <w:rPr>
          <w:rFonts w:ascii="Times New Roman" w:hAnsi="Times New Roman" w:cs="Times New Roman"/>
          <w:sz w:val="24"/>
          <w:szCs w:val="24"/>
        </w:rPr>
        <w:t xml:space="preserve">recommended that </w:t>
      </w:r>
      <w:r w:rsidR="00495552" w:rsidRPr="003B3FDD">
        <w:rPr>
          <w:rFonts w:ascii="Times New Roman" w:hAnsi="Times New Roman" w:cs="Times New Roman"/>
          <w:sz w:val="24"/>
          <w:szCs w:val="24"/>
        </w:rPr>
        <w:t xml:space="preserve">the </w:t>
      </w:r>
      <w:r w:rsidR="00B82453" w:rsidRPr="003B3FDD">
        <w:rPr>
          <w:rFonts w:ascii="Times New Roman" w:hAnsi="Times New Roman" w:cs="Times New Roman"/>
          <w:sz w:val="24"/>
          <w:szCs w:val="24"/>
        </w:rPr>
        <w:t xml:space="preserve">legislative history accompanying the </w:t>
      </w:r>
      <w:r w:rsidR="00495552" w:rsidRPr="003B3FDD">
        <w:rPr>
          <w:rFonts w:ascii="Times New Roman" w:hAnsi="Times New Roman" w:cs="Times New Roman"/>
          <w:sz w:val="24"/>
          <w:szCs w:val="24"/>
        </w:rPr>
        <w:t>proposed bill</w:t>
      </w:r>
      <w:r w:rsidR="00B82453" w:rsidRPr="003B3FDD">
        <w:rPr>
          <w:rFonts w:ascii="Times New Roman" w:hAnsi="Times New Roman" w:cs="Times New Roman"/>
          <w:sz w:val="24"/>
          <w:szCs w:val="24"/>
        </w:rPr>
        <w:t xml:space="preserve"> include a statement reflecting the understanding that authorized entities in the United States have and follow their own practices as specified </w:t>
      </w:r>
      <w:r w:rsidR="00103F59" w:rsidRPr="003B3FDD">
        <w:rPr>
          <w:rFonts w:ascii="Times New Roman" w:hAnsi="Times New Roman" w:cs="Times New Roman"/>
          <w:sz w:val="24"/>
          <w:szCs w:val="24"/>
        </w:rPr>
        <w:t>in Article 2 of the Treaty</w:t>
      </w:r>
      <w:r w:rsidR="00CB51D8" w:rsidRPr="003B3FDD">
        <w:rPr>
          <w:rFonts w:ascii="Times New Roman" w:hAnsi="Times New Roman" w:cs="Times New Roman"/>
          <w:sz w:val="24"/>
          <w:szCs w:val="24"/>
        </w:rPr>
        <w:t>, as discussed more fully in the sectional analysis below.</w:t>
      </w:r>
      <w:r w:rsidR="00033B62" w:rsidRPr="003B3FDD">
        <w:rPr>
          <w:rFonts w:ascii="Times New Roman" w:hAnsi="Times New Roman" w:cs="Times New Roman"/>
          <w:sz w:val="24"/>
          <w:szCs w:val="24"/>
        </w:rPr>
        <w:t xml:space="preserve"> </w:t>
      </w:r>
    </w:p>
    <w:p w14:paraId="53F753D8" w14:textId="77777777" w:rsidR="00390F9D" w:rsidRPr="003B3FDD" w:rsidRDefault="00390F9D" w:rsidP="006A2A15">
      <w:pPr>
        <w:jc w:val="center"/>
        <w:rPr>
          <w:rFonts w:ascii="Times New Roman" w:eastAsia="Calibri" w:hAnsi="Times New Roman" w:cs="Times New Roman"/>
          <w:color w:val="000000"/>
          <w:sz w:val="24"/>
          <w:szCs w:val="24"/>
          <w:u w:val="single"/>
        </w:rPr>
      </w:pPr>
    </w:p>
    <w:p w14:paraId="525863BA" w14:textId="77777777" w:rsidR="00DD02BD" w:rsidRDefault="00DD02BD" w:rsidP="00A65FD3">
      <w:pPr>
        <w:pStyle w:val="Heading5"/>
      </w:pPr>
      <w:r w:rsidRPr="007D6FB7">
        <w:t xml:space="preserve">Exports of Accessible Format Copies </w:t>
      </w:r>
    </w:p>
    <w:p w14:paraId="2BF9FEB4" w14:textId="77777777" w:rsidR="00564BF9" w:rsidRPr="00A65FD3" w:rsidRDefault="00564BF9" w:rsidP="00A65FD3"/>
    <w:p w14:paraId="23F6C3BE" w14:textId="4D5DF19D" w:rsidR="002F5503" w:rsidRPr="003B3FDD" w:rsidRDefault="002F5503" w:rsidP="00E61EAC">
      <w:pPr>
        <w:rPr>
          <w:rFonts w:ascii="Times New Roman" w:eastAsia="Calibri" w:hAnsi="Times New Roman" w:cs="Times New Roman"/>
          <w:color w:val="000000"/>
          <w:sz w:val="24"/>
          <w:szCs w:val="24"/>
          <w:u w:val="single"/>
        </w:rPr>
      </w:pPr>
      <w:r w:rsidRPr="003B3FDD">
        <w:rPr>
          <w:rFonts w:ascii="Times New Roman" w:eastAsia="Calibri" w:hAnsi="Times New Roman" w:cs="Times New Roman"/>
          <w:color w:val="000000"/>
          <w:sz w:val="24"/>
          <w:szCs w:val="24"/>
        </w:rPr>
        <w:t xml:space="preserve">The Treaty (Article 5) requires that a </w:t>
      </w:r>
      <w:r w:rsidR="00823465">
        <w:rPr>
          <w:rFonts w:ascii="Times New Roman" w:eastAsia="Calibri" w:hAnsi="Times New Roman" w:cs="Times New Roman"/>
          <w:color w:val="000000"/>
          <w:sz w:val="24"/>
          <w:szCs w:val="24"/>
        </w:rPr>
        <w:t>p</w:t>
      </w:r>
      <w:r w:rsidRPr="003B3FDD">
        <w:rPr>
          <w:rFonts w:ascii="Times New Roman" w:eastAsia="Calibri" w:hAnsi="Times New Roman" w:cs="Times New Roman"/>
          <w:color w:val="000000"/>
          <w:sz w:val="24"/>
          <w:szCs w:val="24"/>
        </w:rPr>
        <w:t xml:space="preserve">arty permit an accessible format copy made under an </w:t>
      </w:r>
      <w:r w:rsidRPr="003B3FDD">
        <w:rPr>
          <w:rFonts w:ascii="Times New Roman" w:eastAsia="Calibri" w:hAnsi="Times New Roman" w:cs="Times New Roman"/>
          <w:color w:val="000000"/>
          <w:sz w:val="24"/>
          <w:szCs w:val="24"/>
        </w:rPr>
        <w:lastRenderedPageBreak/>
        <w:t xml:space="preserve">exception to be distributed or made available to a beneficiary person or authorized entity in another Marrakesh Treaty </w:t>
      </w:r>
      <w:r w:rsidR="00823465">
        <w:rPr>
          <w:rFonts w:ascii="Times New Roman" w:eastAsia="Calibri" w:hAnsi="Times New Roman" w:cs="Times New Roman"/>
          <w:color w:val="000000"/>
          <w:sz w:val="24"/>
          <w:szCs w:val="24"/>
        </w:rPr>
        <w:t>p</w:t>
      </w:r>
      <w:r w:rsidRPr="003B3FDD">
        <w:rPr>
          <w:rFonts w:ascii="Times New Roman" w:eastAsia="Calibri" w:hAnsi="Times New Roman" w:cs="Times New Roman"/>
          <w:color w:val="000000"/>
          <w:sz w:val="24"/>
          <w:szCs w:val="24"/>
        </w:rPr>
        <w:t xml:space="preserve">arty. The Treaty </w:t>
      </w:r>
      <w:r w:rsidR="006A2A15" w:rsidRPr="003B3FDD">
        <w:rPr>
          <w:rFonts w:ascii="Times New Roman" w:eastAsia="Calibri" w:hAnsi="Times New Roman" w:cs="Times New Roman"/>
          <w:color w:val="000000"/>
          <w:sz w:val="24"/>
          <w:szCs w:val="24"/>
        </w:rPr>
        <w:t xml:space="preserve">provides that </w:t>
      </w:r>
      <w:r w:rsidR="00EC4D8E" w:rsidRPr="003B3FDD">
        <w:rPr>
          <w:rFonts w:ascii="Times New Roman" w:eastAsia="Calibri" w:hAnsi="Times New Roman" w:cs="Times New Roman"/>
          <w:color w:val="000000"/>
          <w:sz w:val="24"/>
          <w:szCs w:val="24"/>
        </w:rPr>
        <w:t xml:space="preserve">one way </w:t>
      </w:r>
      <w:r w:rsidR="006A2A15" w:rsidRPr="003B3FDD">
        <w:rPr>
          <w:rFonts w:ascii="Times New Roman" w:eastAsia="Calibri" w:hAnsi="Times New Roman" w:cs="Times New Roman"/>
          <w:color w:val="000000"/>
          <w:sz w:val="24"/>
          <w:szCs w:val="24"/>
        </w:rPr>
        <w:t xml:space="preserve">a party may satisfy </w:t>
      </w:r>
      <w:r w:rsidRPr="003B3FDD">
        <w:rPr>
          <w:rFonts w:ascii="Times New Roman" w:eastAsia="Calibri" w:hAnsi="Times New Roman" w:cs="Times New Roman"/>
          <w:color w:val="000000"/>
          <w:sz w:val="24"/>
          <w:szCs w:val="24"/>
        </w:rPr>
        <w:t>that obligation</w:t>
      </w:r>
      <w:r w:rsidR="006A2A15" w:rsidRPr="003B3FDD">
        <w:rPr>
          <w:rFonts w:ascii="Times New Roman" w:eastAsia="Calibri" w:hAnsi="Times New Roman" w:cs="Times New Roman"/>
          <w:color w:val="000000"/>
          <w:sz w:val="24"/>
          <w:szCs w:val="24"/>
        </w:rPr>
        <w:t xml:space="preserve"> </w:t>
      </w:r>
      <w:r w:rsidR="00EC4D8E" w:rsidRPr="003B3FDD">
        <w:rPr>
          <w:rFonts w:ascii="Times New Roman" w:eastAsia="Calibri" w:hAnsi="Times New Roman" w:cs="Times New Roman"/>
          <w:color w:val="000000"/>
          <w:sz w:val="24"/>
          <w:szCs w:val="24"/>
        </w:rPr>
        <w:t xml:space="preserve">is </w:t>
      </w:r>
      <w:r w:rsidR="006A2A15" w:rsidRPr="003B3FDD">
        <w:rPr>
          <w:rFonts w:ascii="Times New Roman" w:eastAsia="Calibri" w:hAnsi="Times New Roman" w:cs="Times New Roman"/>
          <w:color w:val="000000"/>
          <w:sz w:val="24"/>
          <w:szCs w:val="24"/>
        </w:rPr>
        <w:t>by a</w:t>
      </w:r>
      <w:r w:rsidRPr="003B3FDD">
        <w:rPr>
          <w:rFonts w:ascii="Times New Roman" w:eastAsia="Calibri" w:hAnsi="Times New Roman" w:cs="Times New Roman"/>
          <w:color w:val="000000"/>
          <w:sz w:val="24"/>
          <w:szCs w:val="24"/>
        </w:rPr>
        <w:t>dopt</w:t>
      </w:r>
      <w:r w:rsidR="006A2A15" w:rsidRPr="003B3FDD">
        <w:rPr>
          <w:rFonts w:ascii="Times New Roman" w:eastAsia="Calibri" w:hAnsi="Times New Roman" w:cs="Times New Roman"/>
          <w:color w:val="000000"/>
          <w:sz w:val="24"/>
          <w:szCs w:val="24"/>
        </w:rPr>
        <w:t>ing</w:t>
      </w:r>
      <w:r w:rsidRPr="003B3FDD">
        <w:rPr>
          <w:rFonts w:ascii="Times New Roman" w:eastAsia="Calibri" w:hAnsi="Times New Roman" w:cs="Times New Roman"/>
          <w:color w:val="000000"/>
          <w:sz w:val="24"/>
          <w:szCs w:val="24"/>
        </w:rPr>
        <w:t xml:space="preserve"> </w:t>
      </w:r>
      <w:r w:rsidR="004D5DE4" w:rsidRPr="003B3FDD">
        <w:rPr>
          <w:rFonts w:ascii="Times New Roman" w:eastAsia="Calibri" w:hAnsi="Times New Roman" w:cs="Times New Roman"/>
          <w:color w:val="000000"/>
          <w:sz w:val="24"/>
          <w:szCs w:val="24"/>
        </w:rPr>
        <w:t xml:space="preserve">a </w:t>
      </w:r>
      <w:r w:rsidRPr="003B3FDD">
        <w:rPr>
          <w:rFonts w:ascii="Times New Roman" w:eastAsia="Calibri" w:hAnsi="Times New Roman" w:cs="Times New Roman"/>
          <w:color w:val="000000"/>
          <w:sz w:val="24"/>
          <w:szCs w:val="24"/>
        </w:rPr>
        <w:t xml:space="preserve">limitation or exception permitting authorized entities to distribute or make available accessible format copies for the exclusive use of beneficiary persons to authorized entities in other Contracting Parties, and to distribute or make available such copies directly to beneficiary persons in other Contracting </w:t>
      </w:r>
      <w:r w:rsidR="004D5DE4" w:rsidRPr="003B3FDD">
        <w:rPr>
          <w:rFonts w:ascii="Times New Roman" w:eastAsia="Calibri" w:hAnsi="Times New Roman" w:cs="Times New Roman"/>
          <w:color w:val="000000"/>
          <w:sz w:val="24"/>
          <w:szCs w:val="24"/>
        </w:rPr>
        <w:t>Parties</w:t>
      </w:r>
      <w:r w:rsidR="00823465">
        <w:rPr>
          <w:rFonts w:ascii="Times New Roman" w:eastAsia="Calibri" w:hAnsi="Times New Roman" w:cs="Times New Roman"/>
          <w:color w:val="000000"/>
          <w:sz w:val="24"/>
          <w:szCs w:val="24"/>
        </w:rPr>
        <w:t>,</w:t>
      </w:r>
      <w:r w:rsidRPr="003B3FDD">
        <w:rPr>
          <w:rFonts w:ascii="Times New Roman" w:eastAsia="Calibri" w:hAnsi="Times New Roman" w:cs="Times New Roman"/>
          <w:color w:val="000000"/>
          <w:sz w:val="24"/>
          <w:szCs w:val="24"/>
        </w:rPr>
        <w:t xml:space="preserve"> </w:t>
      </w:r>
      <w:r w:rsidR="00823465">
        <w:rPr>
          <w:rFonts w:ascii="Times New Roman" w:eastAsia="Times New Roman" w:hAnsi="Times New Roman" w:cs="Times New Roman"/>
          <w:sz w:val="24"/>
          <w:szCs w:val="24"/>
        </w:rPr>
        <w:t xml:space="preserve">so long as </w:t>
      </w:r>
      <w:r w:rsidR="00C850B5" w:rsidRPr="003B3FDD">
        <w:rPr>
          <w:rFonts w:ascii="Times New Roman" w:eastAsia="Times New Roman" w:hAnsi="Times New Roman" w:cs="Times New Roman"/>
          <w:sz w:val="24"/>
          <w:szCs w:val="24"/>
        </w:rPr>
        <w:t>prior to such distribution or making available</w:t>
      </w:r>
      <w:r w:rsidR="00450364">
        <w:rPr>
          <w:rFonts w:ascii="Times New Roman" w:eastAsia="Times New Roman" w:hAnsi="Times New Roman" w:cs="Times New Roman"/>
          <w:sz w:val="24"/>
          <w:szCs w:val="24"/>
        </w:rPr>
        <w:t>,</w:t>
      </w:r>
      <w:r w:rsidR="00C850B5" w:rsidRPr="003B3FDD">
        <w:rPr>
          <w:rFonts w:ascii="Times New Roman" w:eastAsia="Times New Roman" w:hAnsi="Times New Roman" w:cs="Times New Roman"/>
          <w:sz w:val="24"/>
          <w:szCs w:val="24"/>
        </w:rPr>
        <w:t xml:space="preserve"> </w:t>
      </w:r>
      <w:r w:rsidRPr="003B3FDD">
        <w:rPr>
          <w:rFonts w:ascii="Times New Roman" w:eastAsia="Calibri" w:hAnsi="Times New Roman" w:cs="Times New Roman"/>
          <w:sz w:val="24"/>
          <w:szCs w:val="24"/>
        </w:rPr>
        <w:t xml:space="preserve">an authorized entity </w:t>
      </w:r>
      <w:r w:rsidR="006A2A15" w:rsidRPr="003B3FDD">
        <w:rPr>
          <w:rFonts w:ascii="Times New Roman" w:eastAsia="Calibri" w:hAnsi="Times New Roman" w:cs="Times New Roman"/>
          <w:sz w:val="24"/>
          <w:szCs w:val="24"/>
        </w:rPr>
        <w:t xml:space="preserve">did </w:t>
      </w:r>
      <w:r w:rsidRPr="003B3FDD">
        <w:rPr>
          <w:rFonts w:ascii="Times New Roman" w:eastAsia="Calibri" w:hAnsi="Times New Roman" w:cs="Times New Roman"/>
          <w:sz w:val="24"/>
          <w:szCs w:val="24"/>
        </w:rPr>
        <w:t xml:space="preserve">not </w:t>
      </w:r>
      <w:r w:rsidRPr="003B3FDD">
        <w:rPr>
          <w:rFonts w:ascii="Times New Roman" w:hAnsi="Times New Roman" w:cs="Times New Roman"/>
          <w:sz w:val="24"/>
          <w:szCs w:val="24"/>
        </w:rPr>
        <w:t>know or ha</w:t>
      </w:r>
      <w:r w:rsidR="006A2A15" w:rsidRPr="003B3FDD">
        <w:rPr>
          <w:rFonts w:ascii="Times New Roman" w:hAnsi="Times New Roman" w:cs="Times New Roman"/>
          <w:sz w:val="24"/>
          <w:szCs w:val="24"/>
        </w:rPr>
        <w:t>ve</w:t>
      </w:r>
      <w:r w:rsidRPr="003B3FDD">
        <w:rPr>
          <w:rFonts w:ascii="Times New Roman" w:hAnsi="Times New Roman" w:cs="Times New Roman"/>
          <w:sz w:val="24"/>
          <w:szCs w:val="24"/>
        </w:rPr>
        <w:t xml:space="preserve"> reasonable grounds to know that the accessible format copy would be used for other than beneficiary persons.</w:t>
      </w:r>
    </w:p>
    <w:p w14:paraId="4CC01C73" w14:textId="77777777" w:rsidR="002F5503" w:rsidRPr="003B3FDD" w:rsidRDefault="002F5503" w:rsidP="00DD02BD">
      <w:pPr>
        <w:rPr>
          <w:rFonts w:ascii="Times New Roman" w:eastAsia="Calibri" w:hAnsi="Times New Roman" w:cs="Times New Roman"/>
          <w:color w:val="000000"/>
          <w:sz w:val="24"/>
          <w:szCs w:val="24"/>
          <w:u w:val="single"/>
        </w:rPr>
      </w:pPr>
    </w:p>
    <w:p w14:paraId="01104C1C" w14:textId="4466124A" w:rsidR="008D1E6A" w:rsidRPr="003B3FDD" w:rsidRDefault="008D1E6A" w:rsidP="00DD02BD">
      <w:pPr>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 xml:space="preserve">Section 121 </w:t>
      </w:r>
      <w:r w:rsidR="001376CE" w:rsidRPr="003B3FDD">
        <w:rPr>
          <w:rFonts w:ascii="Times New Roman" w:eastAsia="Calibri" w:hAnsi="Times New Roman" w:cs="Times New Roman"/>
          <w:color w:val="000000"/>
          <w:sz w:val="24"/>
          <w:szCs w:val="24"/>
        </w:rPr>
        <w:t>permits the distribution</w:t>
      </w:r>
      <w:r w:rsidRPr="003B3FDD">
        <w:rPr>
          <w:rFonts w:ascii="Times New Roman" w:eastAsia="Calibri" w:hAnsi="Times New Roman" w:cs="Times New Roman"/>
          <w:color w:val="000000"/>
          <w:sz w:val="24"/>
          <w:szCs w:val="24"/>
        </w:rPr>
        <w:t xml:space="preserve"> of accessible-format copies that are made pursuant to </w:t>
      </w:r>
      <w:r w:rsidR="007852A4" w:rsidRPr="003B3FDD">
        <w:rPr>
          <w:rFonts w:ascii="Times New Roman" w:eastAsia="Calibri" w:hAnsi="Times New Roman" w:cs="Times New Roman"/>
          <w:color w:val="000000"/>
          <w:sz w:val="24"/>
          <w:szCs w:val="24"/>
        </w:rPr>
        <w:t>its provisions</w:t>
      </w:r>
      <w:r w:rsidR="001376CE" w:rsidRPr="003B3FDD">
        <w:rPr>
          <w:rFonts w:ascii="Times New Roman" w:eastAsia="Calibri" w:hAnsi="Times New Roman" w:cs="Times New Roman"/>
          <w:color w:val="000000"/>
          <w:sz w:val="24"/>
          <w:szCs w:val="24"/>
        </w:rPr>
        <w:t xml:space="preserve">, “exclusively for use by blind or other persons with disabilities.”  </w:t>
      </w:r>
      <w:r w:rsidR="006E67D8">
        <w:rPr>
          <w:rFonts w:ascii="Times New Roman" w:eastAsia="Calibri" w:hAnsi="Times New Roman" w:cs="Times New Roman"/>
          <w:color w:val="000000"/>
          <w:sz w:val="24"/>
          <w:szCs w:val="24"/>
        </w:rPr>
        <w:t xml:space="preserve">However, it </w:t>
      </w:r>
      <w:r w:rsidR="001376CE" w:rsidRPr="003B3FDD">
        <w:rPr>
          <w:rFonts w:ascii="Times New Roman" w:eastAsia="Calibri" w:hAnsi="Times New Roman" w:cs="Times New Roman"/>
          <w:color w:val="000000"/>
          <w:sz w:val="24"/>
          <w:szCs w:val="24"/>
        </w:rPr>
        <w:t xml:space="preserve">does not refer to </w:t>
      </w:r>
      <w:r w:rsidR="00823465">
        <w:rPr>
          <w:rFonts w:ascii="Times New Roman" w:eastAsia="Calibri" w:hAnsi="Times New Roman" w:cs="Times New Roman"/>
          <w:color w:val="000000"/>
          <w:sz w:val="24"/>
          <w:szCs w:val="24"/>
        </w:rPr>
        <w:t xml:space="preserve">distribution </w:t>
      </w:r>
      <w:r w:rsidR="006E67D8">
        <w:rPr>
          <w:rFonts w:ascii="Times New Roman" w:eastAsia="Calibri" w:hAnsi="Times New Roman" w:cs="Times New Roman"/>
          <w:color w:val="000000"/>
          <w:sz w:val="24"/>
          <w:szCs w:val="24"/>
        </w:rPr>
        <w:t>from the United States to other countries</w:t>
      </w:r>
      <w:r w:rsidR="001376CE" w:rsidRPr="003B3FDD">
        <w:rPr>
          <w:rFonts w:ascii="Times New Roman" w:eastAsia="Calibri" w:hAnsi="Times New Roman" w:cs="Times New Roman"/>
          <w:color w:val="000000"/>
          <w:sz w:val="24"/>
          <w:szCs w:val="24"/>
        </w:rPr>
        <w:t>.</w:t>
      </w:r>
    </w:p>
    <w:p w14:paraId="694489F6" w14:textId="77777777" w:rsidR="00DD02BD" w:rsidRPr="003B3FDD" w:rsidRDefault="00DD02BD" w:rsidP="00DD02BD">
      <w:pPr>
        <w:rPr>
          <w:rFonts w:ascii="Times New Roman" w:eastAsia="Calibri" w:hAnsi="Times New Roman" w:cs="Times New Roman"/>
          <w:color w:val="000000"/>
          <w:sz w:val="24"/>
          <w:szCs w:val="24"/>
        </w:rPr>
      </w:pPr>
    </w:p>
    <w:p w14:paraId="056DA0A0" w14:textId="7D429ADE" w:rsidR="00E61EAC" w:rsidRPr="003B3FDD" w:rsidRDefault="007852A4" w:rsidP="00E61EAC">
      <w:pPr>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T</w:t>
      </w:r>
      <w:r w:rsidR="00DD02BD" w:rsidRPr="003B3FDD">
        <w:rPr>
          <w:rFonts w:ascii="Times New Roman" w:eastAsia="Calibri" w:hAnsi="Times New Roman" w:cs="Times New Roman"/>
          <w:color w:val="000000"/>
          <w:sz w:val="24"/>
          <w:szCs w:val="24"/>
        </w:rPr>
        <w:t>he definition of “blind or other persons with disabilities” in Section 121 refer</w:t>
      </w:r>
      <w:r w:rsidR="008D1E6A" w:rsidRPr="003B3FDD">
        <w:rPr>
          <w:rFonts w:ascii="Times New Roman" w:eastAsia="Calibri" w:hAnsi="Times New Roman" w:cs="Times New Roman"/>
          <w:color w:val="000000"/>
          <w:sz w:val="24"/>
          <w:szCs w:val="24"/>
        </w:rPr>
        <w:t xml:space="preserve">s for its substance to “An Act to provide books for the adult blind,” enacted in 1931. </w:t>
      </w:r>
      <w:r w:rsidR="00DD02BD" w:rsidRPr="003B3FDD">
        <w:rPr>
          <w:rFonts w:ascii="Times New Roman" w:eastAsia="Calibri" w:hAnsi="Times New Roman" w:cs="Times New Roman"/>
          <w:color w:val="000000"/>
          <w:sz w:val="24"/>
          <w:szCs w:val="24"/>
        </w:rPr>
        <w:t xml:space="preserve"> 2 U.S.C. 135a. Section 135a</w:t>
      </w:r>
      <w:r w:rsidR="00A649EB" w:rsidRPr="003B3FDD">
        <w:rPr>
          <w:rFonts w:ascii="Times New Roman" w:eastAsia="Calibri" w:hAnsi="Times New Roman" w:cs="Times New Roman"/>
          <w:color w:val="000000"/>
          <w:sz w:val="24"/>
          <w:szCs w:val="24"/>
        </w:rPr>
        <w:t xml:space="preserve"> authorizes</w:t>
      </w:r>
      <w:r w:rsidR="00DD02BD" w:rsidRPr="003B3FDD">
        <w:rPr>
          <w:rFonts w:ascii="Times New Roman" w:eastAsia="Calibri" w:hAnsi="Times New Roman" w:cs="Times New Roman"/>
          <w:color w:val="000000"/>
          <w:sz w:val="24"/>
          <w:szCs w:val="24"/>
        </w:rPr>
        <w:t xml:space="preserve"> appropriations for the NLS loan program </w:t>
      </w:r>
      <w:r w:rsidR="00A649EB" w:rsidRPr="003B3FDD">
        <w:rPr>
          <w:rFonts w:ascii="Times New Roman" w:eastAsia="Calibri" w:hAnsi="Times New Roman" w:cs="Times New Roman"/>
          <w:color w:val="000000"/>
          <w:sz w:val="24"/>
          <w:szCs w:val="24"/>
        </w:rPr>
        <w:t>that provides copies “for the use of the blind and for other physically handicapped residents of the United States</w:t>
      </w:r>
      <w:r w:rsidR="00D22432">
        <w:rPr>
          <w:rFonts w:ascii="Times New Roman" w:eastAsia="Calibri" w:hAnsi="Times New Roman" w:cs="Times New Roman"/>
          <w:color w:val="000000"/>
          <w:sz w:val="24"/>
          <w:szCs w:val="24"/>
        </w:rPr>
        <w:t xml:space="preserve"> . . . [which] will be loaned to blind and other physically handicapped readers certified by competent authority as unable to read normal printed material as a result of physical limitations under regulations prescribed by the Librarian of Congress for this service.</w:t>
      </w:r>
      <w:r w:rsidR="00A649EB" w:rsidRPr="003B3FDD">
        <w:rPr>
          <w:rFonts w:ascii="Times New Roman" w:eastAsia="Calibri" w:hAnsi="Times New Roman" w:cs="Times New Roman"/>
          <w:color w:val="000000"/>
          <w:sz w:val="24"/>
          <w:szCs w:val="24"/>
        </w:rPr>
        <w:t>”</w:t>
      </w:r>
      <w:r w:rsidR="00DD02BD" w:rsidRPr="003B3FDD">
        <w:rPr>
          <w:rFonts w:ascii="Times New Roman" w:hAnsi="Times New Roman" w:cs="Times New Roman"/>
          <w:sz w:val="24"/>
          <w:szCs w:val="24"/>
        </w:rPr>
        <w:t xml:space="preserve"> </w:t>
      </w:r>
    </w:p>
    <w:p w14:paraId="59B7DB89" w14:textId="77777777" w:rsidR="00E61EAC" w:rsidRPr="003B3FDD" w:rsidRDefault="00E61EAC" w:rsidP="00E61EAC">
      <w:pPr>
        <w:rPr>
          <w:rFonts w:ascii="Times New Roman" w:eastAsia="Calibri" w:hAnsi="Times New Roman" w:cs="Times New Roman"/>
          <w:color w:val="000000"/>
          <w:sz w:val="24"/>
          <w:szCs w:val="24"/>
        </w:rPr>
      </w:pPr>
    </w:p>
    <w:p w14:paraId="7D6E068F" w14:textId="77777777" w:rsidR="003B3FDD" w:rsidRPr="00DC2BF1" w:rsidRDefault="00FF0081" w:rsidP="00DC2BF1">
      <w:pPr>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 xml:space="preserve">The bill amends Section 121 to </w:t>
      </w:r>
      <w:r w:rsidR="006E67D8">
        <w:rPr>
          <w:rFonts w:ascii="Times New Roman" w:eastAsia="Calibri" w:hAnsi="Times New Roman" w:cs="Times New Roman"/>
          <w:color w:val="000000"/>
          <w:sz w:val="24"/>
          <w:szCs w:val="24"/>
        </w:rPr>
        <w:t>specify that</w:t>
      </w:r>
      <w:r w:rsidRPr="003B3FDD">
        <w:rPr>
          <w:rFonts w:ascii="Times New Roman" w:eastAsia="Calibri" w:hAnsi="Times New Roman" w:cs="Times New Roman"/>
          <w:color w:val="000000"/>
          <w:sz w:val="24"/>
          <w:szCs w:val="24"/>
        </w:rPr>
        <w:t xml:space="preserve"> accessible-format copies </w:t>
      </w:r>
      <w:r w:rsidR="006E67D8">
        <w:rPr>
          <w:rFonts w:ascii="Times New Roman" w:eastAsia="Calibri" w:hAnsi="Times New Roman" w:cs="Times New Roman"/>
          <w:color w:val="000000"/>
          <w:sz w:val="24"/>
          <w:szCs w:val="24"/>
        </w:rPr>
        <w:t xml:space="preserve">may be distributed </w:t>
      </w:r>
      <w:r w:rsidRPr="003B3FDD">
        <w:rPr>
          <w:rFonts w:ascii="Times New Roman" w:eastAsia="Calibri" w:hAnsi="Times New Roman" w:cs="Times New Roman"/>
          <w:color w:val="000000"/>
          <w:sz w:val="24"/>
          <w:szCs w:val="24"/>
        </w:rPr>
        <w:t>to Marrakesh Treaty Parties</w:t>
      </w:r>
      <w:r w:rsidR="003D7293" w:rsidRPr="003B3FDD">
        <w:rPr>
          <w:rFonts w:ascii="Times New Roman" w:eastAsia="Calibri" w:hAnsi="Times New Roman" w:cs="Times New Roman"/>
          <w:color w:val="000000"/>
          <w:sz w:val="24"/>
          <w:szCs w:val="24"/>
        </w:rPr>
        <w:t xml:space="preserve"> and to eligible persons </w:t>
      </w:r>
      <w:r w:rsidR="006E67D8">
        <w:rPr>
          <w:rFonts w:ascii="Times New Roman" w:eastAsia="Calibri" w:hAnsi="Times New Roman" w:cs="Times New Roman"/>
          <w:color w:val="000000"/>
          <w:sz w:val="24"/>
          <w:szCs w:val="24"/>
        </w:rPr>
        <w:t xml:space="preserve">abroad </w:t>
      </w:r>
      <w:r w:rsidR="003D7293" w:rsidRPr="003B3FDD">
        <w:rPr>
          <w:rFonts w:ascii="Times New Roman" w:eastAsia="Calibri" w:hAnsi="Times New Roman" w:cs="Times New Roman"/>
          <w:color w:val="000000"/>
          <w:sz w:val="24"/>
          <w:szCs w:val="24"/>
        </w:rPr>
        <w:t xml:space="preserve">who are citizens or </w:t>
      </w:r>
      <w:proofErr w:type="spellStart"/>
      <w:r w:rsidR="00B65BE3">
        <w:rPr>
          <w:rFonts w:ascii="Times New Roman" w:eastAsia="Calibri" w:hAnsi="Times New Roman" w:cs="Times New Roman"/>
          <w:color w:val="000000"/>
          <w:sz w:val="24"/>
          <w:szCs w:val="24"/>
        </w:rPr>
        <w:t>domicil</w:t>
      </w:r>
      <w:r w:rsidR="007F3ACC">
        <w:rPr>
          <w:rFonts w:ascii="Times New Roman" w:eastAsia="Calibri" w:hAnsi="Times New Roman" w:cs="Times New Roman"/>
          <w:color w:val="000000"/>
          <w:sz w:val="24"/>
          <w:szCs w:val="24"/>
        </w:rPr>
        <w:t>i</w:t>
      </w:r>
      <w:r w:rsidR="00B65BE3">
        <w:rPr>
          <w:rFonts w:ascii="Times New Roman" w:eastAsia="Calibri" w:hAnsi="Times New Roman" w:cs="Times New Roman"/>
          <w:color w:val="000000"/>
          <w:sz w:val="24"/>
          <w:szCs w:val="24"/>
        </w:rPr>
        <w:t>aries</w:t>
      </w:r>
      <w:proofErr w:type="spellEnd"/>
      <w:r w:rsidR="003D7293" w:rsidRPr="003B3FDD">
        <w:rPr>
          <w:rFonts w:ascii="Times New Roman" w:eastAsia="Calibri" w:hAnsi="Times New Roman" w:cs="Times New Roman"/>
          <w:color w:val="000000"/>
          <w:sz w:val="24"/>
          <w:szCs w:val="24"/>
        </w:rPr>
        <w:t xml:space="preserve"> of the United States.</w:t>
      </w:r>
    </w:p>
    <w:p w14:paraId="00FE9C75" w14:textId="77777777" w:rsidR="00DC2BF1" w:rsidRDefault="00DC2BF1" w:rsidP="008A52FD">
      <w:pPr>
        <w:jc w:val="center"/>
        <w:rPr>
          <w:rFonts w:ascii="Times New Roman" w:hAnsi="Times New Roman" w:cs="Times New Roman"/>
          <w:b/>
          <w:sz w:val="24"/>
          <w:szCs w:val="24"/>
        </w:rPr>
      </w:pPr>
    </w:p>
    <w:p w14:paraId="42C4D566" w14:textId="77777777" w:rsidR="008A52FD" w:rsidRPr="003B3FDD" w:rsidRDefault="008A52FD" w:rsidP="0056199F">
      <w:pPr>
        <w:pStyle w:val="Heading2"/>
      </w:pPr>
      <w:r w:rsidRPr="003B3FDD">
        <w:t>Section</w:t>
      </w:r>
      <w:r w:rsidR="002213FA" w:rsidRPr="003B3FDD">
        <w:t>al</w:t>
      </w:r>
      <w:r w:rsidRPr="003B3FDD">
        <w:t xml:space="preserve"> Analysis</w:t>
      </w:r>
    </w:p>
    <w:p w14:paraId="1A66590F" w14:textId="77777777" w:rsidR="0056199F" w:rsidRDefault="0056199F" w:rsidP="0056199F">
      <w:pPr>
        <w:pStyle w:val="BodyText"/>
        <w:rPr>
          <w:rStyle w:val="Heading1Char"/>
          <w:rFonts w:eastAsiaTheme="majorEastAsia"/>
        </w:rPr>
      </w:pPr>
    </w:p>
    <w:p w14:paraId="3464DBAE" w14:textId="77777777" w:rsidR="006636CB" w:rsidRDefault="006636CB" w:rsidP="006636CB">
      <w:pPr>
        <w:pStyle w:val="Heading3"/>
        <w:rPr>
          <w:rStyle w:val="Heading3Char"/>
        </w:rPr>
      </w:pPr>
      <w:r w:rsidRPr="006636CB">
        <w:rPr>
          <w:rStyle w:val="Heading3Char"/>
        </w:rPr>
        <w:t>SECTION 1.  SHORT TITLE</w:t>
      </w:r>
      <w:r>
        <w:rPr>
          <w:rStyle w:val="Heading3Char"/>
        </w:rPr>
        <w:t xml:space="preserve"> </w:t>
      </w:r>
    </w:p>
    <w:p w14:paraId="54473D35" w14:textId="1C4C821F" w:rsidR="0056199F" w:rsidRPr="006636CB" w:rsidRDefault="006636CB" w:rsidP="006636CB">
      <w:pPr>
        <w:pStyle w:val="BodyText"/>
        <w:ind w:left="0"/>
        <w:rPr>
          <w:rFonts w:cstheme="majorBidi"/>
        </w:rPr>
      </w:pPr>
      <w:r>
        <w:t>T</w:t>
      </w:r>
      <w:r w:rsidR="0056199F" w:rsidRPr="003B3FDD">
        <w:t>he short title is the “Marrakesh Treat</w:t>
      </w:r>
      <w:r w:rsidR="0056199F">
        <w:t>y</w:t>
      </w:r>
      <w:r w:rsidR="0056199F" w:rsidRPr="003B3FDD">
        <w:t xml:space="preserve"> Implementation Act of 201</w:t>
      </w:r>
      <w:r w:rsidR="0056199F">
        <w:t>6</w:t>
      </w:r>
      <w:r w:rsidR="0056199F" w:rsidRPr="003B3FDD">
        <w:t>.”</w:t>
      </w:r>
      <w:r w:rsidR="0056199F" w:rsidRPr="003B3FDD" w:rsidDel="00AD3329">
        <w:t xml:space="preserve"> </w:t>
      </w:r>
    </w:p>
    <w:p w14:paraId="5D905560" w14:textId="77777777" w:rsidR="00570076" w:rsidRPr="003B3FDD" w:rsidRDefault="00570076" w:rsidP="00570076">
      <w:pPr>
        <w:widowControl/>
        <w:rPr>
          <w:rFonts w:ascii="Times New Roman" w:eastAsia="Times New Roman" w:hAnsi="Times New Roman" w:cs="Times New Roman"/>
          <w:sz w:val="24"/>
          <w:szCs w:val="24"/>
        </w:rPr>
      </w:pPr>
    </w:p>
    <w:p w14:paraId="05282A9B" w14:textId="77777777" w:rsidR="008A52FD" w:rsidRPr="003B3FDD" w:rsidRDefault="008A52FD" w:rsidP="00A65FD3">
      <w:pPr>
        <w:pStyle w:val="Heading3"/>
      </w:pPr>
      <w:r w:rsidRPr="003B3FDD">
        <w:t xml:space="preserve">SECTION </w:t>
      </w:r>
      <w:r w:rsidR="00352BC0">
        <w:t>2</w:t>
      </w:r>
      <w:r w:rsidRPr="003B3FDD">
        <w:t>. TREATY IMPLEMENTATION</w:t>
      </w:r>
    </w:p>
    <w:p w14:paraId="70F730E8" w14:textId="77777777" w:rsidR="008A52FD" w:rsidRPr="003B3FDD" w:rsidRDefault="008A52FD" w:rsidP="00DD02BD">
      <w:pPr>
        <w:rPr>
          <w:rFonts w:ascii="Times New Roman" w:hAnsi="Times New Roman" w:cs="Times New Roman"/>
          <w:sz w:val="24"/>
          <w:szCs w:val="24"/>
        </w:rPr>
      </w:pPr>
    </w:p>
    <w:p w14:paraId="561C21C0" w14:textId="77777777" w:rsidR="00CB51D8" w:rsidRPr="003B3FDD" w:rsidRDefault="00D91443" w:rsidP="00066AC4">
      <w:pPr>
        <w:rPr>
          <w:rFonts w:ascii="Times New Roman" w:eastAsia="Calibri" w:hAnsi="Times New Roman" w:cs="Times New Roman"/>
          <w:color w:val="000000"/>
          <w:sz w:val="24"/>
          <w:szCs w:val="24"/>
          <w:u w:val="single"/>
        </w:rPr>
      </w:pPr>
      <w:r w:rsidRPr="003B3FDD">
        <w:rPr>
          <w:rFonts w:ascii="Times New Roman" w:hAnsi="Times New Roman" w:cs="Times New Roman"/>
          <w:sz w:val="24"/>
          <w:szCs w:val="24"/>
        </w:rPr>
        <w:t xml:space="preserve">The bill proposes a series of amendments to section 121 of the Copyright Act, which was enacted in </w:t>
      </w:r>
      <w:r w:rsidR="0035548E">
        <w:rPr>
          <w:rFonts w:ascii="Times New Roman" w:hAnsi="Times New Roman" w:cs="Times New Roman"/>
          <w:sz w:val="24"/>
          <w:szCs w:val="24"/>
        </w:rPr>
        <w:t>1996</w:t>
      </w:r>
      <w:r w:rsidR="0035548E" w:rsidRPr="003B3FDD">
        <w:rPr>
          <w:rFonts w:ascii="Times New Roman" w:hAnsi="Times New Roman" w:cs="Times New Roman"/>
          <w:sz w:val="24"/>
          <w:szCs w:val="24"/>
        </w:rPr>
        <w:t xml:space="preserve"> </w:t>
      </w:r>
      <w:r w:rsidRPr="003B3FDD">
        <w:rPr>
          <w:rFonts w:ascii="Times New Roman" w:hAnsi="Times New Roman" w:cs="Times New Roman"/>
          <w:sz w:val="24"/>
          <w:szCs w:val="24"/>
        </w:rPr>
        <w:t xml:space="preserve">to permit the reproduction and distribution of accessible format copies for </w:t>
      </w:r>
      <w:r w:rsidR="0035548E">
        <w:rPr>
          <w:rFonts w:ascii="Times New Roman" w:hAnsi="Times New Roman" w:cs="Times New Roman"/>
          <w:sz w:val="24"/>
          <w:szCs w:val="24"/>
        </w:rPr>
        <w:t xml:space="preserve">exclusive </w:t>
      </w:r>
      <w:r w:rsidRPr="003B3FDD">
        <w:rPr>
          <w:rFonts w:ascii="Times New Roman" w:hAnsi="Times New Roman" w:cs="Times New Roman"/>
          <w:sz w:val="24"/>
          <w:szCs w:val="24"/>
        </w:rPr>
        <w:t>use by “blind or other person with disabilities</w:t>
      </w:r>
      <w:r w:rsidR="009D766E" w:rsidRPr="003B3FDD">
        <w:rPr>
          <w:rFonts w:ascii="Times New Roman" w:hAnsi="Times New Roman" w:cs="Times New Roman"/>
          <w:sz w:val="24"/>
          <w:szCs w:val="24"/>
        </w:rPr>
        <w:t xml:space="preserve">,” to </w:t>
      </w:r>
      <w:r w:rsidR="008E1616">
        <w:rPr>
          <w:rFonts w:ascii="Times New Roman" w:eastAsia="Calibri" w:hAnsi="Times New Roman" w:cs="Times New Roman"/>
          <w:color w:val="000000"/>
          <w:sz w:val="24"/>
          <w:szCs w:val="24"/>
        </w:rPr>
        <w:t xml:space="preserve">specify that </w:t>
      </w:r>
      <w:r w:rsidR="008E1616" w:rsidRPr="003B3FDD">
        <w:rPr>
          <w:rFonts w:ascii="Times New Roman" w:eastAsia="Calibri" w:hAnsi="Times New Roman" w:cs="Times New Roman"/>
          <w:color w:val="000000"/>
          <w:sz w:val="24"/>
          <w:szCs w:val="24"/>
        </w:rPr>
        <w:t xml:space="preserve">accessible-format copies </w:t>
      </w:r>
      <w:r w:rsidR="008E1616">
        <w:rPr>
          <w:rFonts w:ascii="Times New Roman" w:eastAsia="Calibri" w:hAnsi="Times New Roman" w:cs="Times New Roman"/>
          <w:color w:val="000000"/>
          <w:sz w:val="24"/>
          <w:szCs w:val="24"/>
        </w:rPr>
        <w:t xml:space="preserve">may be distributed </w:t>
      </w:r>
      <w:r w:rsidR="008E1616" w:rsidRPr="003B3FDD">
        <w:rPr>
          <w:rFonts w:ascii="Times New Roman" w:eastAsia="Calibri" w:hAnsi="Times New Roman" w:cs="Times New Roman"/>
          <w:color w:val="000000"/>
          <w:sz w:val="24"/>
          <w:szCs w:val="24"/>
        </w:rPr>
        <w:t xml:space="preserve">to Marrakesh Treaty Parties and to eligible persons </w:t>
      </w:r>
      <w:r w:rsidR="008E1616">
        <w:rPr>
          <w:rFonts w:ascii="Times New Roman" w:eastAsia="Calibri" w:hAnsi="Times New Roman" w:cs="Times New Roman"/>
          <w:color w:val="000000"/>
          <w:sz w:val="24"/>
          <w:szCs w:val="24"/>
        </w:rPr>
        <w:t xml:space="preserve">abroad </w:t>
      </w:r>
      <w:r w:rsidR="008E1616" w:rsidRPr="003B3FDD">
        <w:rPr>
          <w:rFonts w:ascii="Times New Roman" w:eastAsia="Calibri" w:hAnsi="Times New Roman" w:cs="Times New Roman"/>
          <w:color w:val="000000"/>
          <w:sz w:val="24"/>
          <w:szCs w:val="24"/>
        </w:rPr>
        <w:t xml:space="preserve">who are citizens or </w:t>
      </w:r>
      <w:proofErr w:type="spellStart"/>
      <w:r w:rsidR="00B36B40">
        <w:rPr>
          <w:rFonts w:ascii="Times New Roman" w:eastAsia="Calibri" w:hAnsi="Times New Roman" w:cs="Times New Roman"/>
          <w:color w:val="000000"/>
          <w:sz w:val="24"/>
          <w:szCs w:val="24"/>
        </w:rPr>
        <w:t>domicil</w:t>
      </w:r>
      <w:r w:rsidR="00AA0991">
        <w:rPr>
          <w:rFonts w:ascii="Times New Roman" w:eastAsia="Calibri" w:hAnsi="Times New Roman" w:cs="Times New Roman"/>
          <w:color w:val="000000"/>
          <w:sz w:val="24"/>
          <w:szCs w:val="24"/>
        </w:rPr>
        <w:t>i</w:t>
      </w:r>
      <w:r w:rsidR="00B36B40">
        <w:rPr>
          <w:rFonts w:ascii="Times New Roman" w:eastAsia="Calibri" w:hAnsi="Times New Roman" w:cs="Times New Roman"/>
          <w:color w:val="000000"/>
          <w:sz w:val="24"/>
          <w:szCs w:val="24"/>
        </w:rPr>
        <w:t>aries</w:t>
      </w:r>
      <w:proofErr w:type="spellEnd"/>
      <w:r w:rsidR="00B36B40">
        <w:rPr>
          <w:rFonts w:ascii="Times New Roman" w:eastAsia="Calibri" w:hAnsi="Times New Roman" w:cs="Times New Roman"/>
          <w:color w:val="000000"/>
          <w:sz w:val="24"/>
          <w:szCs w:val="24"/>
        </w:rPr>
        <w:t xml:space="preserve"> </w:t>
      </w:r>
      <w:r w:rsidR="008E1616" w:rsidRPr="003B3FDD">
        <w:rPr>
          <w:rFonts w:ascii="Times New Roman" w:eastAsia="Calibri" w:hAnsi="Times New Roman" w:cs="Times New Roman"/>
          <w:color w:val="000000"/>
          <w:sz w:val="24"/>
          <w:szCs w:val="24"/>
        </w:rPr>
        <w:t>of the United States.</w:t>
      </w:r>
    </w:p>
    <w:p w14:paraId="1047AB21" w14:textId="77777777" w:rsidR="00CB51D8" w:rsidRPr="003B3FDD" w:rsidRDefault="00CB51D8" w:rsidP="00CB51D8">
      <w:pPr>
        <w:rPr>
          <w:rFonts w:ascii="Times New Roman" w:eastAsia="Calibri" w:hAnsi="Times New Roman" w:cs="Times New Roman"/>
          <w:color w:val="000000"/>
          <w:sz w:val="24"/>
          <w:szCs w:val="24"/>
        </w:rPr>
      </w:pPr>
    </w:p>
    <w:p w14:paraId="55AF3938" w14:textId="63734DFE" w:rsidR="00066AC4" w:rsidRPr="0056199F" w:rsidRDefault="00CB51D8" w:rsidP="00F425C3">
      <w:pPr>
        <w:pStyle w:val="Heading4"/>
        <w:spacing w:after="240"/>
        <w:rPr>
          <w:u w:val="single"/>
        </w:rPr>
      </w:pPr>
      <w:r w:rsidRPr="003B3FDD">
        <w:t xml:space="preserve"> Scope of Works</w:t>
      </w:r>
    </w:p>
    <w:p w14:paraId="470F1C8F" w14:textId="49A9D7F8" w:rsidR="00066AC4" w:rsidRPr="003B3FDD" w:rsidRDefault="00066AC4" w:rsidP="00A65FD3">
      <w:pPr>
        <w:spacing w:after="240"/>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 xml:space="preserve">To ensure complete coverage of the works addressed by the Treaty, the proposed bill amends Section 121(a) by striking the word “non-dramatic” before “literary work,” and adding musical works in the form of musical scores/sheet music  by inserting the phrase “or of a musical work that has been fixed </w:t>
      </w:r>
      <w:r w:rsidRPr="003B3FDD">
        <w:rPr>
          <w:rFonts w:ascii="Times New Roman" w:eastAsia="Calibri" w:hAnsi="Times New Roman" w:cs="Times New Roman"/>
          <w:i/>
          <w:color w:val="000000"/>
          <w:sz w:val="24"/>
          <w:szCs w:val="24"/>
        </w:rPr>
        <w:t>in the form of text or notation</w:t>
      </w:r>
      <w:r w:rsidRPr="003B3FDD">
        <w:rPr>
          <w:rFonts w:ascii="Times New Roman" w:eastAsia="Calibri" w:hAnsi="Times New Roman" w:cs="Times New Roman"/>
          <w:color w:val="000000"/>
          <w:sz w:val="24"/>
          <w:szCs w:val="24"/>
        </w:rPr>
        <w:t xml:space="preserve">”. As amended, Section 121(a) would read in pertinent part as follows: </w:t>
      </w:r>
      <w:r w:rsidR="0035548E">
        <w:rPr>
          <w:rFonts w:ascii="Times New Roman" w:eastAsia="Calibri" w:hAnsi="Times New Roman" w:cs="Times New Roman"/>
          <w:color w:val="000000"/>
          <w:sz w:val="24"/>
          <w:szCs w:val="24"/>
        </w:rPr>
        <w:t xml:space="preserve"> “</w:t>
      </w:r>
      <w:r w:rsidRPr="003B3FDD">
        <w:rPr>
          <w:rFonts w:ascii="Times New Roman" w:eastAsia="Calibri" w:hAnsi="Times New Roman" w:cs="Times New Roman"/>
          <w:color w:val="000000"/>
          <w:sz w:val="24"/>
          <w:szCs w:val="24"/>
        </w:rPr>
        <w:t xml:space="preserve">....it is not an infringement of copyright for </w:t>
      </w:r>
      <w:r w:rsidRPr="003B3FDD">
        <w:rPr>
          <w:rFonts w:ascii="Times New Roman" w:eastAsia="Calibri" w:hAnsi="Times New Roman" w:cs="Times New Roman"/>
          <w:color w:val="000000"/>
          <w:sz w:val="24"/>
          <w:szCs w:val="24"/>
        </w:rPr>
        <w:lastRenderedPageBreak/>
        <w:t xml:space="preserve">an authorized entity to reproduce or distribute copies or </w:t>
      </w:r>
      <w:proofErr w:type="spellStart"/>
      <w:r w:rsidRPr="003B3FDD">
        <w:rPr>
          <w:rFonts w:ascii="Times New Roman" w:eastAsia="Calibri" w:hAnsi="Times New Roman" w:cs="Times New Roman"/>
          <w:color w:val="000000"/>
          <w:sz w:val="24"/>
          <w:szCs w:val="24"/>
        </w:rPr>
        <w:t>phonorecords</w:t>
      </w:r>
      <w:proofErr w:type="spellEnd"/>
      <w:r w:rsidRPr="003B3FDD">
        <w:rPr>
          <w:rFonts w:ascii="Times New Roman" w:eastAsia="Calibri" w:hAnsi="Times New Roman" w:cs="Times New Roman"/>
          <w:color w:val="000000"/>
          <w:sz w:val="24"/>
          <w:szCs w:val="24"/>
        </w:rPr>
        <w:t xml:space="preserve"> of a previously published literary work, or of a musical work that has been fixed in the form of text or notation….if such copies...."</w:t>
      </w:r>
      <w:r w:rsidR="00A65FD3" w:rsidRPr="003B3FDD">
        <w:rPr>
          <w:rFonts w:ascii="Times New Roman" w:eastAsia="Calibri" w:hAnsi="Times New Roman" w:cs="Times New Roman"/>
          <w:color w:val="000000"/>
          <w:sz w:val="24"/>
          <w:szCs w:val="24"/>
        </w:rPr>
        <w:t xml:space="preserve"> </w:t>
      </w:r>
    </w:p>
    <w:p w14:paraId="2583A9E0" w14:textId="599546BC" w:rsidR="00CB51D8" w:rsidRPr="003B3FDD" w:rsidRDefault="00066AC4" w:rsidP="00A65FD3">
      <w:pPr>
        <w:spacing w:after="240"/>
        <w:rPr>
          <w:rFonts w:ascii="Times New Roman" w:eastAsia="Calibri" w:hAnsi="Times New Roman" w:cs="Times New Roman"/>
          <w:color w:val="000000"/>
          <w:sz w:val="24"/>
          <w:szCs w:val="24"/>
        </w:rPr>
      </w:pPr>
      <w:r w:rsidRPr="003B3FDD">
        <w:rPr>
          <w:rFonts w:ascii="Times New Roman" w:eastAsia="Calibri" w:hAnsi="Times New Roman" w:cs="Times New Roman"/>
          <w:color w:val="000000"/>
          <w:sz w:val="24"/>
          <w:szCs w:val="24"/>
        </w:rPr>
        <w:t>The terms “literary work” and “musical work that has been fixed in the form of text or notation” encompass “related illustrations” incorporated in such works, and, therefore a reference to related illustrations is not included in the proposed amendment to Section 121(a).  However, to avoid</w:t>
      </w:r>
      <w:r w:rsidR="00BA639E">
        <w:rPr>
          <w:rFonts w:ascii="Times New Roman" w:eastAsia="Calibri" w:hAnsi="Times New Roman" w:cs="Times New Roman"/>
          <w:color w:val="000000"/>
          <w:sz w:val="24"/>
          <w:szCs w:val="24"/>
        </w:rPr>
        <w:t xml:space="preserve"> any possible misunderstandings</w:t>
      </w:r>
      <w:r w:rsidRPr="003B3FDD">
        <w:rPr>
          <w:rFonts w:ascii="Times New Roman" w:eastAsia="Calibri" w:hAnsi="Times New Roman" w:cs="Times New Roman"/>
          <w:color w:val="000000"/>
          <w:sz w:val="24"/>
          <w:szCs w:val="24"/>
        </w:rPr>
        <w:t xml:space="preserve">, </w:t>
      </w:r>
      <w:r w:rsidR="0035548E">
        <w:rPr>
          <w:rFonts w:ascii="Times New Roman" w:eastAsia="Calibri" w:hAnsi="Times New Roman" w:cs="Times New Roman"/>
          <w:color w:val="000000"/>
          <w:sz w:val="24"/>
          <w:szCs w:val="24"/>
        </w:rPr>
        <w:t xml:space="preserve">it is recommended that </w:t>
      </w:r>
      <w:r w:rsidRPr="003B3FDD">
        <w:rPr>
          <w:rFonts w:ascii="Times New Roman" w:eastAsia="Calibri" w:hAnsi="Times New Roman" w:cs="Times New Roman"/>
          <w:color w:val="000000"/>
          <w:sz w:val="24"/>
          <w:szCs w:val="24"/>
        </w:rPr>
        <w:t>a statement be included in the legislative history noting that illustrations related to protected subject matter under Section 121(a) are covered.</w:t>
      </w:r>
    </w:p>
    <w:p w14:paraId="4718CC2B" w14:textId="77777777" w:rsidR="00CB51D8" w:rsidRPr="003B3FDD" w:rsidRDefault="00CB51D8" w:rsidP="00F425C3">
      <w:pPr>
        <w:pStyle w:val="Heading4"/>
        <w:spacing w:after="240"/>
      </w:pPr>
      <w:r w:rsidRPr="003B3FDD">
        <w:t xml:space="preserve"> Beneficiary Persons</w:t>
      </w:r>
    </w:p>
    <w:p w14:paraId="23374CF7" w14:textId="1DDDCCF8" w:rsidR="009E6270" w:rsidRPr="00EF2856" w:rsidRDefault="00CB51D8" w:rsidP="00EF2856">
      <w:pPr>
        <w:spacing w:after="240"/>
        <w:rPr>
          <w:rFonts w:ascii="Times New Roman" w:hAnsi="Times New Roman" w:cs="Times New Roman"/>
          <w:sz w:val="24"/>
          <w:szCs w:val="24"/>
        </w:rPr>
      </w:pPr>
      <w:r w:rsidRPr="003B3FDD">
        <w:rPr>
          <w:rFonts w:ascii="Times New Roman" w:hAnsi="Times New Roman" w:cs="Times New Roman"/>
          <w:sz w:val="24"/>
          <w:szCs w:val="24"/>
        </w:rPr>
        <w:t xml:space="preserve">To ensure complete coverage of the beneficiary persons </w:t>
      </w:r>
      <w:r w:rsidR="0035548E">
        <w:rPr>
          <w:rFonts w:ascii="Times New Roman" w:hAnsi="Times New Roman" w:cs="Times New Roman"/>
          <w:sz w:val="24"/>
          <w:szCs w:val="24"/>
        </w:rPr>
        <w:t xml:space="preserve">set out </w:t>
      </w:r>
      <w:r w:rsidRPr="003B3FDD">
        <w:rPr>
          <w:rFonts w:ascii="Times New Roman" w:hAnsi="Times New Roman" w:cs="Times New Roman"/>
          <w:sz w:val="24"/>
          <w:szCs w:val="24"/>
        </w:rPr>
        <w:t xml:space="preserve">in the Treaty, the bill amends the definition of “blind or other persons with disabilities” in Section 121(d)(2) </w:t>
      </w:r>
      <w:r w:rsidRPr="003B3FDD">
        <w:rPr>
          <w:rFonts w:ascii="Times New Roman" w:eastAsia="Calibri" w:hAnsi="Times New Roman" w:cs="Times New Roman"/>
          <w:color w:val="000000"/>
          <w:sz w:val="24"/>
          <w:szCs w:val="24"/>
        </w:rPr>
        <w:t xml:space="preserve">by providing that the regulations prescribed by the Librarian of Congress pursuant to 2 U.S.C. 135a, which set forth conditions of eligibility for beneficiaries of Section 121, shall be consistent with the Marrakesh Treaty’s </w:t>
      </w:r>
      <w:r w:rsidR="0035548E">
        <w:rPr>
          <w:rFonts w:ascii="Times New Roman" w:eastAsia="Calibri" w:hAnsi="Times New Roman" w:cs="Times New Roman"/>
          <w:color w:val="000000"/>
          <w:sz w:val="24"/>
          <w:szCs w:val="24"/>
        </w:rPr>
        <w:t>definition of</w:t>
      </w:r>
      <w:r w:rsidR="0035548E" w:rsidRPr="003B3FDD">
        <w:rPr>
          <w:rFonts w:ascii="Times New Roman" w:eastAsia="Calibri" w:hAnsi="Times New Roman" w:cs="Times New Roman"/>
          <w:color w:val="000000"/>
          <w:sz w:val="24"/>
          <w:szCs w:val="24"/>
        </w:rPr>
        <w:t xml:space="preserve"> </w:t>
      </w:r>
      <w:r w:rsidRPr="003B3FDD">
        <w:rPr>
          <w:rFonts w:ascii="Times New Roman" w:eastAsia="Calibri" w:hAnsi="Times New Roman" w:cs="Times New Roman"/>
          <w:color w:val="000000"/>
          <w:sz w:val="24"/>
          <w:szCs w:val="24"/>
        </w:rPr>
        <w:t xml:space="preserve"> “beneficiary persons” by including persons who</w:t>
      </w:r>
      <w:r w:rsidR="008E1616">
        <w:rPr>
          <w:rFonts w:ascii="Times New Roman" w:eastAsia="Calibri" w:hAnsi="Times New Roman" w:cs="Times New Roman"/>
          <w:color w:val="000000"/>
          <w:sz w:val="24"/>
          <w:szCs w:val="24"/>
        </w:rPr>
        <w:t>, regardless of any other disabilities,</w:t>
      </w:r>
      <w:r w:rsidRPr="003B3FDD">
        <w:rPr>
          <w:rFonts w:ascii="Times New Roman" w:eastAsia="Calibri" w:hAnsi="Times New Roman" w:cs="Times New Roman"/>
          <w:color w:val="000000"/>
          <w:sz w:val="24"/>
          <w:szCs w:val="24"/>
        </w:rPr>
        <w:t xml:space="preserve"> </w:t>
      </w:r>
      <w:r w:rsidRPr="003B3FDD">
        <w:rPr>
          <w:rFonts w:ascii="Times New Roman" w:hAnsi="Times New Roman" w:cs="Times New Roman"/>
          <w:sz w:val="24"/>
          <w:szCs w:val="24"/>
        </w:rPr>
        <w:t>(</w:t>
      </w:r>
      <w:proofErr w:type="spellStart"/>
      <w:r w:rsidRPr="003B3FDD">
        <w:rPr>
          <w:rFonts w:ascii="Times New Roman" w:hAnsi="Times New Roman" w:cs="Times New Roman"/>
          <w:sz w:val="24"/>
          <w:szCs w:val="24"/>
        </w:rPr>
        <w:t>i</w:t>
      </w:r>
      <w:proofErr w:type="spellEnd"/>
      <w:r w:rsidRPr="003B3FDD">
        <w:rPr>
          <w:rFonts w:ascii="Times New Roman" w:hAnsi="Times New Roman" w:cs="Times New Roman"/>
          <w:sz w:val="24"/>
          <w:szCs w:val="24"/>
        </w:rPr>
        <w:t>) are blind; (ii) have a visual impairment or perceptual reading disability or reading disability which cannot be improved to give visual function substantially equivalent to that of a person who has no such impairment or disability and so are unable to read printed works to substantially the same degree as a person without an impairment or disability; or (iii) are unable to read or unable to use standard printed material as a result of physical limitation.</w:t>
      </w:r>
      <w:r w:rsidR="003D7293" w:rsidRPr="003B3FDD">
        <w:rPr>
          <w:rFonts w:ascii="Times New Roman" w:hAnsi="Times New Roman" w:cs="Times New Roman"/>
          <w:sz w:val="24"/>
          <w:szCs w:val="24"/>
        </w:rPr>
        <w:t xml:space="preserve"> The exception applies to persons who meet any of the three criteria</w:t>
      </w:r>
      <w:r w:rsidR="0035548E">
        <w:rPr>
          <w:rFonts w:ascii="Times New Roman" w:hAnsi="Times New Roman" w:cs="Times New Roman"/>
          <w:sz w:val="24"/>
          <w:szCs w:val="24"/>
        </w:rPr>
        <w:t xml:space="preserve"> set out in the Treaty</w:t>
      </w:r>
      <w:r w:rsidR="003D7293" w:rsidRPr="003B3FDD">
        <w:rPr>
          <w:rFonts w:ascii="Times New Roman" w:hAnsi="Times New Roman" w:cs="Times New Roman"/>
          <w:sz w:val="24"/>
          <w:szCs w:val="24"/>
        </w:rPr>
        <w:t>.</w:t>
      </w:r>
    </w:p>
    <w:p w14:paraId="1B9059BA" w14:textId="77777777" w:rsidR="00066AC4" w:rsidRPr="003B3FDD" w:rsidRDefault="00CB51D8" w:rsidP="00A65FD3">
      <w:pPr>
        <w:pStyle w:val="Heading4"/>
      </w:pPr>
      <w:r w:rsidRPr="003B3FDD">
        <w:t xml:space="preserve">Authorized Entities </w:t>
      </w:r>
    </w:p>
    <w:p w14:paraId="0BCEFEAE" w14:textId="77777777" w:rsidR="008A52FD" w:rsidRPr="003B3FDD" w:rsidRDefault="008A52FD" w:rsidP="00A65FD3">
      <w:pPr>
        <w:pStyle w:val="Heading4"/>
      </w:pPr>
    </w:p>
    <w:p w14:paraId="6C6BC111" w14:textId="27C2903F" w:rsidR="00CB51D8" w:rsidRPr="003B3FDD" w:rsidRDefault="0035548E" w:rsidP="00EF2856">
      <w:pPr>
        <w:spacing w:after="240"/>
        <w:rPr>
          <w:rFonts w:ascii="Times New Roman" w:hAnsi="Times New Roman" w:cs="Times New Roman"/>
          <w:sz w:val="24"/>
          <w:szCs w:val="24"/>
        </w:rPr>
      </w:pPr>
      <w:r>
        <w:rPr>
          <w:rFonts w:ascii="Times New Roman" w:eastAsia="Calibri" w:hAnsi="Times New Roman" w:cs="Times New Roman"/>
          <w:color w:val="000000"/>
          <w:sz w:val="24"/>
          <w:szCs w:val="24"/>
        </w:rPr>
        <w:t>It is recommended that t</w:t>
      </w:r>
      <w:r w:rsidR="00CB51D8" w:rsidRPr="003B3FDD">
        <w:rPr>
          <w:rFonts w:ascii="Times New Roman" w:eastAsia="Calibri" w:hAnsi="Times New Roman" w:cs="Times New Roman"/>
          <w:color w:val="000000"/>
          <w:sz w:val="24"/>
          <w:szCs w:val="24"/>
        </w:rPr>
        <w:t xml:space="preserve">he legislative history accompanying the proposed bill state the understanding that authorized entities in the United States have and follow their own practices to </w:t>
      </w:r>
      <w:r w:rsidR="00CB51D8" w:rsidRPr="003B3FDD">
        <w:rPr>
          <w:rFonts w:ascii="Times New Roman" w:hAnsi="Times New Roman" w:cs="Times New Roman"/>
          <w:sz w:val="24"/>
          <w:szCs w:val="24"/>
        </w:rPr>
        <w:t>establish that the people they serve are blind or other persons with disabilities; limit their distribution and making available of accessible format copies to blind or other persons with disabilities or authorized entities; discourage the reproduction, distribution, and making available of unauthorized copies; and maintain due</w:t>
      </w:r>
      <w:r w:rsidR="00EB1D8E" w:rsidRPr="003B3FDD">
        <w:rPr>
          <w:rFonts w:ascii="Times New Roman" w:hAnsi="Times New Roman" w:cs="Times New Roman"/>
          <w:sz w:val="24"/>
          <w:szCs w:val="24"/>
        </w:rPr>
        <w:t xml:space="preserve"> care in, and records </w:t>
      </w:r>
      <w:r w:rsidR="00CB51D8" w:rsidRPr="003B3FDD">
        <w:rPr>
          <w:rFonts w:ascii="Times New Roman" w:hAnsi="Times New Roman" w:cs="Times New Roman"/>
          <w:sz w:val="24"/>
          <w:szCs w:val="24"/>
        </w:rPr>
        <w:t xml:space="preserve">of, their handling of copies of works, </w:t>
      </w:r>
      <w:r w:rsidR="007F3ACC">
        <w:rPr>
          <w:rFonts w:ascii="Times New Roman" w:hAnsi="Times New Roman" w:cs="Times New Roman"/>
          <w:sz w:val="24"/>
          <w:szCs w:val="24"/>
        </w:rPr>
        <w:t xml:space="preserve">without government oversight, </w:t>
      </w:r>
      <w:r w:rsidR="00CB51D8" w:rsidRPr="003B3FDD">
        <w:rPr>
          <w:rFonts w:ascii="Times New Roman" w:hAnsi="Times New Roman" w:cs="Times New Roman"/>
          <w:sz w:val="24"/>
          <w:szCs w:val="24"/>
        </w:rPr>
        <w:t>while respecting the privacy of the blind or other persons with disabilities they serve.</w:t>
      </w:r>
      <w:r w:rsidR="00552865" w:rsidRPr="00F90145">
        <w:rPr>
          <w:rFonts w:ascii="Times New Roman" w:hAnsi="Times New Roman" w:cs="Times New Roman"/>
          <w:sz w:val="24"/>
          <w:szCs w:val="24"/>
        </w:rPr>
        <w:t xml:space="preserve"> </w:t>
      </w:r>
    </w:p>
    <w:p w14:paraId="7CDAA5EE" w14:textId="77777777" w:rsidR="00CB51D8" w:rsidRPr="003B3FDD" w:rsidRDefault="00CB51D8" w:rsidP="00A65FD3">
      <w:pPr>
        <w:pStyle w:val="Heading4"/>
      </w:pPr>
      <w:r w:rsidRPr="003B3FDD">
        <w:t xml:space="preserve"> Exports of Accessible Format Copies</w:t>
      </w:r>
    </w:p>
    <w:p w14:paraId="6B1C85EF" w14:textId="77777777" w:rsidR="00CB51D8" w:rsidRPr="003B3FDD" w:rsidRDefault="00CB51D8" w:rsidP="00DD02BD">
      <w:pPr>
        <w:rPr>
          <w:rFonts w:ascii="Times New Roman" w:hAnsi="Times New Roman" w:cs="Times New Roman"/>
          <w:sz w:val="24"/>
          <w:szCs w:val="24"/>
        </w:rPr>
      </w:pPr>
    </w:p>
    <w:p w14:paraId="404B0002" w14:textId="77777777" w:rsidR="002A6260" w:rsidRPr="003B3FDD" w:rsidRDefault="002A6260" w:rsidP="002A6260">
      <w:pPr>
        <w:rPr>
          <w:rFonts w:ascii="Times New Roman" w:hAnsi="Times New Roman" w:cs="Times New Roman"/>
          <w:sz w:val="24"/>
          <w:szCs w:val="24"/>
        </w:rPr>
      </w:pPr>
      <w:r w:rsidRPr="003B3FDD">
        <w:rPr>
          <w:rFonts w:ascii="Times New Roman" w:hAnsi="Times New Roman" w:cs="Times New Roman"/>
          <w:sz w:val="24"/>
          <w:szCs w:val="24"/>
        </w:rPr>
        <w:t xml:space="preserve">The bill amends Section 121 by adding a new subsection (c) that </w:t>
      </w:r>
      <w:r w:rsidR="0095352B">
        <w:rPr>
          <w:rFonts w:ascii="Times New Roman" w:hAnsi="Times New Roman" w:cs="Times New Roman"/>
          <w:sz w:val="24"/>
          <w:szCs w:val="24"/>
        </w:rPr>
        <w:t>specifies that</w:t>
      </w:r>
      <w:r w:rsidRPr="003B3FDD">
        <w:rPr>
          <w:rFonts w:ascii="Times New Roman" w:hAnsi="Times New Roman" w:cs="Times New Roman"/>
          <w:sz w:val="24"/>
          <w:szCs w:val="24"/>
        </w:rPr>
        <w:t xml:space="preserve"> copies or </w:t>
      </w:r>
      <w:proofErr w:type="spellStart"/>
      <w:r w:rsidRPr="003B3FDD">
        <w:rPr>
          <w:rFonts w:ascii="Times New Roman" w:hAnsi="Times New Roman" w:cs="Times New Roman"/>
          <w:sz w:val="24"/>
          <w:szCs w:val="24"/>
        </w:rPr>
        <w:t>phonorecords</w:t>
      </w:r>
      <w:proofErr w:type="spellEnd"/>
      <w:r w:rsidRPr="003B3FDD">
        <w:rPr>
          <w:rFonts w:ascii="Times New Roman" w:hAnsi="Times New Roman" w:cs="Times New Roman"/>
          <w:sz w:val="24"/>
          <w:szCs w:val="24"/>
        </w:rPr>
        <w:t xml:space="preserve"> of works in specialized formats </w:t>
      </w:r>
      <w:r w:rsidR="0095352B">
        <w:rPr>
          <w:rFonts w:ascii="Times New Roman" w:hAnsi="Times New Roman" w:cs="Times New Roman"/>
          <w:sz w:val="24"/>
          <w:szCs w:val="24"/>
        </w:rPr>
        <w:t xml:space="preserve">may be distributed to eligible persons or </w:t>
      </w:r>
      <w:r w:rsidRPr="003B3FDD">
        <w:rPr>
          <w:rFonts w:ascii="Times New Roman" w:hAnsi="Times New Roman" w:cs="Times New Roman"/>
          <w:sz w:val="24"/>
          <w:szCs w:val="24"/>
        </w:rPr>
        <w:t>authorized entit</w:t>
      </w:r>
      <w:r w:rsidR="0095352B">
        <w:rPr>
          <w:rFonts w:ascii="Times New Roman" w:hAnsi="Times New Roman" w:cs="Times New Roman"/>
          <w:sz w:val="24"/>
          <w:szCs w:val="24"/>
        </w:rPr>
        <w:t xml:space="preserve">ies in </w:t>
      </w:r>
      <w:r w:rsidRPr="003B3FDD">
        <w:rPr>
          <w:rFonts w:ascii="Times New Roman" w:hAnsi="Times New Roman" w:cs="Times New Roman"/>
          <w:sz w:val="24"/>
          <w:szCs w:val="24"/>
        </w:rPr>
        <w:t>Marrakesh Treaty</w:t>
      </w:r>
      <w:r w:rsidR="0095352B">
        <w:rPr>
          <w:rFonts w:ascii="Times New Roman" w:hAnsi="Times New Roman" w:cs="Times New Roman"/>
          <w:sz w:val="24"/>
          <w:szCs w:val="24"/>
        </w:rPr>
        <w:t xml:space="preserve"> parties and</w:t>
      </w:r>
      <w:r w:rsidRPr="003B3FDD">
        <w:rPr>
          <w:rFonts w:ascii="Times New Roman" w:hAnsi="Times New Roman" w:cs="Times New Roman"/>
          <w:sz w:val="24"/>
          <w:szCs w:val="24"/>
        </w:rPr>
        <w:t xml:space="preserve"> to</w:t>
      </w:r>
      <w:r w:rsidR="0095352B">
        <w:rPr>
          <w:rFonts w:ascii="Times New Roman" w:hAnsi="Times New Roman" w:cs="Times New Roman"/>
          <w:sz w:val="24"/>
          <w:szCs w:val="24"/>
        </w:rPr>
        <w:t xml:space="preserve"> other</w:t>
      </w:r>
      <w:r w:rsidR="00380E65">
        <w:rPr>
          <w:rFonts w:ascii="Times New Roman" w:hAnsi="Times New Roman" w:cs="Times New Roman"/>
          <w:sz w:val="24"/>
          <w:szCs w:val="24"/>
        </w:rPr>
        <w:t xml:space="preserve"> eligible</w:t>
      </w:r>
      <w:r w:rsidRPr="003B3FDD">
        <w:rPr>
          <w:rFonts w:ascii="Times New Roman" w:hAnsi="Times New Roman" w:cs="Times New Roman"/>
          <w:sz w:val="24"/>
          <w:szCs w:val="24"/>
        </w:rPr>
        <w:t xml:space="preserve"> person</w:t>
      </w:r>
      <w:r w:rsidR="0095352B">
        <w:rPr>
          <w:rFonts w:ascii="Times New Roman" w:hAnsi="Times New Roman" w:cs="Times New Roman"/>
          <w:sz w:val="24"/>
          <w:szCs w:val="24"/>
        </w:rPr>
        <w:t>s</w:t>
      </w:r>
      <w:r w:rsidRPr="003B3FDD">
        <w:rPr>
          <w:rFonts w:ascii="Times New Roman" w:hAnsi="Times New Roman" w:cs="Times New Roman"/>
          <w:sz w:val="24"/>
          <w:szCs w:val="24"/>
        </w:rPr>
        <w:t xml:space="preserve"> who </w:t>
      </w:r>
      <w:r w:rsidR="0095352B">
        <w:rPr>
          <w:rFonts w:ascii="Times New Roman" w:hAnsi="Times New Roman" w:cs="Times New Roman"/>
          <w:sz w:val="24"/>
          <w:szCs w:val="24"/>
        </w:rPr>
        <w:t xml:space="preserve">are citizens or </w:t>
      </w:r>
      <w:proofErr w:type="spellStart"/>
      <w:r w:rsidR="0095352B">
        <w:rPr>
          <w:rFonts w:ascii="Times New Roman" w:hAnsi="Times New Roman" w:cs="Times New Roman"/>
          <w:sz w:val="24"/>
          <w:szCs w:val="24"/>
        </w:rPr>
        <w:t>domiciliaries</w:t>
      </w:r>
      <w:proofErr w:type="spellEnd"/>
      <w:r w:rsidR="0095352B">
        <w:rPr>
          <w:rFonts w:ascii="Times New Roman" w:hAnsi="Times New Roman" w:cs="Times New Roman"/>
          <w:sz w:val="24"/>
          <w:szCs w:val="24"/>
        </w:rPr>
        <w:t xml:space="preserve"> of the United States</w:t>
      </w:r>
      <w:r w:rsidR="00380E65">
        <w:rPr>
          <w:rFonts w:ascii="Times New Roman" w:hAnsi="Times New Roman" w:cs="Times New Roman"/>
          <w:sz w:val="24"/>
          <w:szCs w:val="24"/>
        </w:rPr>
        <w:t xml:space="preserve">.  “Eligible person” is defined in new subsection </w:t>
      </w:r>
      <w:r w:rsidR="006244B1">
        <w:rPr>
          <w:rFonts w:ascii="Times New Roman" w:hAnsi="Times New Roman" w:cs="Times New Roman"/>
          <w:sz w:val="24"/>
          <w:szCs w:val="24"/>
        </w:rPr>
        <w:t>(e)(3</w:t>
      </w:r>
      <w:r w:rsidR="00380E65">
        <w:rPr>
          <w:rFonts w:ascii="Times New Roman" w:hAnsi="Times New Roman" w:cs="Times New Roman"/>
          <w:sz w:val="24"/>
          <w:szCs w:val="24"/>
        </w:rPr>
        <w:t xml:space="preserve">), which refers to persons </w:t>
      </w:r>
      <w:r w:rsidRPr="003B3FDD">
        <w:rPr>
          <w:rFonts w:ascii="Times New Roman" w:hAnsi="Times New Roman" w:cs="Times New Roman"/>
          <w:sz w:val="24"/>
          <w:szCs w:val="24"/>
        </w:rPr>
        <w:t xml:space="preserve">who </w:t>
      </w:r>
      <w:r w:rsidR="006244B1">
        <w:rPr>
          <w:rFonts w:ascii="Times New Roman" w:hAnsi="Times New Roman" w:cs="Times New Roman"/>
          <w:sz w:val="24"/>
          <w:szCs w:val="24"/>
        </w:rPr>
        <w:t xml:space="preserve">are certified as having the </w:t>
      </w:r>
      <w:r w:rsidRPr="003B3FDD">
        <w:rPr>
          <w:rFonts w:ascii="Times New Roman" w:hAnsi="Times New Roman" w:cs="Times New Roman"/>
          <w:sz w:val="24"/>
          <w:szCs w:val="24"/>
        </w:rPr>
        <w:t xml:space="preserve">disabilities set forth in </w:t>
      </w:r>
      <w:r w:rsidR="00380E65">
        <w:rPr>
          <w:rFonts w:ascii="Times New Roman" w:hAnsi="Times New Roman" w:cs="Times New Roman"/>
          <w:sz w:val="24"/>
          <w:szCs w:val="24"/>
        </w:rPr>
        <w:t xml:space="preserve">the </w:t>
      </w:r>
      <w:r w:rsidRPr="003B3FDD">
        <w:rPr>
          <w:rFonts w:ascii="Times New Roman" w:hAnsi="Times New Roman" w:cs="Times New Roman"/>
          <w:sz w:val="24"/>
          <w:szCs w:val="24"/>
        </w:rPr>
        <w:t xml:space="preserve">regulations </w:t>
      </w:r>
      <w:r w:rsidR="006244B1">
        <w:rPr>
          <w:rFonts w:ascii="Times New Roman" w:hAnsi="Times New Roman" w:cs="Times New Roman"/>
          <w:sz w:val="24"/>
          <w:szCs w:val="24"/>
        </w:rPr>
        <w:t xml:space="preserve">referred to </w:t>
      </w:r>
      <w:r w:rsidR="00380E65">
        <w:rPr>
          <w:rFonts w:ascii="Times New Roman" w:hAnsi="Times New Roman" w:cs="Times New Roman"/>
          <w:sz w:val="24"/>
          <w:szCs w:val="24"/>
        </w:rPr>
        <w:t xml:space="preserve">above </w:t>
      </w:r>
      <w:r w:rsidRPr="003B3FDD">
        <w:rPr>
          <w:rFonts w:ascii="Times New Roman" w:hAnsi="Times New Roman" w:cs="Times New Roman"/>
          <w:sz w:val="24"/>
          <w:szCs w:val="24"/>
        </w:rPr>
        <w:t xml:space="preserve">prescribed by the Librarian of Congress. </w:t>
      </w:r>
      <w:r w:rsidR="00CF0694" w:rsidRPr="003B3FDD">
        <w:rPr>
          <w:rFonts w:ascii="Times New Roman" w:hAnsi="Times New Roman" w:cs="Times New Roman"/>
          <w:sz w:val="24"/>
          <w:szCs w:val="24"/>
        </w:rPr>
        <w:t xml:space="preserve"> </w:t>
      </w:r>
      <w:r w:rsidR="00813235" w:rsidRPr="00813235">
        <w:rPr>
          <w:rFonts w:ascii="Times New Roman" w:hAnsi="Times New Roman" w:cs="Times New Roman"/>
          <w:sz w:val="24"/>
          <w:szCs w:val="24"/>
        </w:rPr>
        <w:t xml:space="preserve">Because U.S. citizens </w:t>
      </w:r>
      <w:r w:rsidR="0035548E" w:rsidRPr="00813235">
        <w:rPr>
          <w:rFonts w:ascii="Times New Roman" w:hAnsi="Times New Roman" w:cs="Times New Roman"/>
          <w:sz w:val="24"/>
          <w:szCs w:val="24"/>
        </w:rPr>
        <w:t xml:space="preserve">and </w:t>
      </w:r>
      <w:proofErr w:type="spellStart"/>
      <w:r w:rsidR="00ED16F8">
        <w:rPr>
          <w:rFonts w:ascii="Times New Roman" w:hAnsi="Times New Roman" w:cs="Times New Roman"/>
          <w:sz w:val="24"/>
          <w:szCs w:val="24"/>
        </w:rPr>
        <w:t>domiciliaries</w:t>
      </w:r>
      <w:proofErr w:type="spellEnd"/>
      <w:r w:rsidR="0035548E" w:rsidRPr="00813235" w:rsidDel="0035548E">
        <w:rPr>
          <w:rFonts w:ascii="Times New Roman" w:hAnsi="Times New Roman" w:cs="Times New Roman"/>
          <w:sz w:val="24"/>
          <w:szCs w:val="24"/>
        </w:rPr>
        <w:t xml:space="preserve"> </w:t>
      </w:r>
      <w:r w:rsidR="00813235" w:rsidRPr="00813235">
        <w:rPr>
          <w:rFonts w:ascii="Times New Roman" w:hAnsi="Times New Roman" w:cs="Times New Roman"/>
          <w:sz w:val="24"/>
          <w:szCs w:val="24"/>
        </w:rPr>
        <w:t>who</w:t>
      </w:r>
      <w:r w:rsidR="00DA3427">
        <w:rPr>
          <w:rFonts w:ascii="Times New Roman" w:hAnsi="Times New Roman" w:cs="Times New Roman"/>
          <w:sz w:val="24"/>
          <w:szCs w:val="24"/>
        </w:rPr>
        <w:t xml:space="preserve"> are </w:t>
      </w:r>
      <w:r w:rsidR="00813235" w:rsidRPr="00813235">
        <w:rPr>
          <w:rFonts w:ascii="Times New Roman" w:hAnsi="Times New Roman" w:cs="Times New Roman"/>
          <w:sz w:val="24"/>
          <w:szCs w:val="24"/>
        </w:rPr>
        <w:t>abroad should not be deprived of the benef</w:t>
      </w:r>
      <w:r w:rsidR="00813235">
        <w:rPr>
          <w:rFonts w:ascii="Times New Roman" w:hAnsi="Times New Roman" w:cs="Times New Roman"/>
          <w:sz w:val="24"/>
          <w:szCs w:val="24"/>
        </w:rPr>
        <w:t>i</w:t>
      </w:r>
      <w:r w:rsidR="00813235" w:rsidRPr="00813235">
        <w:rPr>
          <w:rFonts w:ascii="Times New Roman" w:hAnsi="Times New Roman" w:cs="Times New Roman"/>
          <w:sz w:val="24"/>
          <w:szCs w:val="24"/>
        </w:rPr>
        <w:t>ts of section 121</w:t>
      </w:r>
      <w:r w:rsidR="00813235">
        <w:rPr>
          <w:rFonts w:ascii="Times New Roman" w:hAnsi="Times New Roman" w:cs="Times New Roman"/>
          <w:sz w:val="24"/>
          <w:szCs w:val="24"/>
        </w:rPr>
        <w:t xml:space="preserve">, </w:t>
      </w:r>
      <w:r w:rsidR="00813235" w:rsidRPr="00813235">
        <w:rPr>
          <w:rFonts w:ascii="Times New Roman" w:hAnsi="Times New Roman" w:cs="Times New Roman"/>
          <w:sz w:val="24"/>
          <w:szCs w:val="24"/>
        </w:rPr>
        <w:t>t</w:t>
      </w:r>
      <w:r w:rsidR="00FC0C68" w:rsidRPr="003B3FDD">
        <w:rPr>
          <w:rFonts w:ascii="Times New Roman" w:hAnsi="Times New Roman" w:cs="Times New Roman"/>
          <w:sz w:val="24"/>
          <w:szCs w:val="24"/>
        </w:rPr>
        <w:t xml:space="preserve">he bill </w:t>
      </w:r>
      <w:r w:rsidR="00380E65">
        <w:rPr>
          <w:rFonts w:ascii="Times New Roman" w:hAnsi="Times New Roman" w:cs="Times New Roman"/>
          <w:sz w:val="24"/>
          <w:szCs w:val="24"/>
        </w:rPr>
        <w:t xml:space="preserve">also </w:t>
      </w:r>
      <w:r w:rsidR="00FC0C68" w:rsidRPr="003B3FDD">
        <w:rPr>
          <w:rFonts w:ascii="Times New Roman" w:hAnsi="Times New Roman" w:cs="Times New Roman"/>
          <w:sz w:val="24"/>
          <w:szCs w:val="24"/>
        </w:rPr>
        <w:t xml:space="preserve">makes clear that exports to an eligible person who is a citizen or </w:t>
      </w:r>
      <w:r w:rsidR="00B54A6F">
        <w:rPr>
          <w:rFonts w:ascii="Times New Roman" w:hAnsi="Times New Roman" w:cs="Times New Roman"/>
          <w:sz w:val="24"/>
          <w:szCs w:val="24"/>
        </w:rPr>
        <w:t>domicil</w:t>
      </w:r>
      <w:r w:rsidR="00902E6D">
        <w:rPr>
          <w:rFonts w:ascii="Times New Roman" w:hAnsi="Times New Roman" w:cs="Times New Roman"/>
          <w:sz w:val="24"/>
          <w:szCs w:val="24"/>
        </w:rPr>
        <w:t>i</w:t>
      </w:r>
      <w:r w:rsidR="00B54A6F">
        <w:rPr>
          <w:rFonts w:ascii="Times New Roman" w:hAnsi="Times New Roman" w:cs="Times New Roman"/>
          <w:sz w:val="24"/>
          <w:szCs w:val="24"/>
        </w:rPr>
        <w:t xml:space="preserve">ary </w:t>
      </w:r>
      <w:r w:rsidR="00FC0C68" w:rsidRPr="003B3FDD">
        <w:rPr>
          <w:rFonts w:ascii="Times New Roman" w:hAnsi="Times New Roman" w:cs="Times New Roman"/>
          <w:sz w:val="24"/>
          <w:szCs w:val="24"/>
        </w:rPr>
        <w:t xml:space="preserve">of the United States are permitted.  </w:t>
      </w:r>
      <w:r w:rsidR="006244B1" w:rsidRPr="00813235">
        <w:rPr>
          <w:rFonts w:ascii="Times New Roman" w:hAnsi="Times New Roman" w:cs="Times New Roman"/>
          <w:sz w:val="24"/>
          <w:szCs w:val="24"/>
        </w:rPr>
        <w:t>E</w:t>
      </w:r>
      <w:r w:rsidRPr="00813235">
        <w:rPr>
          <w:rFonts w:ascii="Times New Roman" w:hAnsi="Times New Roman" w:cs="Times New Roman"/>
          <w:sz w:val="24"/>
          <w:szCs w:val="24"/>
        </w:rPr>
        <w:t xml:space="preserve">xports </w:t>
      </w:r>
      <w:r w:rsidR="00380E65" w:rsidRPr="00813235">
        <w:rPr>
          <w:rFonts w:ascii="Times New Roman" w:hAnsi="Times New Roman" w:cs="Times New Roman"/>
          <w:sz w:val="24"/>
          <w:szCs w:val="24"/>
        </w:rPr>
        <w:t xml:space="preserve">under subsection (c) </w:t>
      </w:r>
      <w:r w:rsidRPr="00813235">
        <w:rPr>
          <w:rFonts w:ascii="Times New Roman" w:hAnsi="Times New Roman" w:cs="Times New Roman"/>
          <w:sz w:val="24"/>
          <w:szCs w:val="24"/>
        </w:rPr>
        <w:t xml:space="preserve">are </w:t>
      </w:r>
      <w:r w:rsidRPr="003B3FDD">
        <w:rPr>
          <w:rFonts w:ascii="Times New Roman" w:hAnsi="Times New Roman" w:cs="Times New Roman"/>
          <w:sz w:val="24"/>
          <w:szCs w:val="24"/>
        </w:rPr>
        <w:t xml:space="preserve">subject to a proviso that prior to the export, the exporting authorized entity did not know or have </w:t>
      </w:r>
      <w:r w:rsidRPr="003B3FDD">
        <w:rPr>
          <w:rFonts w:ascii="Times New Roman" w:hAnsi="Times New Roman" w:cs="Times New Roman"/>
          <w:sz w:val="24"/>
          <w:szCs w:val="24"/>
        </w:rPr>
        <w:lastRenderedPageBreak/>
        <w:t>reas</w:t>
      </w:r>
      <w:r w:rsidR="00D22432">
        <w:rPr>
          <w:rFonts w:ascii="Times New Roman" w:hAnsi="Times New Roman" w:cs="Times New Roman"/>
          <w:sz w:val="24"/>
          <w:szCs w:val="24"/>
        </w:rPr>
        <w:t xml:space="preserve">onable grounds to know that the </w:t>
      </w:r>
      <w:r w:rsidRPr="003B3FDD">
        <w:rPr>
          <w:rFonts w:ascii="Times New Roman" w:hAnsi="Times New Roman" w:cs="Times New Roman"/>
          <w:sz w:val="24"/>
          <w:szCs w:val="24"/>
        </w:rPr>
        <w:t xml:space="preserve">copies or </w:t>
      </w:r>
      <w:proofErr w:type="spellStart"/>
      <w:r w:rsidRPr="003B3FDD">
        <w:rPr>
          <w:rFonts w:ascii="Times New Roman" w:hAnsi="Times New Roman" w:cs="Times New Roman"/>
          <w:sz w:val="24"/>
          <w:szCs w:val="24"/>
        </w:rPr>
        <w:t>phonorecords</w:t>
      </w:r>
      <w:proofErr w:type="spellEnd"/>
      <w:r w:rsidRPr="003B3FDD">
        <w:rPr>
          <w:rFonts w:ascii="Times New Roman" w:hAnsi="Times New Roman" w:cs="Times New Roman"/>
          <w:sz w:val="24"/>
          <w:szCs w:val="24"/>
        </w:rPr>
        <w:t xml:space="preserve"> of works in specialized formats would be used for other than blind or other per</w:t>
      </w:r>
      <w:r w:rsidR="00FD7219" w:rsidRPr="003B3FDD">
        <w:rPr>
          <w:rFonts w:ascii="Times New Roman" w:hAnsi="Times New Roman" w:cs="Times New Roman"/>
          <w:sz w:val="24"/>
          <w:szCs w:val="24"/>
        </w:rPr>
        <w:t xml:space="preserve">sons with disabilities. </w:t>
      </w:r>
      <w:r w:rsidR="00893305">
        <w:rPr>
          <w:rFonts w:ascii="Times New Roman" w:hAnsi="Times New Roman" w:cs="Times New Roman"/>
          <w:sz w:val="24"/>
          <w:szCs w:val="24"/>
        </w:rPr>
        <w:t>In order to clarify that copies in specialized formats may be made for use by “eligible persons” who are abroad, the bill also amends subsection (a) expressly to permit the making of copies for such use.</w:t>
      </w:r>
    </w:p>
    <w:p w14:paraId="184C3302" w14:textId="77777777" w:rsidR="002A6260" w:rsidRPr="003B3FDD" w:rsidRDefault="002A6260" w:rsidP="002A6260">
      <w:pPr>
        <w:rPr>
          <w:rFonts w:ascii="Times New Roman" w:hAnsi="Times New Roman" w:cs="Times New Roman"/>
          <w:sz w:val="24"/>
          <w:szCs w:val="24"/>
        </w:rPr>
      </w:pPr>
    </w:p>
    <w:p w14:paraId="3EEF8B92" w14:textId="442F74A0" w:rsidR="00DE01B3" w:rsidRPr="00EF2856" w:rsidRDefault="002A6260" w:rsidP="00EF2856">
      <w:pPr>
        <w:pStyle w:val="CommentText"/>
        <w:spacing w:after="240"/>
        <w:rPr>
          <w:sz w:val="24"/>
          <w:szCs w:val="24"/>
        </w:rPr>
      </w:pPr>
      <w:r w:rsidRPr="003B3FDD">
        <w:rPr>
          <w:sz w:val="24"/>
          <w:szCs w:val="24"/>
        </w:rPr>
        <w:t xml:space="preserve">To avoid any unintended implications, </w:t>
      </w:r>
      <w:r w:rsidR="0035548E">
        <w:rPr>
          <w:sz w:val="24"/>
          <w:szCs w:val="24"/>
        </w:rPr>
        <w:t xml:space="preserve">it is recommended that </w:t>
      </w:r>
      <w:r w:rsidRPr="003B3FDD">
        <w:rPr>
          <w:sz w:val="24"/>
          <w:szCs w:val="24"/>
        </w:rPr>
        <w:t xml:space="preserve">the legislative history accompanying the bill include a statement </w:t>
      </w:r>
      <w:r w:rsidR="009B6202">
        <w:rPr>
          <w:sz w:val="24"/>
          <w:szCs w:val="24"/>
        </w:rPr>
        <w:t xml:space="preserve">to make clear </w:t>
      </w:r>
      <w:r w:rsidRPr="003B3FDD">
        <w:rPr>
          <w:sz w:val="24"/>
          <w:szCs w:val="24"/>
        </w:rPr>
        <w:t>that nothing in this section affects the ability to engage in fair use under section 107, and that these amendments do not prevent the application of existing law to the extent that it may otherwise authorize any exports of accessible format copies.</w:t>
      </w:r>
    </w:p>
    <w:p w14:paraId="06CA4618" w14:textId="77777777" w:rsidR="004C4E69" w:rsidRPr="003B3FDD" w:rsidRDefault="004C4E69" w:rsidP="00EF2856">
      <w:pPr>
        <w:pStyle w:val="Heading3"/>
        <w:spacing w:after="240"/>
      </w:pPr>
      <w:r w:rsidRPr="003B3FDD">
        <w:t xml:space="preserve">SECTION </w:t>
      </w:r>
      <w:r w:rsidR="00E67939">
        <w:t>3</w:t>
      </w:r>
      <w:r w:rsidRPr="003B3FDD">
        <w:t>.  EFFECTIVE DATE.</w:t>
      </w:r>
    </w:p>
    <w:p w14:paraId="420B87B6" w14:textId="0D462AD8" w:rsidR="0035548E" w:rsidRPr="003B3FDD" w:rsidRDefault="0035548E" w:rsidP="0035548E">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date of section </w:t>
      </w:r>
      <w:r w:rsidR="00E67939">
        <w:rPr>
          <w:rFonts w:ascii="Times New Roman" w:eastAsia="Times New Roman" w:hAnsi="Times New Roman" w:cs="Times New Roman"/>
          <w:sz w:val="24"/>
          <w:szCs w:val="24"/>
        </w:rPr>
        <w:t>2</w:t>
      </w:r>
      <w:r w:rsidR="0080509B">
        <w:rPr>
          <w:rFonts w:ascii="Times New Roman" w:eastAsia="Times New Roman" w:hAnsi="Times New Roman" w:cs="Times New Roman"/>
          <w:sz w:val="24"/>
          <w:szCs w:val="24"/>
        </w:rPr>
        <w:t xml:space="preserve"> of</w:t>
      </w:r>
      <w:r w:rsidRPr="0005515E">
        <w:rPr>
          <w:rFonts w:ascii="Times New Roman" w:eastAsia="Times New Roman" w:hAnsi="Times New Roman" w:cs="Times New Roman"/>
          <w:sz w:val="24"/>
          <w:szCs w:val="24"/>
        </w:rPr>
        <w:t xml:space="preserve"> the Act will be the date on which the </w:t>
      </w:r>
      <w:r>
        <w:rPr>
          <w:rFonts w:ascii="Times New Roman" w:eastAsia="Times New Roman" w:hAnsi="Times New Roman" w:cs="Times New Roman"/>
          <w:sz w:val="24"/>
          <w:szCs w:val="24"/>
        </w:rPr>
        <w:t>Marrakesh Treaty</w:t>
      </w:r>
      <w:r w:rsidRPr="0005515E">
        <w:rPr>
          <w:rFonts w:ascii="Times New Roman" w:eastAsia="Times New Roman" w:hAnsi="Times New Roman" w:cs="Times New Roman"/>
          <w:sz w:val="24"/>
          <w:szCs w:val="24"/>
        </w:rPr>
        <w:t xml:space="preserve"> enters into force with respect to the United States.</w:t>
      </w:r>
    </w:p>
    <w:p w14:paraId="4F62360C" w14:textId="77777777" w:rsidR="0035548E" w:rsidRPr="003B3FDD" w:rsidRDefault="0035548E" w:rsidP="0035548E">
      <w:pPr>
        <w:widowControl/>
        <w:rPr>
          <w:rFonts w:ascii="Times New Roman" w:eastAsia="Times New Roman" w:hAnsi="Times New Roman" w:cs="Times New Roman"/>
          <w:sz w:val="24"/>
          <w:szCs w:val="24"/>
        </w:rPr>
      </w:pPr>
    </w:p>
    <w:p w14:paraId="05C0378A" w14:textId="6835F436" w:rsidR="00DC012E" w:rsidRPr="00080A8C" w:rsidRDefault="00DC012E" w:rsidP="001A4109">
      <w:pPr>
        <w:rPr>
          <w:rFonts w:ascii="Times New Roman" w:hAnsi="Times New Roman" w:cs="Times New Roman"/>
          <w:sz w:val="20"/>
          <w:szCs w:val="20"/>
        </w:rPr>
      </w:pPr>
    </w:p>
    <w:sectPr w:rsidR="00DC012E" w:rsidRPr="00080A8C" w:rsidSect="007C76FD">
      <w:footerReference w:type="default" r:id="rId9"/>
      <w:pgSz w:w="12240" w:h="15840"/>
      <w:pgMar w:top="1400" w:right="1720" w:bottom="920" w:left="1700" w:header="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518AA" w14:textId="77777777" w:rsidR="00F32BB9" w:rsidRDefault="00F32BB9">
      <w:r>
        <w:separator/>
      </w:r>
    </w:p>
  </w:endnote>
  <w:endnote w:type="continuationSeparator" w:id="0">
    <w:p w14:paraId="7C7AB702" w14:textId="77777777" w:rsidR="00F32BB9" w:rsidRDefault="00F3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43780715"/>
      <w:docPartObj>
        <w:docPartGallery w:val="Page Numbers (Bottom of Page)"/>
        <w:docPartUnique/>
      </w:docPartObj>
    </w:sdtPr>
    <w:sdtEndPr>
      <w:rPr>
        <w:noProof/>
      </w:rPr>
    </w:sdtEndPr>
    <w:sdtContent>
      <w:p w14:paraId="7CCF44AC" w14:textId="77777777" w:rsidR="00AC4AB6" w:rsidRPr="001513D4" w:rsidRDefault="00AC4AB6">
        <w:pPr>
          <w:pStyle w:val="Footer"/>
          <w:jc w:val="center"/>
          <w:rPr>
            <w:rFonts w:ascii="Times New Roman" w:hAnsi="Times New Roman" w:cs="Times New Roman"/>
          </w:rPr>
        </w:pPr>
        <w:r w:rsidRPr="001513D4">
          <w:rPr>
            <w:rFonts w:ascii="Times New Roman" w:hAnsi="Times New Roman" w:cs="Times New Roman"/>
          </w:rPr>
          <w:fldChar w:fldCharType="begin"/>
        </w:r>
        <w:r w:rsidRPr="001513D4">
          <w:rPr>
            <w:rFonts w:ascii="Times New Roman" w:hAnsi="Times New Roman" w:cs="Times New Roman"/>
          </w:rPr>
          <w:instrText xml:space="preserve"> PAGE   \* MERGEFORMAT </w:instrText>
        </w:r>
        <w:r w:rsidRPr="001513D4">
          <w:rPr>
            <w:rFonts w:ascii="Times New Roman" w:hAnsi="Times New Roman" w:cs="Times New Roman"/>
          </w:rPr>
          <w:fldChar w:fldCharType="separate"/>
        </w:r>
        <w:r w:rsidR="0097065B">
          <w:rPr>
            <w:rFonts w:ascii="Times New Roman" w:hAnsi="Times New Roman" w:cs="Times New Roman"/>
            <w:noProof/>
          </w:rPr>
          <w:t>2</w:t>
        </w:r>
        <w:r w:rsidRPr="001513D4">
          <w:rPr>
            <w:rFonts w:ascii="Times New Roman" w:hAnsi="Times New Roman" w:cs="Times New Roman"/>
            <w:noProof/>
          </w:rPr>
          <w:fldChar w:fldCharType="end"/>
        </w:r>
      </w:p>
    </w:sdtContent>
  </w:sdt>
  <w:p w14:paraId="368A681B" w14:textId="77777777" w:rsidR="00AC4AB6" w:rsidRDefault="00AC4AB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95189" w14:textId="77777777" w:rsidR="00F32BB9" w:rsidRDefault="00F32BB9">
      <w:r>
        <w:separator/>
      </w:r>
    </w:p>
  </w:footnote>
  <w:footnote w:type="continuationSeparator" w:id="0">
    <w:p w14:paraId="4D21E2EE" w14:textId="77777777" w:rsidR="00F32BB9" w:rsidRDefault="00F32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2B6"/>
      </v:shape>
    </w:pict>
  </w:numPicBullet>
  <w:abstractNum w:abstractNumId="0" w15:restartNumberingAfterBreak="0">
    <w:nsid w:val="028A1961"/>
    <w:multiLevelType w:val="hybridMultilevel"/>
    <w:tmpl w:val="DFE87708"/>
    <w:lvl w:ilvl="0" w:tplc="6D2CC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1C47"/>
    <w:multiLevelType w:val="hybridMultilevel"/>
    <w:tmpl w:val="EEDE6D66"/>
    <w:lvl w:ilvl="0" w:tplc="290AD03A">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811"/>
    <w:multiLevelType w:val="hybridMultilevel"/>
    <w:tmpl w:val="383A73C8"/>
    <w:lvl w:ilvl="0" w:tplc="4D60E1B4">
      <w:start w:val="1"/>
      <w:numFmt w:val="decimal"/>
      <w:lvlText w:val="(%1)"/>
      <w:lvlJc w:val="left"/>
      <w:pPr>
        <w:ind w:left="100" w:hanging="341"/>
      </w:pPr>
      <w:rPr>
        <w:rFonts w:ascii="Times New Roman" w:eastAsia="Times New Roman" w:hAnsi="Times New Roman" w:hint="default"/>
        <w:sz w:val="24"/>
        <w:szCs w:val="24"/>
      </w:rPr>
    </w:lvl>
    <w:lvl w:ilvl="1" w:tplc="6B9826D8">
      <w:start w:val="1"/>
      <w:numFmt w:val="bullet"/>
      <w:lvlText w:val="•"/>
      <w:lvlJc w:val="left"/>
      <w:pPr>
        <w:ind w:left="974" w:hanging="341"/>
      </w:pPr>
      <w:rPr>
        <w:rFonts w:hint="default"/>
      </w:rPr>
    </w:lvl>
    <w:lvl w:ilvl="2" w:tplc="7CF8CC0E">
      <w:start w:val="1"/>
      <w:numFmt w:val="bullet"/>
      <w:lvlText w:val="•"/>
      <w:lvlJc w:val="left"/>
      <w:pPr>
        <w:ind w:left="1848" w:hanging="341"/>
      </w:pPr>
      <w:rPr>
        <w:rFonts w:hint="default"/>
      </w:rPr>
    </w:lvl>
    <w:lvl w:ilvl="3" w:tplc="D9E6EECE">
      <w:start w:val="1"/>
      <w:numFmt w:val="bullet"/>
      <w:lvlText w:val="•"/>
      <w:lvlJc w:val="left"/>
      <w:pPr>
        <w:ind w:left="2722" w:hanging="341"/>
      </w:pPr>
      <w:rPr>
        <w:rFonts w:hint="default"/>
      </w:rPr>
    </w:lvl>
    <w:lvl w:ilvl="4" w:tplc="D5C2F482">
      <w:start w:val="1"/>
      <w:numFmt w:val="bullet"/>
      <w:lvlText w:val="•"/>
      <w:lvlJc w:val="left"/>
      <w:pPr>
        <w:ind w:left="3596" w:hanging="341"/>
      </w:pPr>
      <w:rPr>
        <w:rFonts w:hint="default"/>
      </w:rPr>
    </w:lvl>
    <w:lvl w:ilvl="5" w:tplc="CDCC84E0">
      <w:start w:val="1"/>
      <w:numFmt w:val="bullet"/>
      <w:lvlText w:val="•"/>
      <w:lvlJc w:val="left"/>
      <w:pPr>
        <w:ind w:left="4470" w:hanging="341"/>
      </w:pPr>
      <w:rPr>
        <w:rFonts w:hint="default"/>
      </w:rPr>
    </w:lvl>
    <w:lvl w:ilvl="6" w:tplc="F47CE110">
      <w:start w:val="1"/>
      <w:numFmt w:val="bullet"/>
      <w:lvlText w:val="•"/>
      <w:lvlJc w:val="left"/>
      <w:pPr>
        <w:ind w:left="5344" w:hanging="341"/>
      </w:pPr>
      <w:rPr>
        <w:rFonts w:hint="default"/>
      </w:rPr>
    </w:lvl>
    <w:lvl w:ilvl="7" w:tplc="AC56CEC8">
      <w:start w:val="1"/>
      <w:numFmt w:val="bullet"/>
      <w:lvlText w:val="•"/>
      <w:lvlJc w:val="left"/>
      <w:pPr>
        <w:ind w:left="6218" w:hanging="341"/>
      </w:pPr>
      <w:rPr>
        <w:rFonts w:hint="default"/>
      </w:rPr>
    </w:lvl>
    <w:lvl w:ilvl="8" w:tplc="6FA0A512">
      <w:start w:val="1"/>
      <w:numFmt w:val="bullet"/>
      <w:lvlText w:val="•"/>
      <w:lvlJc w:val="left"/>
      <w:pPr>
        <w:ind w:left="7092" w:hanging="341"/>
      </w:pPr>
      <w:rPr>
        <w:rFonts w:hint="default"/>
      </w:rPr>
    </w:lvl>
  </w:abstractNum>
  <w:abstractNum w:abstractNumId="3" w15:restartNumberingAfterBreak="0">
    <w:nsid w:val="07B13646"/>
    <w:multiLevelType w:val="hybridMultilevel"/>
    <w:tmpl w:val="95486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052FC"/>
    <w:multiLevelType w:val="hybridMultilevel"/>
    <w:tmpl w:val="BFF8418A"/>
    <w:lvl w:ilvl="0" w:tplc="4D40E946">
      <w:start w:val="2"/>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73F32"/>
    <w:multiLevelType w:val="hybridMultilevel"/>
    <w:tmpl w:val="44E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F7B63"/>
    <w:multiLevelType w:val="hybridMultilevel"/>
    <w:tmpl w:val="74D45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E2FE9"/>
    <w:multiLevelType w:val="hybridMultilevel"/>
    <w:tmpl w:val="E25C625C"/>
    <w:lvl w:ilvl="0" w:tplc="4A38B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537BB"/>
    <w:multiLevelType w:val="hybridMultilevel"/>
    <w:tmpl w:val="E384057A"/>
    <w:lvl w:ilvl="0" w:tplc="48BA9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07DF0"/>
    <w:multiLevelType w:val="hybridMultilevel"/>
    <w:tmpl w:val="6400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4B62"/>
    <w:multiLevelType w:val="hybridMultilevel"/>
    <w:tmpl w:val="6E7CE298"/>
    <w:lvl w:ilvl="0" w:tplc="927413EE">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2441"/>
    <w:multiLevelType w:val="hybridMultilevel"/>
    <w:tmpl w:val="ED38FEB0"/>
    <w:lvl w:ilvl="0" w:tplc="4F80617A">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A478A"/>
    <w:multiLevelType w:val="hybridMultilevel"/>
    <w:tmpl w:val="60CAB7E0"/>
    <w:lvl w:ilvl="0" w:tplc="71BCC1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0E717E"/>
    <w:multiLevelType w:val="hybridMultilevel"/>
    <w:tmpl w:val="6CF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47334"/>
    <w:multiLevelType w:val="hybridMultilevel"/>
    <w:tmpl w:val="999C7A2E"/>
    <w:lvl w:ilvl="0" w:tplc="635E9AF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AD21E67"/>
    <w:multiLevelType w:val="hybridMultilevel"/>
    <w:tmpl w:val="CEF2CC8C"/>
    <w:lvl w:ilvl="0" w:tplc="290AD03A">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2A12DF9"/>
    <w:multiLevelType w:val="hybridMultilevel"/>
    <w:tmpl w:val="D980B2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7A52"/>
    <w:multiLevelType w:val="hybridMultilevel"/>
    <w:tmpl w:val="C25C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41F7B"/>
    <w:multiLevelType w:val="hybridMultilevel"/>
    <w:tmpl w:val="CC7E8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74DFB"/>
    <w:multiLevelType w:val="hybridMultilevel"/>
    <w:tmpl w:val="B4CA5536"/>
    <w:lvl w:ilvl="0" w:tplc="4C9A35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020428"/>
    <w:multiLevelType w:val="hybridMultilevel"/>
    <w:tmpl w:val="C25CE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87BD0"/>
    <w:multiLevelType w:val="hybridMultilevel"/>
    <w:tmpl w:val="E4DA2C30"/>
    <w:lvl w:ilvl="0" w:tplc="8A3209D4">
      <w:start w:val="1"/>
      <w:numFmt w:val="decimal"/>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0"/>
  </w:num>
  <w:num w:numId="3">
    <w:abstractNumId w:val="19"/>
  </w:num>
  <w:num w:numId="4">
    <w:abstractNumId w:val="10"/>
  </w:num>
  <w:num w:numId="5">
    <w:abstractNumId w:val="0"/>
  </w:num>
  <w:num w:numId="6">
    <w:abstractNumId w:val="7"/>
  </w:num>
  <w:num w:numId="7">
    <w:abstractNumId w:val="17"/>
  </w:num>
  <w:num w:numId="8">
    <w:abstractNumId w:val="12"/>
  </w:num>
  <w:num w:numId="9">
    <w:abstractNumId w:val="9"/>
  </w:num>
  <w:num w:numId="10">
    <w:abstractNumId w:val="6"/>
  </w:num>
  <w:num w:numId="11">
    <w:abstractNumId w:val="8"/>
  </w:num>
  <w:num w:numId="12">
    <w:abstractNumId w:val="4"/>
  </w:num>
  <w:num w:numId="13">
    <w:abstractNumId w:val="3"/>
  </w:num>
  <w:num w:numId="14">
    <w:abstractNumId w:val="15"/>
  </w:num>
  <w:num w:numId="15">
    <w:abstractNumId w:val="1"/>
  </w:num>
  <w:num w:numId="16">
    <w:abstractNumId w:val="1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86"/>
    <w:rsid w:val="00001F0C"/>
    <w:rsid w:val="000040C5"/>
    <w:rsid w:val="00005193"/>
    <w:rsid w:val="000123AC"/>
    <w:rsid w:val="0001579E"/>
    <w:rsid w:val="00015992"/>
    <w:rsid w:val="00022AF5"/>
    <w:rsid w:val="00022E38"/>
    <w:rsid w:val="00027CA1"/>
    <w:rsid w:val="0003119A"/>
    <w:rsid w:val="00031F4F"/>
    <w:rsid w:val="000331C8"/>
    <w:rsid w:val="00033B62"/>
    <w:rsid w:val="0004039A"/>
    <w:rsid w:val="0004397B"/>
    <w:rsid w:val="000504EE"/>
    <w:rsid w:val="00052C58"/>
    <w:rsid w:val="0006004A"/>
    <w:rsid w:val="00064885"/>
    <w:rsid w:val="00066AC4"/>
    <w:rsid w:val="00067342"/>
    <w:rsid w:val="00067989"/>
    <w:rsid w:val="00067C5A"/>
    <w:rsid w:val="00067FB3"/>
    <w:rsid w:val="00070EC7"/>
    <w:rsid w:val="00074FDF"/>
    <w:rsid w:val="00075878"/>
    <w:rsid w:val="00076014"/>
    <w:rsid w:val="00080A8C"/>
    <w:rsid w:val="00086E25"/>
    <w:rsid w:val="00087009"/>
    <w:rsid w:val="00087A0D"/>
    <w:rsid w:val="000A5F5B"/>
    <w:rsid w:val="000B4F6D"/>
    <w:rsid w:val="000B6241"/>
    <w:rsid w:val="000C2F00"/>
    <w:rsid w:val="000C563B"/>
    <w:rsid w:val="000D0AD9"/>
    <w:rsid w:val="000D13AD"/>
    <w:rsid w:val="000D4C54"/>
    <w:rsid w:val="000D580C"/>
    <w:rsid w:val="000E1CD4"/>
    <w:rsid w:val="000E40C3"/>
    <w:rsid w:val="000E734D"/>
    <w:rsid w:val="000E7651"/>
    <w:rsid w:val="000E7989"/>
    <w:rsid w:val="000F06E8"/>
    <w:rsid w:val="000F51F0"/>
    <w:rsid w:val="00100631"/>
    <w:rsid w:val="00101DFF"/>
    <w:rsid w:val="00103F59"/>
    <w:rsid w:val="00105EEE"/>
    <w:rsid w:val="00112269"/>
    <w:rsid w:val="001145F5"/>
    <w:rsid w:val="00114967"/>
    <w:rsid w:val="001179D3"/>
    <w:rsid w:val="001202BE"/>
    <w:rsid w:val="00121AAA"/>
    <w:rsid w:val="00127FF0"/>
    <w:rsid w:val="0013041E"/>
    <w:rsid w:val="00135FEA"/>
    <w:rsid w:val="00136942"/>
    <w:rsid w:val="001376CE"/>
    <w:rsid w:val="0014450C"/>
    <w:rsid w:val="0014495D"/>
    <w:rsid w:val="001513D4"/>
    <w:rsid w:val="0015721F"/>
    <w:rsid w:val="00162586"/>
    <w:rsid w:val="00171A2C"/>
    <w:rsid w:val="001768D0"/>
    <w:rsid w:val="00186F45"/>
    <w:rsid w:val="001908D3"/>
    <w:rsid w:val="001920FA"/>
    <w:rsid w:val="00193A18"/>
    <w:rsid w:val="00196C87"/>
    <w:rsid w:val="001A2718"/>
    <w:rsid w:val="001A2E19"/>
    <w:rsid w:val="001A4109"/>
    <w:rsid w:val="001B1F00"/>
    <w:rsid w:val="001B3436"/>
    <w:rsid w:val="001C1E89"/>
    <w:rsid w:val="001C39A7"/>
    <w:rsid w:val="001D1E8E"/>
    <w:rsid w:val="001E06FC"/>
    <w:rsid w:val="001E0FF8"/>
    <w:rsid w:val="001E2AF7"/>
    <w:rsid w:val="001E7B27"/>
    <w:rsid w:val="002105BA"/>
    <w:rsid w:val="00211582"/>
    <w:rsid w:val="00217384"/>
    <w:rsid w:val="00217456"/>
    <w:rsid w:val="002213CE"/>
    <w:rsid w:val="002213FA"/>
    <w:rsid w:val="00230C9D"/>
    <w:rsid w:val="00231CA4"/>
    <w:rsid w:val="00241204"/>
    <w:rsid w:val="00274E52"/>
    <w:rsid w:val="002822C8"/>
    <w:rsid w:val="00287CCA"/>
    <w:rsid w:val="00291689"/>
    <w:rsid w:val="00294B44"/>
    <w:rsid w:val="002A47CC"/>
    <w:rsid w:val="002A6260"/>
    <w:rsid w:val="002B2624"/>
    <w:rsid w:val="002C1333"/>
    <w:rsid w:val="002C1537"/>
    <w:rsid w:val="002C6D48"/>
    <w:rsid w:val="002D5EDE"/>
    <w:rsid w:val="002E0907"/>
    <w:rsid w:val="002E45D7"/>
    <w:rsid w:val="002E6D8D"/>
    <w:rsid w:val="002E79E5"/>
    <w:rsid w:val="002F29FC"/>
    <w:rsid w:val="002F42EF"/>
    <w:rsid w:val="002F5503"/>
    <w:rsid w:val="003002D7"/>
    <w:rsid w:val="003004D7"/>
    <w:rsid w:val="00300742"/>
    <w:rsid w:val="0030135D"/>
    <w:rsid w:val="0030386B"/>
    <w:rsid w:val="00314B4D"/>
    <w:rsid w:val="00315E35"/>
    <w:rsid w:val="00320A82"/>
    <w:rsid w:val="003251C3"/>
    <w:rsid w:val="003267DF"/>
    <w:rsid w:val="00330655"/>
    <w:rsid w:val="00330F64"/>
    <w:rsid w:val="003335CE"/>
    <w:rsid w:val="003379CE"/>
    <w:rsid w:val="00352BC0"/>
    <w:rsid w:val="00354715"/>
    <w:rsid w:val="0035548E"/>
    <w:rsid w:val="003703B6"/>
    <w:rsid w:val="003718AB"/>
    <w:rsid w:val="00380E65"/>
    <w:rsid w:val="003812A3"/>
    <w:rsid w:val="003816BA"/>
    <w:rsid w:val="00381744"/>
    <w:rsid w:val="00381A2B"/>
    <w:rsid w:val="00383569"/>
    <w:rsid w:val="00383DA1"/>
    <w:rsid w:val="00390F9D"/>
    <w:rsid w:val="00393438"/>
    <w:rsid w:val="003A28BB"/>
    <w:rsid w:val="003B2791"/>
    <w:rsid w:val="003B3FB0"/>
    <w:rsid w:val="003B3FDD"/>
    <w:rsid w:val="003C4053"/>
    <w:rsid w:val="003D70F9"/>
    <w:rsid w:val="003D7293"/>
    <w:rsid w:val="003E746B"/>
    <w:rsid w:val="003F06D2"/>
    <w:rsid w:val="003F2861"/>
    <w:rsid w:val="003F6376"/>
    <w:rsid w:val="004113C5"/>
    <w:rsid w:val="00413B1A"/>
    <w:rsid w:val="00416523"/>
    <w:rsid w:val="00422B96"/>
    <w:rsid w:val="00433012"/>
    <w:rsid w:val="00433344"/>
    <w:rsid w:val="00436545"/>
    <w:rsid w:val="00442473"/>
    <w:rsid w:val="00450364"/>
    <w:rsid w:val="00462B75"/>
    <w:rsid w:val="00462E19"/>
    <w:rsid w:val="00467546"/>
    <w:rsid w:val="00475D17"/>
    <w:rsid w:val="00476EE9"/>
    <w:rsid w:val="004840FC"/>
    <w:rsid w:val="00487A10"/>
    <w:rsid w:val="00492A34"/>
    <w:rsid w:val="0049313A"/>
    <w:rsid w:val="004942EE"/>
    <w:rsid w:val="00495552"/>
    <w:rsid w:val="004A1ABB"/>
    <w:rsid w:val="004A3838"/>
    <w:rsid w:val="004B49B2"/>
    <w:rsid w:val="004B5283"/>
    <w:rsid w:val="004C37D6"/>
    <w:rsid w:val="004C4E69"/>
    <w:rsid w:val="004C523D"/>
    <w:rsid w:val="004D2BD5"/>
    <w:rsid w:val="004D5DE4"/>
    <w:rsid w:val="004D5F9B"/>
    <w:rsid w:val="004E0528"/>
    <w:rsid w:val="004E2A97"/>
    <w:rsid w:val="004E4672"/>
    <w:rsid w:val="004E7314"/>
    <w:rsid w:val="00500394"/>
    <w:rsid w:val="005200C1"/>
    <w:rsid w:val="0052681C"/>
    <w:rsid w:val="00530539"/>
    <w:rsid w:val="0053178C"/>
    <w:rsid w:val="00535477"/>
    <w:rsid w:val="00542D82"/>
    <w:rsid w:val="0054488E"/>
    <w:rsid w:val="005478E1"/>
    <w:rsid w:val="00552865"/>
    <w:rsid w:val="00555BE5"/>
    <w:rsid w:val="0056199F"/>
    <w:rsid w:val="00564BF9"/>
    <w:rsid w:val="00566330"/>
    <w:rsid w:val="00567547"/>
    <w:rsid w:val="00570076"/>
    <w:rsid w:val="0057241D"/>
    <w:rsid w:val="005727B5"/>
    <w:rsid w:val="005762B6"/>
    <w:rsid w:val="00580091"/>
    <w:rsid w:val="00581E57"/>
    <w:rsid w:val="00585FB0"/>
    <w:rsid w:val="0059249E"/>
    <w:rsid w:val="005A3521"/>
    <w:rsid w:val="005A36A1"/>
    <w:rsid w:val="005A3F5A"/>
    <w:rsid w:val="005A40E1"/>
    <w:rsid w:val="005A473E"/>
    <w:rsid w:val="005B1988"/>
    <w:rsid w:val="005C5695"/>
    <w:rsid w:val="005D3635"/>
    <w:rsid w:val="005D3D50"/>
    <w:rsid w:val="005D63EA"/>
    <w:rsid w:val="005E0074"/>
    <w:rsid w:val="005E292A"/>
    <w:rsid w:val="005E2BA2"/>
    <w:rsid w:val="005E3B05"/>
    <w:rsid w:val="005E4171"/>
    <w:rsid w:val="005E7727"/>
    <w:rsid w:val="005F3AF0"/>
    <w:rsid w:val="006033AB"/>
    <w:rsid w:val="00604144"/>
    <w:rsid w:val="00610261"/>
    <w:rsid w:val="00615E78"/>
    <w:rsid w:val="006244B1"/>
    <w:rsid w:val="006262C6"/>
    <w:rsid w:val="00626842"/>
    <w:rsid w:val="00640C31"/>
    <w:rsid w:val="00653957"/>
    <w:rsid w:val="006636CB"/>
    <w:rsid w:val="006703C5"/>
    <w:rsid w:val="00671A4B"/>
    <w:rsid w:val="00675F8A"/>
    <w:rsid w:val="00682E9E"/>
    <w:rsid w:val="00685948"/>
    <w:rsid w:val="006866E6"/>
    <w:rsid w:val="00690ED6"/>
    <w:rsid w:val="00692A81"/>
    <w:rsid w:val="00697833"/>
    <w:rsid w:val="00697BF7"/>
    <w:rsid w:val="006A2A15"/>
    <w:rsid w:val="006A5D2A"/>
    <w:rsid w:val="006C1023"/>
    <w:rsid w:val="006C3655"/>
    <w:rsid w:val="006C399B"/>
    <w:rsid w:val="006E67D8"/>
    <w:rsid w:val="006F4990"/>
    <w:rsid w:val="006F58F1"/>
    <w:rsid w:val="00703110"/>
    <w:rsid w:val="00704112"/>
    <w:rsid w:val="00704B0E"/>
    <w:rsid w:val="007113B6"/>
    <w:rsid w:val="0071144C"/>
    <w:rsid w:val="00712DE5"/>
    <w:rsid w:val="0071370C"/>
    <w:rsid w:val="00716F7F"/>
    <w:rsid w:val="00717279"/>
    <w:rsid w:val="0073297B"/>
    <w:rsid w:val="00734403"/>
    <w:rsid w:val="00741357"/>
    <w:rsid w:val="00744F1E"/>
    <w:rsid w:val="00750E66"/>
    <w:rsid w:val="007519CB"/>
    <w:rsid w:val="00754CD8"/>
    <w:rsid w:val="00762823"/>
    <w:rsid w:val="00771050"/>
    <w:rsid w:val="007805C1"/>
    <w:rsid w:val="00782C19"/>
    <w:rsid w:val="007852A4"/>
    <w:rsid w:val="00791434"/>
    <w:rsid w:val="007934FB"/>
    <w:rsid w:val="00793C59"/>
    <w:rsid w:val="007A1286"/>
    <w:rsid w:val="007A53A8"/>
    <w:rsid w:val="007A5B4C"/>
    <w:rsid w:val="007B0EBD"/>
    <w:rsid w:val="007B4DB5"/>
    <w:rsid w:val="007B5111"/>
    <w:rsid w:val="007B5429"/>
    <w:rsid w:val="007C2DAF"/>
    <w:rsid w:val="007C3BC5"/>
    <w:rsid w:val="007C3BDF"/>
    <w:rsid w:val="007C76FD"/>
    <w:rsid w:val="007D5D34"/>
    <w:rsid w:val="007D6B9C"/>
    <w:rsid w:val="007D6FB7"/>
    <w:rsid w:val="007F3ACC"/>
    <w:rsid w:val="007F5C56"/>
    <w:rsid w:val="007F7A23"/>
    <w:rsid w:val="008017B3"/>
    <w:rsid w:val="0080509B"/>
    <w:rsid w:val="00813235"/>
    <w:rsid w:val="00823465"/>
    <w:rsid w:val="00841633"/>
    <w:rsid w:val="0084479C"/>
    <w:rsid w:val="00845573"/>
    <w:rsid w:val="0085355A"/>
    <w:rsid w:val="0086396F"/>
    <w:rsid w:val="0086446C"/>
    <w:rsid w:val="00883604"/>
    <w:rsid w:val="00886677"/>
    <w:rsid w:val="00893305"/>
    <w:rsid w:val="00896280"/>
    <w:rsid w:val="008A4859"/>
    <w:rsid w:val="008A52FD"/>
    <w:rsid w:val="008A6135"/>
    <w:rsid w:val="008B0108"/>
    <w:rsid w:val="008B62ED"/>
    <w:rsid w:val="008B73AF"/>
    <w:rsid w:val="008B7F48"/>
    <w:rsid w:val="008C1BE2"/>
    <w:rsid w:val="008D1E6A"/>
    <w:rsid w:val="008D7402"/>
    <w:rsid w:val="008E1616"/>
    <w:rsid w:val="0090199B"/>
    <w:rsid w:val="00902E6D"/>
    <w:rsid w:val="00904CDE"/>
    <w:rsid w:val="009076C5"/>
    <w:rsid w:val="009150E1"/>
    <w:rsid w:val="0091558D"/>
    <w:rsid w:val="009247C3"/>
    <w:rsid w:val="0093166C"/>
    <w:rsid w:val="00942823"/>
    <w:rsid w:val="0094562A"/>
    <w:rsid w:val="00946885"/>
    <w:rsid w:val="0095352B"/>
    <w:rsid w:val="0095541E"/>
    <w:rsid w:val="00957021"/>
    <w:rsid w:val="0096044F"/>
    <w:rsid w:val="00962D47"/>
    <w:rsid w:val="00965875"/>
    <w:rsid w:val="0097048E"/>
    <w:rsid w:val="0097065B"/>
    <w:rsid w:val="00971AB1"/>
    <w:rsid w:val="00975C18"/>
    <w:rsid w:val="00981445"/>
    <w:rsid w:val="00983301"/>
    <w:rsid w:val="0098655F"/>
    <w:rsid w:val="00987AAE"/>
    <w:rsid w:val="009933F0"/>
    <w:rsid w:val="009A4C42"/>
    <w:rsid w:val="009A6F20"/>
    <w:rsid w:val="009B04C8"/>
    <w:rsid w:val="009B0DFA"/>
    <w:rsid w:val="009B0F5B"/>
    <w:rsid w:val="009B36F9"/>
    <w:rsid w:val="009B46E1"/>
    <w:rsid w:val="009B6202"/>
    <w:rsid w:val="009C2790"/>
    <w:rsid w:val="009C4CA3"/>
    <w:rsid w:val="009D766E"/>
    <w:rsid w:val="009E6270"/>
    <w:rsid w:val="00A026B4"/>
    <w:rsid w:val="00A103F5"/>
    <w:rsid w:val="00A1791F"/>
    <w:rsid w:val="00A32C78"/>
    <w:rsid w:val="00A335BB"/>
    <w:rsid w:val="00A34089"/>
    <w:rsid w:val="00A36607"/>
    <w:rsid w:val="00A379D8"/>
    <w:rsid w:val="00A4034C"/>
    <w:rsid w:val="00A44C06"/>
    <w:rsid w:val="00A509DE"/>
    <w:rsid w:val="00A5158C"/>
    <w:rsid w:val="00A649EB"/>
    <w:rsid w:val="00A65FD3"/>
    <w:rsid w:val="00A705B2"/>
    <w:rsid w:val="00A8282C"/>
    <w:rsid w:val="00A82F55"/>
    <w:rsid w:val="00A847EB"/>
    <w:rsid w:val="00A91271"/>
    <w:rsid w:val="00A92228"/>
    <w:rsid w:val="00AA0991"/>
    <w:rsid w:val="00AA369A"/>
    <w:rsid w:val="00AA3981"/>
    <w:rsid w:val="00AB4106"/>
    <w:rsid w:val="00AB5014"/>
    <w:rsid w:val="00AC12C6"/>
    <w:rsid w:val="00AC4AB6"/>
    <w:rsid w:val="00AC5440"/>
    <w:rsid w:val="00AC799F"/>
    <w:rsid w:val="00AD3329"/>
    <w:rsid w:val="00AD3A2F"/>
    <w:rsid w:val="00AD5C33"/>
    <w:rsid w:val="00AE48B1"/>
    <w:rsid w:val="00AF1A4B"/>
    <w:rsid w:val="00AF49E5"/>
    <w:rsid w:val="00B01454"/>
    <w:rsid w:val="00B04193"/>
    <w:rsid w:val="00B15A98"/>
    <w:rsid w:val="00B21D93"/>
    <w:rsid w:val="00B22E19"/>
    <w:rsid w:val="00B2377F"/>
    <w:rsid w:val="00B2536F"/>
    <w:rsid w:val="00B36B40"/>
    <w:rsid w:val="00B44D02"/>
    <w:rsid w:val="00B51746"/>
    <w:rsid w:val="00B53921"/>
    <w:rsid w:val="00B546B5"/>
    <w:rsid w:val="00B54A6F"/>
    <w:rsid w:val="00B54F47"/>
    <w:rsid w:val="00B5521E"/>
    <w:rsid w:val="00B65BE3"/>
    <w:rsid w:val="00B66FDC"/>
    <w:rsid w:val="00B82453"/>
    <w:rsid w:val="00B85F9D"/>
    <w:rsid w:val="00B96C8D"/>
    <w:rsid w:val="00B97E17"/>
    <w:rsid w:val="00BA0C0F"/>
    <w:rsid w:val="00BA639E"/>
    <w:rsid w:val="00BB166D"/>
    <w:rsid w:val="00BB4D3E"/>
    <w:rsid w:val="00BC2EEC"/>
    <w:rsid w:val="00BC503C"/>
    <w:rsid w:val="00BC632C"/>
    <w:rsid w:val="00BD4210"/>
    <w:rsid w:val="00BD5C74"/>
    <w:rsid w:val="00BD67C8"/>
    <w:rsid w:val="00BE02E8"/>
    <w:rsid w:val="00BF5EEF"/>
    <w:rsid w:val="00C0338E"/>
    <w:rsid w:val="00C04FB0"/>
    <w:rsid w:val="00C06556"/>
    <w:rsid w:val="00C07126"/>
    <w:rsid w:val="00C15D64"/>
    <w:rsid w:val="00C25A50"/>
    <w:rsid w:val="00C32D71"/>
    <w:rsid w:val="00C46FE3"/>
    <w:rsid w:val="00C4747F"/>
    <w:rsid w:val="00C52B68"/>
    <w:rsid w:val="00C5491B"/>
    <w:rsid w:val="00C55050"/>
    <w:rsid w:val="00C600AB"/>
    <w:rsid w:val="00C60E81"/>
    <w:rsid w:val="00C61068"/>
    <w:rsid w:val="00C618AF"/>
    <w:rsid w:val="00C81174"/>
    <w:rsid w:val="00C850B5"/>
    <w:rsid w:val="00C972E0"/>
    <w:rsid w:val="00CA33B1"/>
    <w:rsid w:val="00CB0935"/>
    <w:rsid w:val="00CB2915"/>
    <w:rsid w:val="00CB3BE9"/>
    <w:rsid w:val="00CB51D8"/>
    <w:rsid w:val="00CC1818"/>
    <w:rsid w:val="00CC5D90"/>
    <w:rsid w:val="00CD1DC0"/>
    <w:rsid w:val="00CD2011"/>
    <w:rsid w:val="00CD7AD3"/>
    <w:rsid w:val="00CF0694"/>
    <w:rsid w:val="00CF19CB"/>
    <w:rsid w:val="00CF1ACD"/>
    <w:rsid w:val="00CF2859"/>
    <w:rsid w:val="00CF4BDD"/>
    <w:rsid w:val="00CF70FF"/>
    <w:rsid w:val="00D005D1"/>
    <w:rsid w:val="00D00FFC"/>
    <w:rsid w:val="00D01318"/>
    <w:rsid w:val="00D10485"/>
    <w:rsid w:val="00D12FAC"/>
    <w:rsid w:val="00D16DB9"/>
    <w:rsid w:val="00D22432"/>
    <w:rsid w:val="00D22EF9"/>
    <w:rsid w:val="00D23CF3"/>
    <w:rsid w:val="00D24156"/>
    <w:rsid w:val="00D31674"/>
    <w:rsid w:val="00D32A0C"/>
    <w:rsid w:val="00D341C3"/>
    <w:rsid w:val="00D34B16"/>
    <w:rsid w:val="00D367B1"/>
    <w:rsid w:val="00D376B6"/>
    <w:rsid w:val="00D40609"/>
    <w:rsid w:val="00D53763"/>
    <w:rsid w:val="00D57F99"/>
    <w:rsid w:val="00D62540"/>
    <w:rsid w:val="00D64914"/>
    <w:rsid w:val="00D745D1"/>
    <w:rsid w:val="00D91443"/>
    <w:rsid w:val="00DA0710"/>
    <w:rsid w:val="00DA3427"/>
    <w:rsid w:val="00DC012E"/>
    <w:rsid w:val="00DC2BF1"/>
    <w:rsid w:val="00DC2F8C"/>
    <w:rsid w:val="00DC68AE"/>
    <w:rsid w:val="00DD02BD"/>
    <w:rsid w:val="00DD64A5"/>
    <w:rsid w:val="00DE01B3"/>
    <w:rsid w:val="00DF0F84"/>
    <w:rsid w:val="00DF3106"/>
    <w:rsid w:val="00DF4149"/>
    <w:rsid w:val="00DF72A9"/>
    <w:rsid w:val="00E02A99"/>
    <w:rsid w:val="00E10F82"/>
    <w:rsid w:val="00E11BB1"/>
    <w:rsid w:val="00E17029"/>
    <w:rsid w:val="00E27F0A"/>
    <w:rsid w:val="00E34F83"/>
    <w:rsid w:val="00E46C92"/>
    <w:rsid w:val="00E46D50"/>
    <w:rsid w:val="00E53CE0"/>
    <w:rsid w:val="00E5599E"/>
    <w:rsid w:val="00E61EAC"/>
    <w:rsid w:val="00E622DC"/>
    <w:rsid w:val="00E653DF"/>
    <w:rsid w:val="00E67939"/>
    <w:rsid w:val="00E74B69"/>
    <w:rsid w:val="00E81AD4"/>
    <w:rsid w:val="00E86463"/>
    <w:rsid w:val="00E866C2"/>
    <w:rsid w:val="00E87834"/>
    <w:rsid w:val="00E91F54"/>
    <w:rsid w:val="00EA1557"/>
    <w:rsid w:val="00EA256F"/>
    <w:rsid w:val="00EA4EED"/>
    <w:rsid w:val="00EA52F9"/>
    <w:rsid w:val="00EA6EBB"/>
    <w:rsid w:val="00EB1D8E"/>
    <w:rsid w:val="00EB34E2"/>
    <w:rsid w:val="00EC0E3D"/>
    <w:rsid w:val="00EC0F8A"/>
    <w:rsid w:val="00EC4D8E"/>
    <w:rsid w:val="00EC5D2C"/>
    <w:rsid w:val="00EC7057"/>
    <w:rsid w:val="00ED16F8"/>
    <w:rsid w:val="00ED2090"/>
    <w:rsid w:val="00ED464B"/>
    <w:rsid w:val="00ED6574"/>
    <w:rsid w:val="00EE098E"/>
    <w:rsid w:val="00EE361E"/>
    <w:rsid w:val="00EE364F"/>
    <w:rsid w:val="00EE71E5"/>
    <w:rsid w:val="00EF2856"/>
    <w:rsid w:val="00EF29E8"/>
    <w:rsid w:val="00EF2ADF"/>
    <w:rsid w:val="00EF6617"/>
    <w:rsid w:val="00EF76C3"/>
    <w:rsid w:val="00F025FB"/>
    <w:rsid w:val="00F02E96"/>
    <w:rsid w:val="00F05B37"/>
    <w:rsid w:val="00F10F21"/>
    <w:rsid w:val="00F15FE8"/>
    <w:rsid w:val="00F2118C"/>
    <w:rsid w:val="00F23FA3"/>
    <w:rsid w:val="00F24074"/>
    <w:rsid w:val="00F24B2A"/>
    <w:rsid w:val="00F32BB9"/>
    <w:rsid w:val="00F35133"/>
    <w:rsid w:val="00F425C3"/>
    <w:rsid w:val="00F42C5B"/>
    <w:rsid w:val="00F42FDC"/>
    <w:rsid w:val="00F45111"/>
    <w:rsid w:val="00F45D01"/>
    <w:rsid w:val="00F51048"/>
    <w:rsid w:val="00F635A6"/>
    <w:rsid w:val="00F702D6"/>
    <w:rsid w:val="00F74A6C"/>
    <w:rsid w:val="00F91FB6"/>
    <w:rsid w:val="00F944C7"/>
    <w:rsid w:val="00F944F3"/>
    <w:rsid w:val="00F970DE"/>
    <w:rsid w:val="00FB4534"/>
    <w:rsid w:val="00FB4FBC"/>
    <w:rsid w:val="00FB5258"/>
    <w:rsid w:val="00FC0C68"/>
    <w:rsid w:val="00FC563B"/>
    <w:rsid w:val="00FD01CD"/>
    <w:rsid w:val="00FD7219"/>
    <w:rsid w:val="00FE191E"/>
    <w:rsid w:val="00FF0081"/>
    <w:rsid w:val="00FF0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0B4D2"/>
  <w15:docId w15:val="{E2D825A6-26B0-42DA-A2BA-47BC911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425C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425C3"/>
    <w:pPr>
      <w:keepNext/>
      <w:keepLines/>
      <w:spacing w:before="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F425C3"/>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F425C3"/>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697833"/>
    <w:rPr>
      <w:sz w:val="16"/>
      <w:szCs w:val="16"/>
    </w:rPr>
  </w:style>
  <w:style w:type="paragraph" w:styleId="CommentText">
    <w:name w:val="annotation text"/>
    <w:basedOn w:val="Normal"/>
    <w:link w:val="CommentTextChar"/>
    <w:uiPriority w:val="99"/>
    <w:unhideWhenUsed/>
    <w:rsid w:val="00697833"/>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978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833"/>
    <w:rPr>
      <w:rFonts w:ascii="Tahoma" w:hAnsi="Tahoma" w:cs="Tahoma"/>
      <w:sz w:val="16"/>
      <w:szCs w:val="16"/>
    </w:rPr>
  </w:style>
  <w:style w:type="character" w:customStyle="1" w:styleId="BalloonTextChar">
    <w:name w:val="Balloon Text Char"/>
    <w:basedOn w:val="DefaultParagraphFont"/>
    <w:link w:val="BalloonText"/>
    <w:uiPriority w:val="99"/>
    <w:semiHidden/>
    <w:rsid w:val="00697833"/>
    <w:rPr>
      <w:rFonts w:ascii="Tahoma" w:hAnsi="Tahoma" w:cs="Tahoma"/>
      <w:sz w:val="16"/>
      <w:szCs w:val="16"/>
    </w:rPr>
  </w:style>
  <w:style w:type="paragraph" w:styleId="FootnoteText">
    <w:name w:val="footnote text"/>
    <w:basedOn w:val="Normal"/>
    <w:link w:val="FootnoteTextChar"/>
    <w:uiPriority w:val="99"/>
    <w:unhideWhenUsed/>
    <w:rsid w:val="00462B75"/>
    <w:rPr>
      <w:sz w:val="20"/>
      <w:szCs w:val="20"/>
    </w:rPr>
  </w:style>
  <w:style w:type="character" w:customStyle="1" w:styleId="FootnoteTextChar">
    <w:name w:val="Footnote Text Char"/>
    <w:basedOn w:val="DefaultParagraphFont"/>
    <w:link w:val="FootnoteText"/>
    <w:uiPriority w:val="99"/>
    <w:rsid w:val="00462B75"/>
    <w:rPr>
      <w:sz w:val="20"/>
      <w:szCs w:val="20"/>
    </w:rPr>
  </w:style>
  <w:style w:type="character" w:styleId="FootnoteReference">
    <w:name w:val="footnote reference"/>
    <w:basedOn w:val="DefaultParagraphFont"/>
    <w:uiPriority w:val="99"/>
    <w:unhideWhenUsed/>
    <w:rsid w:val="00462B75"/>
    <w:rPr>
      <w:vertAlign w:val="superscript"/>
    </w:rPr>
  </w:style>
  <w:style w:type="paragraph" w:styleId="CommentSubject">
    <w:name w:val="annotation subject"/>
    <w:basedOn w:val="CommentText"/>
    <w:next w:val="CommentText"/>
    <w:link w:val="CommentSubjectChar"/>
    <w:uiPriority w:val="99"/>
    <w:semiHidden/>
    <w:unhideWhenUsed/>
    <w:rsid w:val="00C81174"/>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11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DD02BD"/>
    <w:rPr>
      <w:rFonts w:ascii="Times New Roman" w:eastAsia="Times New Roman" w:hAnsi="Times New Roman"/>
      <w:b/>
      <w:bCs/>
      <w:sz w:val="24"/>
      <w:szCs w:val="24"/>
    </w:rPr>
  </w:style>
  <w:style w:type="paragraph" w:styleId="Header">
    <w:name w:val="header"/>
    <w:basedOn w:val="Normal"/>
    <w:link w:val="HeaderChar"/>
    <w:uiPriority w:val="99"/>
    <w:unhideWhenUsed/>
    <w:rsid w:val="00957021"/>
    <w:pPr>
      <w:tabs>
        <w:tab w:val="center" w:pos="4680"/>
        <w:tab w:val="right" w:pos="9360"/>
      </w:tabs>
    </w:pPr>
  </w:style>
  <w:style w:type="character" w:customStyle="1" w:styleId="HeaderChar">
    <w:name w:val="Header Char"/>
    <w:basedOn w:val="DefaultParagraphFont"/>
    <w:link w:val="Header"/>
    <w:uiPriority w:val="99"/>
    <w:rsid w:val="00957021"/>
  </w:style>
  <w:style w:type="paragraph" w:styleId="Footer">
    <w:name w:val="footer"/>
    <w:basedOn w:val="Normal"/>
    <w:link w:val="FooterChar"/>
    <w:uiPriority w:val="99"/>
    <w:unhideWhenUsed/>
    <w:rsid w:val="00957021"/>
    <w:pPr>
      <w:tabs>
        <w:tab w:val="center" w:pos="4680"/>
        <w:tab w:val="right" w:pos="9360"/>
      </w:tabs>
    </w:pPr>
  </w:style>
  <w:style w:type="character" w:customStyle="1" w:styleId="FooterChar">
    <w:name w:val="Footer Char"/>
    <w:basedOn w:val="DefaultParagraphFont"/>
    <w:link w:val="Footer"/>
    <w:uiPriority w:val="99"/>
    <w:rsid w:val="00957021"/>
  </w:style>
  <w:style w:type="character" w:styleId="Hyperlink">
    <w:name w:val="Hyperlink"/>
    <w:basedOn w:val="DefaultParagraphFont"/>
    <w:uiPriority w:val="99"/>
    <w:unhideWhenUsed/>
    <w:rsid w:val="00E81AD4"/>
    <w:rPr>
      <w:color w:val="0000FF" w:themeColor="hyperlink"/>
      <w:u w:val="single"/>
    </w:rPr>
  </w:style>
  <w:style w:type="character" w:customStyle="1" w:styleId="apple-converted-space">
    <w:name w:val="apple-converted-space"/>
    <w:basedOn w:val="DefaultParagraphFont"/>
    <w:rsid w:val="004E4672"/>
  </w:style>
  <w:style w:type="paragraph" w:styleId="PlainText">
    <w:name w:val="Plain Text"/>
    <w:basedOn w:val="Normal"/>
    <w:link w:val="PlainTextChar"/>
    <w:uiPriority w:val="99"/>
    <w:unhideWhenUsed/>
    <w:rsid w:val="00076014"/>
    <w:pPr>
      <w:widowControl/>
    </w:pPr>
    <w:rPr>
      <w:rFonts w:ascii="Calibri" w:hAnsi="Calibri"/>
      <w:szCs w:val="21"/>
    </w:rPr>
  </w:style>
  <w:style w:type="character" w:customStyle="1" w:styleId="PlainTextChar">
    <w:name w:val="Plain Text Char"/>
    <w:basedOn w:val="DefaultParagraphFont"/>
    <w:link w:val="PlainText"/>
    <w:uiPriority w:val="99"/>
    <w:rsid w:val="00076014"/>
    <w:rPr>
      <w:rFonts w:ascii="Calibri" w:hAnsi="Calibri"/>
      <w:szCs w:val="21"/>
    </w:rPr>
  </w:style>
  <w:style w:type="character" w:customStyle="1" w:styleId="Heading2Char">
    <w:name w:val="Heading 2 Char"/>
    <w:basedOn w:val="DefaultParagraphFont"/>
    <w:link w:val="Heading2"/>
    <w:uiPriority w:val="9"/>
    <w:rsid w:val="00F425C3"/>
    <w:rPr>
      <w:rFonts w:asciiTheme="majorHAnsi" w:eastAsiaTheme="majorEastAsia" w:hAnsiTheme="majorHAnsi" w:cstheme="majorBidi"/>
      <w:b/>
      <w:bCs/>
      <w:color w:val="000000" w:themeColor="text1"/>
      <w:sz w:val="26"/>
      <w:szCs w:val="26"/>
    </w:rPr>
  </w:style>
  <w:style w:type="character" w:styleId="FollowedHyperlink">
    <w:name w:val="FollowedHyperlink"/>
    <w:basedOn w:val="DefaultParagraphFont"/>
    <w:uiPriority w:val="99"/>
    <w:semiHidden/>
    <w:unhideWhenUsed/>
    <w:rsid w:val="003002D7"/>
    <w:rPr>
      <w:color w:val="800080" w:themeColor="followedHyperlink"/>
      <w:u w:val="single"/>
    </w:rPr>
  </w:style>
  <w:style w:type="paragraph" w:styleId="NormalWeb">
    <w:name w:val="Normal (Web)"/>
    <w:basedOn w:val="Normal"/>
    <w:uiPriority w:val="99"/>
    <w:semiHidden/>
    <w:unhideWhenUsed/>
    <w:rsid w:val="0008700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425C3"/>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F425C3"/>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F425C3"/>
    <w:rPr>
      <w:rFonts w:asciiTheme="majorHAnsi" w:eastAsiaTheme="majorEastAsia" w:hAnsiTheme="majorHAnsi" w:cstheme="majorBidi"/>
      <w:color w:val="000000" w:themeColor="text1"/>
    </w:rPr>
  </w:style>
  <w:style w:type="paragraph" w:styleId="NoSpacing">
    <w:name w:val="No Spacing"/>
    <w:uiPriority w:val="1"/>
    <w:qFormat/>
    <w:rsid w:val="0056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0608">
      <w:bodyDiv w:val="1"/>
      <w:marLeft w:val="0"/>
      <w:marRight w:val="0"/>
      <w:marTop w:val="0"/>
      <w:marBottom w:val="0"/>
      <w:divBdr>
        <w:top w:val="none" w:sz="0" w:space="0" w:color="auto"/>
        <w:left w:val="none" w:sz="0" w:space="0" w:color="auto"/>
        <w:bottom w:val="none" w:sz="0" w:space="0" w:color="auto"/>
        <w:right w:val="none" w:sz="0" w:space="0" w:color="auto"/>
      </w:divBdr>
    </w:div>
    <w:div w:id="803960258">
      <w:bodyDiv w:val="1"/>
      <w:marLeft w:val="0"/>
      <w:marRight w:val="0"/>
      <w:marTop w:val="0"/>
      <w:marBottom w:val="0"/>
      <w:divBdr>
        <w:top w:val="none" w:sz="0" w:space="0" w:color="auto"/>
        <w:left w:val="none" w:sz="0" w:space="0" w:color="auto"/>
        <w:bottom w:val="none" w:sz="0" w:space="0" w:color="auto"/>
        <w:right w:val="none" w:sz="0" w:space="0" w:color="auto"/>
      </w:divBdr>
    </w:div>
    <w:div w:id="993995712">
      <w:bodyDiv w:val="1"/>
      <w:marLeft w:val="0"/>
      <w:marRight w:val="0"/>
      <w:marTop w:val="0"/>
      <w:marBottom w:val="0"/>
      <w:divBdr>
        <w:top w:val="none" w:sz="0" w:space="0" w:color="auto"/>
        <w:left w:val="none" w:sz="0" w:space="0" w:color="auto"/>
        <w:bottom w:val="none" w:sz="0" w:space="0" w:color="auto"/>
        <w:right w:val="none" w:sz="0" w:space="0" w:color="auto"/>
      </w:divBdr>
    </w:div>
    <w:div w:id="1114590224">
      <w:bodyDiv w:val="1"/>
      <w:marLeft w:val="0"/>
      <w:marRight w:val="0"/>
      <w:marTop w:val="0"/>
      <w:marBottom w:val="0"/>
      <w:divBdr>
        <w:top w:val="none" w:sz="0" w:space="0" w:color="auto"/>
        <w:left w:val="none" w:sz="0" w:space="0" w:color="auto"/>
        <w:bottom w:val="none" w:sz="0" w:space="0" w:color="auto"/>
        <w:right w:val="none" w:sz="0" w:space="0" w:color="auto"/>
      </w:divBdr>
    </w:div>
    <w:div w:id="1134250212">
      <w:bodyDiv w:val="1"/>
      <w:marLeft w:val="0"/>
      <w:marRight w:val="0"/>
      <w:marTop w:val="0"/>
      <w:marBottom w:val="0"/>
      <w:divBdr>
        <w:top w:val="none" w:sz="0" w:space="0" w:color="auto"/>
        <w:left w:val="none" w:sz="0" w:space="0" w:color="auto"/>
        <w:bottom w:val="none" w:sz="0" w:space="0" w:color="auto"/>
        <w:right w:val="none" w:sz="0" w:space="0" w:color="auto"/>
      </w:divBdr>
    </w:div>
    <w:div w:id="1158571022">
      <w:bodyDiv w:val="1"/>
      <w:marLeft w:val="0"/>
      <w:marRight w:val="0"/>
      <w:marTop w:val="0"/>
      <w:marBottom w:val="0"/>
      <w:divBdr>
        <w:top w:val="none" w:sz="0" w:space="0" w:color="auto"/>
        <w:left w:val="none" w:sz="0" w:space="0" w:color="auto"/>
        <w:bottom w:val="none" w:sz="0" w:space="0" w:color="auto"/>
        <w:right w:val="none" w:sz="0" w:space="0" w:color="auto"/>
      </w:divBdr>
    </w:div>
    <w:div w:id="1512069473">
      <w:bodyDiv w:val="1"/>
      <w:marLeft w:val="0"/>
      <w:marRight w:val="0"/>
      <w:marTop w:val="0"/>
      <w:marBottom w:val="0"/>
      <w:divBdr>
        <w:top w:val="none" w:sz="0" w:space="0" w:color="auto"/>
        <w:left w:val="none" w:sz="0" w:space="0" w:color="auto"/>
        <w:bottom w:val="none" w:sz="0" w:space="0" w:color="auto"/>
        <w:right w:val="none" w:sz="0" w:space="0" w:color="auto"/>
      </w:divBdr>
    </w:div>
    <w:div w:id="1657954527">
      <w:bodyDiv w:val="1"/>
      <w:marLeft w:val="0"/>
      <w:marRight w:val="0"/>
      <w:marTop w:val="0"/>
      <w:marBottom w:val="0"/>
      <w:divBdr>
        <w:top w:val="none" w:sz="0" w:space="0" w:color="auto"/>
        <w:left w:val="none" w:sz="0" w:space="0" w:color="auto"/>
        <w:bottom w:val="none" w:sz="0" w:space="0" w:color="auto"/>
        <w:right w:val="none" w:sz="0" w:space="0" w:color="auto"/>
      </w:divBdr>
    </w:div>
    <w:div w:id="186987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oc.gov/nls/reference/factsheets/readingdisabiliti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2653-82F7-43F9-A05B-953DE8E4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Statement of Purpose and Need</vt:lpstr>
    </vt:vector>
  </TitlesOfParts>
  <Company>U.S. Patent and Trademark Office</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and Need</dc:title>
  <dc:creator>LBoland</dc:creator>
  <cp:lastModifiedBy>Ward, John</cp:lastModifiedBy>
  <cp:revision>3</cp:revision>
  <cp:lastPrinted>2016-01-08T19:23:00Z</cp:lastPrinted>
  <dcterms:created xsi:type="dcterms:W3CDTF">2016-02-12T14:43:00Z</dcterms:created>
  <dcterms:modified xsi:type="dcterms:W3CDTF">2016-02-12T14:54:00Z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LastSaved">
    <vt:filetime>2015-05-05T00:00:00Z</vt:filetime>
  </property>
</Properties>
</file>