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4F" w:rsidRPr="00181BA3" w:rsidRDefault="0025634F" w:rsidP="00181BA3">
      <w:pPr>
        <w:spacing w:after="120" w:line="660" w:lineRule="atLeast"/>
        <w:jc w:val="center"/>
        <w:textAlignment w:val="baseline"/>
        <w:outlineLvl w:val="0"/>
        <w:rPr>
          <w:rFonts w:ascii="Times New Roman" w:eastAsia="Times New Roman" w:hAnsi="Times New Roman" w:cs="Times New Roman"/>
          <w:b/>
          <w:color w:val="000000"/>
          <w:kern w:val="36"/>
          <w:sz w:val="48"/>
          <w:szCs w:val="48"/>
          <w:lang w:val="en"/>
        </w:rPr>
      </w:pPr>
      <w:bookmarkStart w:id="0" w:name="_GoBack"/>
      <w:bookmarkEnd w:id="0"/>
      <w:r w:rsidRPr="00181BA3">
        <w:rPr>
          <w:rFonts w:ascii="Times New Roman" w:eastAsia="Times New Roman" w:hAnsi="Times New Roman" w:cs="Times New Roman"/>
          <w:b/>
          <w:color w:val="000000"/>
          <w:kern w:val="36"/>
          <w:sz w:val="48"/>
          <w:szCs w:val="48"/>
          <w:lang w:val="en"/>
        </w:rPr>
        <w:t>TEAS</w:t>
      </w:r>
      <w:r w:rsidR="00C32DD4" w:rsidRPr="00181BA3">
        <w:rPr>
          <w:rFonts w:ascii="Times New Roman" w:eastAsia="Times New Roman" w:hAnsi="Times New Roman" w:cs="Times New Roman"/>
          <w:b/>
          <w:color w:val="000000"/>
          <w:kern w:val="36"/>
          <w:sz w:val="48"/>
          <w:szCs w:val="48"/>
          <w:lang w:val="en"/>
        </w:rPr>
        <w:t xml:space="preserve"> 5.8</w:t>
      </w:r>
      <w:r w:rsidRPr="00181BA3">
        <w:rPr>
          <w:rFonts w:ascii="Times New Roman" w:eastAsia="Times New Roman" w:hAnsi="Times New Roman" w:cs="Times New Roman"/>
          <w:b/>
          <w:color w:val="000000"/>
          <w:kern w:val="36"/>
          <w:sz w:val="48"/>
          <w:szCs w:val="48"/>
          <w:lang w:val="en"/>
        </w:rPr>
        <w:t xml:space="preserve"> and </w:t>
      </w:r>
      <w:proofErr w:type="spellStart"/>
      <w:r w:rsidRPr="00181BA3">
        <w:rPr>
          <w:rFonts w:ascii="Times New Roman" w:eastAsia="Times New Roman" w:hAnsi="Times New Roman" w:cs="Times New Roman"/>
          <w:b/>
          <w:color w:val="000000"/>
          <w:kern w:val="36"/>
          <w:sz w:val="48"/>
          <w:szCs w:val="48"/>
          <w:lang w:val="en"/>
        </w:rPr>
        <w:t>TEASi</w:t>
      </w:r>
      <w:proofErr w:type="spellEnd"/>
      <w:r w:rsidR="00C32DD4" w:rsidRPr="00181BA3">
        <w:rPr>
          <w:rFonts w:ascii="Times New Roman" w:eastAsia="Times New Roman" w:hAnsi="Times New Roman" w:cs="Times New Roman"/>
          <w:b/>
          <w:color w:val="000000"/>
          <w:kern w:val="36"/>
          <w:sz w:val="48"/>
          <w:szCs w:val="48"/>
          <w:lang w:val="en"/>
        </w:rPr>
        <w:t xml:space="preserve"> 2.7</w:t>
      </w:r>
      <w:r w:rsidRPr="00181BA3">
        <w:rPr>
          <w:rFonts w:ascii="Times New Roman" w:eastAsia="Times New Roman" w:hAnsi="Times New Roman" w:cs="Times New Roman"/>
          <w:b/>
          <w:color w:val="000000"/>
          <w:kern w:val="36"/>
          <w:sz w:val="48"/>
          <w:szCs w:val="48"/>
          <w:lang w:val="en"/>
        </w:rPr>
        <w:t xml:space="preserve"> </w:t>
      </w:r>
      <w:r w:rsidR="00654EB0">
        <w:rPr>
          <w:rFonts w:ascii="Times New Roman" w:eastAsia="Times New Roman" w:hAnsi="Times New Roman" w:cs="Times New Roman"/>
          <w:b/>
          <w:color w:val="000000"/>
          <w:kern w:val="36"/>
          <w:sz w:val="48"/>
          <w:szCs w:val="48"/>
          <w:lang w:val="en"/>
        </w:rPr>
        <w:t>r</w:t>
      </w:r>
      <w:r w:rsidRPr="00181BA3">
        <w:rPr>
          <w:rFonts w:ascii="Times New Roman" w:eastAsia="Times New Roman" w:hAnsi="Times New Roman" w:cs="Times New Roman"/>
          <w:b/>
          <w:color w:val="000000"/>
          <w:kern w:val="36"/>
          <w:sz w:val="48"/>
          <w:szCs w:val="48"/>
          <w:lang w:val="en"/>
        </w:rPr>
        <w:t>elease</w:t>
      </w:r>
      <w:r w:rsidR="00654EB0">
        <w:rPr>
          <w:rFonts w:ascii="Times New Roman" w:eastAsia="Times New Roman" w:hAnsi="Times New Roman" w:cs="Times New Roman"/>
          <w:b/>
          <w:color w:val="000000"/>
          <w:kern w:val="36"/>
          <w:sz w:val="48"/>
          <w:szCs w:val="48"/>
          <w:lang w:val="en"/>
        </w:rPr>
        <w:t xml:space="preserve"> highlights</w:t>
      </w:r>
    </w:p>
    <w:p w:rsidR="00CD747B" w:rsidRDefault="00CD747B" w:rsidP="00656174">
      <w:pPr>
        <w:spacing w:after="0" w:line="315" w:lineRule="atLeast"/>
        <w:textAlignment w:val="baseline"/>
        <w:rPr>
          <w:rFonts w:ascii="Times New Roman" w:eastAsia="Times New Roman" w:hAnsi="Times New Roman" w:cs="Times New Roman"/>
          <w:color w:val="222222"/>
          <w:sz w:val="24"/>
          <w:szCs w:val="24"/>
          <w:bdr w:val="none" w:sz="0" w:space="0" w:color="auto" w:frame="1"/>
          <w:lang w:val="en"/>
        </w:rPr>
      </w:pPr>
    </w:p>
    <w:p w:rsidR="00A36CBF" w:rsidRPr="00A36CBF" w:rsidRDefault="003E6D72" w:rsidP="00181BA3">
      <w:pPr>
        <w:spacing w:after="0" w:line="315" w:lineRule="atLeast"/>
        <w:textAlignment w:val="baseline"/>
        <w:rPr>
          <w:rFonts w:ascii="Times New Roman" w:eastAsia="Times New Roman" w:hAnsi="Times New Roman" w:cs="Times New Roman"/>
          <w:color w:val="222222"/>
          <w:sz w:val="24"/>
          <w:szCs w:val="24"/>
          <w:bdr w:val="none" w:sz="0" w:space="0" w:color="auto" w:frame="1"/>
          <w:lang w:val="en"/>
        </w:rPr>
      </w:pPr>
      <w:r>
        <w:rPr>
          <w:rFonts w:ascii="Times New Roman" w:eastAsia="Times New Roman" w:hAnsi="Times New Roman" w:cs="Times New Roman"/>
          <w:color w:val="222222"/>
          <w:sz w:val="24"/>
          <w:szCs w:val="24"/>
          <w:bdr w:val="none" w:sz="0" w:space="0" w:color="auto" w:frame="1"/>
          <w:lang w:val="en"/>
        </w:rPr>
        <w:t xml:space="preserve">We are making </w:t>
      </w:r>
      <w:r w:rsidR="00A36CBF" w:rsidRPr="00A36CBF">
        <w:rPr>
          <w:rFonts w:ascii="Times New Roman" w:eastAsia="Times New Roman" w:hAnsi="Times New Roman" w:cs="Times New Roman"/>
          <w:color w:val="222222"/>
          <w:sz w:val="24"/>
          <w:szCs w:val="24"/>
          <w:bdr w:val="none" w:sz="0" w:space="0" w:color="auto" w:frame="1"/>
          <w:lang w:val="en"/>
        </w:rPr>
        <w:t xml:space="preserve">changes to </w:t>
      </w:r>
      <w:r w:rsidR="003B4124">
        <w:rPr>
          <w:rFonts w:ascii="Times New Roman" w:eastAsia="Times New Roman" w:hAnsi="Times New Roman" w:cs="Times New Roman"/>
          <w:color w:val="222222"/>
          <w:sz w:val="24"/>
          <w:szCs w:val="24"/>
          <w:bdr w:val="none" w:sz="0" w:space="0" w:color="auto" w:frame="1"/>
          <w:lang w:val="en"/>
        </w:rPr>
        <w:t>the Trademark Electronic Application System (</w:t>
      </w:r>
      <w:r w:rsidR="00A36CBF" w:rsidRPr="00A36CBF">
        <w:rPr>
          <w:rFonts w:ascii="Times New Roman" w:eastAsia="Times New Roman" w:hAnsi="Times New Roman" w:cs="Times New Roman"/>
          <w:color w:val="222222"/>
          <w:sz w:val="24"/>
          <w:szCs w:val="24"/>
          <w:bdr w:val="none" w:sz="0" w:space="0" w:color="auto" w:frame="1"/>
          <w:lang w:val="en"/>
        </w:rPr>
        <w:t>TEAS</w:t>
      </w:r>
      <w:r w:rsidR="003B4124">
        <w:rPr>
          <w:rFonts w:ascii="Times New Roman" w:eastAsia="Times New Roman" w:hAnsi="Times New Roman" w:cs="Times New Roman"/>
          <w:color w:val="222222"/>
          <w:sz w:val="24"/>
          <w:szCs w:val="24"/>
          <w:bdr w:val="none" w:sz="0" w:space="0" w:color="auto" w:frame="1"/>
          <w:lang w:val="en"/>
        </w:rPr>
        <w:t>)</w:t>
      </w:r>
      <w:r w:rsidR="00A36CBF" w:rsidRPr="00A36CBF">
        <w:rPr>
          <w:rFonts w:ascii="Times New Roman" w:eastAsia="Times New Roman" w:hAnsi="Times New Roman" w:cs="Times New Roman"/>
          <w:color w:val="222222"/>
          <w:sz w:val="24"/>
          <w:szCs w:val="24"/>
          <w:bdr w:val="none" w:sz="0" w:space="0" w:color="auto" w:frame="1"/>
          <w:lang w:val="en"/>
        </w:rPr>
        <w:t xml:space="preserve"> </w:t>
      </w:r>
      <w:r>
        <w:rPr>
          <w:rFonts w:ascii="Times New Roman" w:eastAsia="Times New Roman" w:hAnsi="Times New Roman" w:cs="Times New Roman"/>
          <w:color w:val="222222"/>
          <w:sz w:val="24"/>
          <w:szCs w:val="24"/>
          <w:bdr w:val="none" w:sz="0" w:space="0" w:color="auto" w:frame="1"/>
          <w:lang w:val="en"/>
        </w:rPr>
        <w:t xml:space="preserve">and </w:t>
      </w:r>
      <w:r w:rsidR="003B4124">
        <w:rPr>
          <w:rFonts w:ascii="Times New Roman" w:eastAsia="Times New Roman" w:hAnsi="Times New Roman" w:cs="Times New Roman"/>
          <w:color w:val="222222"/>
          <w:sz w:val="24"/>
          <w:szCs w:val="24"/>
          <w:bdr w:val="none" w:sz="0" w:space="0" w:color="auto" w:frame="1"/>
          <w:lang w:val="en"/>
        </w:rPr>
        <w:t>the Trademark Electronic Application System International (</w:t>
      </w:r>
      <w:proofErr w:type="spellStart"/>
      <w:r>
        <w:rPr>
          <w:rFonts w:ascii="Times New Roman" w:eastAsia="Times New Roman" w:hAnsi="Times New Roman" w:cs="Times New Roman"/>
          <w:color w:val="222222"/>
          <w:sz w:val="24"/>
          <w:szCs w:val="24"/>
          <w:bdr w:val="none" w:sz="0" w:space="0" w:color="auto" w:frame="1"/>
          <w:lang w:val="en"/>
        </w:rPr>
        <w:t>TEASi</w:t>
      </w:r>
      <w:proofErr w:type="spellEnd"/>
      <w:r w:rsidR="003B4124">
        <w:rPr>
          <w:rFonts w:ascii="Times New Roman" w:eastAsia="Times New Roman" w:hAnsi="Times New Roman" w:cs="Times New Roman"/>
          <w:color w:val="222222"/>
          <w:sz w:val="24"/>
          <w:szCs w:val="24"/>
          <w:bdr w:val="none" w:sz="0" w:space="0" w:color="auto" w:frame="1"/>
          <w:lang w:val="en"/>
        </w:rPr>
        <w:t>)</w:t>
      </w:r>
      <w:r>
        <w:rPr>
          <w:rFonts w:ascii="Times New Roman" w:eastAsia="Times New Roman" w:hAnsi="Times New Roman" w:cs="Times New Roman"/>
          <w:color w:val="222222"/>
          <w:sz w:val="24"/>
          <w:szCs w:val="24"/>
          <w:bdr w:val="none" w:sz="0" w:space="0" w:color="auto" w:frame="1"/>
          <w:lang w:val="en"/>
        </w:rPr>
        <w:t xml:space="preserve"> </w:t>
      </w:r>
      <w:r w:rsidR="00A36CBF" w:rsidRPr="00A36CBF">
        <w:rPr>
          <w:rFonts w:ascii="Times New Roman" w:eastAsia="Times New Roman" w:hAnsi="Times New Roman" w:cs="Times New Roman"/>
          <w:color w:val="222222"/>
          <w:sz w:val="24"/>
          <w:szCs w:val="24"/>
          <w:bdr w:val="none" w:sz="0" w:space="0" w:color="auto" w:frame="1"/>
          <w:lang w:val="en"/>
        </w:rPr>
        <w:t>Jan</w:t>
      </w:r>
      <w:r w:rsidR="00654EB0">
        <w:rPr>
          <w:rFonts w:ascii="Times New Roman" w:eastAsia="Times New Roman" w:hAnsi="Times New Roman" w:cs="Times New Roman"/>
          <w:color w:val="222222"/>
          <w:sz w:val="24"/>
          <w:szCs w:val="24"/>
          <w:bdr w:val="none" w:sz="0" w:space="0" w:color="auto" w:frame="1"/>
          <w:lang w:val="en"/>
        </w:rPr>
        <w:t>.</w:t>
      </w:r>
      <w:r w:rsidR="00A36CBF" w:rsidRPr="00A36CBF">
        <w:rPr>
          <w:rFonts w:ascii="Times New Roman" w:eastAsia="Times New Roman" w:hAnsi="Times New Roman" w:cs="Times New Roman"/>
          <w:color w:val="222222"/>
          <w:sz w:val="24"/>
          <w:szCs w:val="24"/>
          <w:bdr w:val="none" w:sz="0" w:space="0" w:color="auto" w:frame="1"/>
          <w:lang w:val="en"/>
        </w:rPr>
        <w:t xml:space="preserve"> 14, 2017</w:t>
      </w:r>
      <w:r>
        <w:rPr>
          <w:rFonts w:ascii="Times New Roman" w:eastAsia="Times New Roman" w:hAnsi="Times New Roman" w:cs="Times New Roman"/>
          <w:color w:val="222222"/>
          <w:sz w:val="24"/>
          <w:szCs w:val="24"/>
          <w:bdr w:val="none" w:sz="0" w:space="0" w:color="auto" w:frame="1"/>
          <w:lang w:val="en"/>
        </w:rPr>
        <w:t xml:space="preserve"> and have highlighted the significant changes below</w:t>
      </w:r>
      <w:r w:rsidR="00A36CBF" w:rsidRPr="00A36CBF">
        <w:rPr>
          <w:rFonts w:ascii="Times New Roman" w:eastAsia="Times New Roman" w:hAnsi="Times New Roman" w:cs="Times New Roman"/>
          <w:color w:val="222222"/>
          <w:sz w:val="24"/>
          <w:szCs w:val="24"/>
          <w:bdr w:val="none" w:sz="0" w:space="0" w:color="auto" w:frame="1"/>
          <w:lang w:val="en"/>
        </w:rPr>
        <w:t>. If you have any questions or concerns regarding the release</w:t>
      </w:r>
      <w:r>
        <w:rPr>
          <w:rFonts w:ascii="Times New Roman" w:eastAsia="Times New Roman" w:hAnsi="Times New Roman" w:cs="Times New Roman"/>
          <w:color w:val="222222"/>
          <w:sz w:val="24"/>
          <w:szCs w:val="24"/>
          <w:bdr w:val="none" w:sz="0" w:space="0" w:color="auto" w:frame="1"/>
          <w:lang w:val="en"/>
        </w:rPr>
        <w:t>s</w:t>
      </w:r>
      <w:r w:rsidR="00A36CBF" w:rsidRPr="00A36CBF">
        <w:rPr>
          <w:rFonts w:ascii="Times New Roman" w:eastAsia="Times New Roman" w:hAnsi="Times New Roman" w:cs="Times New Roman"/>
          <w:color w:val="222222"/>
          <w:sz w:val="24"/>
          <w:szCs w:val="24"/>
          <w:bdr w:val="none" w:sz="0" w:space="0" w:color="auto" w:frame="1"/>
          <w:lang w:val="en"/>
        </w:rPr>
        <w:t xml:space="preserve">, please contact </w:t>
      </w:r>
      <w:hyperlink r:id="rId6" w:history="1">
        <w:r w:rsidRPr="00656174">
          <w:rPr>
            <w:rStyle w:val="Hyperlink"/>
            <w:rFonts w:ascii="Times New Roman" w:eastAsia="Times New Roman" w:hAnsi="Times New Roman" w:cs="Times New Roman"/>
            <w:lang w:val="en"/>
          </w:rPr>
          <w:t>TEAS@uspto.gov</w:t>
        </w:r>
      </w:hyperlink>
      <w:r w:rsidR="00A36CBF" w:rsidRPr="00A36CBF">
        <w:rPr>
          <w:rFonts w:ascii="Times New Roman" w:eastAsia="Times New Roman" w:hAnsi="Times New Roman" w:cs="Times New Roman"/>
          <w:color w:val="222222"/>
          <w:sz w:val="24"/>
          <w:szCs w:val="24"/>
          <w:bdr w:val="none" w:sz="0" w:space="0" w:color="auto" w:frame="1"/>
          <w:lang w:val="en"/>
        </w:rPr>
        <w:t>.</w:t>
      </w:r>
    </w:p>
    <w:p w:rsidR="00BD2699" w:rsidRPr="00CD747B" w:rsidRDefault="00BD2699" w:rsidP="00181BA3">
      <w:pPr>
        <w:spacing w:after="0" w:line="315" w:lineRule="atLeast"/>
        <w:textAlignment w:val="baseline"/>
        <w:rPr>
          <w:rFonts w:ascii="Times New Roman" w:eastAsia="Times New Roman" w:hAnsi="Times New Roman" w:cs="Times New Roman"/>
          <w:color w:val="222222"/>
          <w:sz w:val="24"/>
          <w:szCs w:val="24"/>
          <w:bdr w:val="none" w:sz="0" w:space="0" w:color="auto" w:frame="1"/>
          <w:lang w:val="en"/>
        </w:rPr>
      </w:pPr>
    </w:p>
    <w:p w:rsidR="00BD2699" w:rsidRPr="00BD0BC8" w:rsidRDefault="003B372B" w:rsidP="00181BA3">
      <w:pPr>
        <w:rPr>
          <w:rFonts w:ascii="Times New Roman" w:hAnsi="Times New Roman" w:cs="Times New Roman"/>
          <w:b/>
          <w:sz w:val="32"/>
          <w:szCs w:val="32"/>
          <w:u w:val="single"/>
        </w:rPr>
      </w:pPr>
      <w:r w:rsidRPr="00BD0BC8">
        <w:rPr>
          <w:rFonts w:ascii="Times New Roman" w:hAnsi="Times New Roman" w:cs="Times New Roman"/>
          <w:b/>
          <w:sz w:val="32"/>
          <w:szCs w:val="32"/>
          <w:u w:val="single"/>
        </w:rPr>
        <w:t xml:space="preserve">Fee </w:t>
      </w:r>
      <w:r w:rsidR="00654EB0">
        <w:rPr>
          <w:rFonts w:ascii="Times New Roman" w:hAnsi="Times New Roman" w:cs="Times New Roman"/>
          <w:b/>
          <w:sz w:val="32"/>
          <w:szCs w:val="32"/>
          <w:u w:val="single"/>
        </w:rPr>
        <w:t>c</w:t>
      </w:r>
      <w:r w:rsidRPr="00BD0BC8">
        <w:rPr>
          <w:rFonts w:ascii="Times New Roman" w:hAnsi="Times New Roman" w:cs="Times New Roman"/>
          <w:b/>
          <w:sz w:val="32"/>
          <w:szCs w:val="32"/>
          <w:u w:val="single"/>
        </w:rPr>
        <w:t>hanges</w:t>
      </w:r>
    </w:p>
    <w:p w:rsidR="00234303" w:rsidRDefault="003B372B" w:rsidP="00181BA3">
      <w:pPr>
        <w:pStyle w:val="NormalWeb"/>
        <w:rPr>
          <w:rFonts w:ascii="Times New Roman" w:hAnsi="Times New Roman" w:cs="Times New Roman"/>
          <w:color w:val="222222"/>
          <w:sz w:val="24"/>
          <w:szCs w:val="24"/>
          <w:lang w:val="en"/>
        </w:rPr>
      </w:pPr>
      <w:r w:rsidRPr="00CD747B">
        <w:rPr>
          <w:rFonts w:ascii="Times New Roman" w:hAnsi="Times New Roman" w:cs="Times New Roman"/>
          <w:color w:val="222222"/>
          <w:sz w:val="24"/>
          <w:szCs w:val="24"/>
          <w:lang w:val="en"/>
        </w:rPr>
        <w:t>We are changing some trademark processing and service fees</w:t>
      </w:r>
      <w:r w:rsidR="002044C7">
        <w:rPr>
          <w:rFonts w:ascii="Times New Roman" w:hAnsi="Times New Roman" w:cs="Times New Roman"/>
          <w:color w:val="222222"/>
          <w:sz w:val="24"/>
          <w:szCs w:val="24"/>
          <w:lang w:val="en"/>
        </w:rPr>
        <w:t xml:space="preserve"> in order to better reflect the full cost of providing trademark services and to promote lower-cost electronic filing options.  </w:t>
      </w:r>
    </w:p>
    <w:p w:rsidR="00664BC7" w:rsidRDefault="00664BC7" w:rsidP="00181BA3">
      <w:pPr>
        <w:pStyle w:val="NormalWeb"/>
        <w:rPr>
          <w:rFonts w:ascii="Times New Roman" w:hAnsi="Times New Roman" w:cs="Times New Roman"/>
          <w:color w:val="222222"/>
          <w:sz w:val="24"/>
          <w:szCs w:val="24"/>
          <w:lang w:val="en"/>
        </w:rPr>
      </w:pPr>
    </w:p>
    <w:p w:rsidR="00234303" w:rsidRPr="00FD1C7C" w:rsidRDefault="00234303" w:rsidP="00181BA3">
      <w:pPr>
        <w:pStyle w:val="NormalWeb"/>
        <w:rPr>
          <w:rFonts w:ascii="Times New Roman" w:hAnsi="Times New Roman" w:cs="Times New Roman"/>
          <w:b/>
          <w:color w:val="222222"/>
          <w:sz w:val="24"/>
          <w:szCs w:val="24"/>
          <w:lang w:val="en"/>
        </w:rPr>
      </w:pPr>
      <w:r w:rsidRPr="00FD1C7C">
        <w:rPr>
          <w:rFonts w:ascii="Times New Roman" w:hAnsi="Times New Roman" w:cs="Times New Roman"/>
          <w:b/>
          <w:color w:val="222222"/>
          <w:sz w:val="24"/>
          <w:szCs w:val="24"/>
          <w:lang w:val="en"/>
        </w:rPr>
        <w:t xml:space="preserve">TEAS </w:t>
      </w:r>
      <w:r w:rsidR="00654EB0">
        <w:rPr>
          <w:rFonts w:ascii="Times New Roman" w:hAnsi="Times New Roman" w:cs="Times New Roman"/>
          <w:b/>
          <w:color w:val="222222"/>
          <w:sz w:val="24"/>
          <w:szCs w:val="24"/>
          <w:lang w:val="en"/>
        </w:rPr>
        <w:t>f</w:t>
      </w:r>
      <w:r w:rsidRPr="00FD1C7C">
        <w:rPr>
          <w:rFonts w:ascii="Times New Roman" w:hAnsi="Times New Roman" w:cs="Times New Roman"/>
          <w:b/>
          <w:color w:val="222222"/>
          <w:sz w:val="24"/>
          <w:szCs w:val="24"/>
          <w:lang w:val="en"/>
        </w:rPr>
        <w:t xml:space="preserve">ee </w:t>
      </w:r>
      <w:r w:rsidR="00654EB0">
        <w:rPr>
          <w:rFonts w:ascii="Times New Roman" w:hAnsi="Times New Roman" w:cs="Times New Roman"/>
          <w:b/>
          <w:color w:val="222222"/>
          <w:sz w:val="24"/>
          <w:szCs w:val="24"/>
          <w:lang w:val="en"/>
        </w:rPr>
        <w:t>c</w:t>
      </w:r>
      <w:r w:rsidRPr="00FD1C7C">
        <w:rPr>
          <w:rFonts w:ascii="Times New Roman" w:hAnsi="Times New Roman" w:cs="Times New Roman"/>
          <w:b/>
          <w:color w:val="222222"/>
          <w:sz w:val="24"/>
          <w:szCs w:val="24"/>
          <w:lang w:val="en"/>
        </w:rPr>
        <w:t xml:space="preserve">hanges </w:t>
      </w:r>
      <w:r w:rsidR="00654EB0">
        <w:rPr>
          <w:rFonts w:ascii="Times New Roman" w:hAnsi="Times New Roman" w:cs="Times New Roman"/>
          <w:b/>
          <w:color w:val="222222"/>
          <w:sz w:val="24"/>
          <w:szCs w:val="24"/>
          <w:lang w:val="en"/>
        </w:rPr>
        <w:t>s</w:t>
      </w:r>
      <w:r w:rsidRPr="00FD1C7C">
        <w:rPr>
          <w:rFonts w:ascii="Times New Roman" w:hAnsi="Times New Roman" w:cs="Times New Roman"/>
          <w:b/>
          <w:color w:val="222222"/>
          <w:sz w:val="24"/>
          <w:szCs w:val="24"/>
          <w:lang w:val="en"/>
        </w:rPr>
        <w:t>ummary</w:t>
      </w:r>
    </w:p>
    <w:p w:rsidR="00234303" w:rsidRDefault="00234303" w:rsidP="00656174">
      <w:pPr>
        <w:pStyle w:val="NormalWeb"/>
        <w:rPr>
          <w:rFonts w:ascii="Times New Roman" w:hAnsi="Times New Roman" w:cs="Times New Roman"/>
          <w:color w:val="222222"/>
          <w:sz w:val="24"/>
          <w:szCs w:val="24"/>
          <w:lang w:val="en"/>
        </w:rPr>
      </w:pPr>
    </w:p>
    <w:tbl>
      <w:tblPr>
        <w:tblStyle w:val="TableGrid"/>
        <w:tblW w:w="0" w:type="auto"/>
        <w:tblLook w:val="04A0" w:firstRow="1" w:lastRow="0" w:firstColumn="1" w:lastColumn="0" w:noHBand="0" w:noVBand="1"/>
      </w:tblPr>
      <w:tblGrid>
        <w:gridCol w:w="4585"/>
        <w:gridCol w:w="1710"/>
        <w:gridCol w:w="1255"/>
        <w:gridCol w:w="1255"/>
      </w:tblGrid>
      <w:tr w:rsidR="00654EB0" w:rsidTr="007A0CF8">
        <w:tc>
          <w:tcPr>
            <w:tcW w:w="4585" w:type="dxa"/>
          </w:tcPr>
          <w:p w:rsidR="00654EB0" w:rsidRPr="003B09EF" w:rsidRDefault="00654EB0" w:rsidP="00654EB0">
            <w:pPr>
              <w:pStyle w:val="NormalWeb"/>
              <w:rPr>
                <w:rFonts w:ascii="Times New Roman" w:hAnsi="Times New Roman" w:cs="Times New Roman"/>
                <w:b/>
                <w:color w:val="222222"/>
                <w:sz w:val="24"/>
                <w:szCs w:val="24"/>
                <w:lang w:val="en"/>
              </w:rPr>
            </w:pPr>
            <w:r w:rsidRPr="003B09EF">
              <w:rPr>
                <w:rFonts w:ascii="Times New Roman" w:hAnsi="Times New Roman" w:cs="Times New Roman"/>
                <w:b/>
                <w:color w:val="222222"/>
                <w:sz w:val="24"/>
                <w:szCs w:val="24"/>
                <w:lang w:val="en"/>
              </w:rPr>
              <w:t>Description</w:t>
            </w:r>
          </w:p>
        </w:tc>
        <w:tc>
          <w:tcPr>
            <w:tcW w:w="1710" w:type="dxa"/>
          </w:tcPr>
          <w:p w:rsidR="00654EB0" w:rsidRPr="003B09EF" w:rsidRDefault="00654EB0" w:rsidP="00654EB0">
            <w:pPr>
              <w:pStyle w:val="NormalWeb"/>
              <w:rPr>
                <w:rFonts w:ascii="Times New Roman" w:hAnsi="Times New Roman" w:cs="Times New Roman"/>
                <w:b/>
                <w:color w:val="222222"/>
                <w:sz w:val="24"/>
                <w:szCs w:val="24"/>
                <w:lang w:val="en"/>
              </w:rPr>
            </w:pPr>
            <w:r w:rsidRPr="003B09EF">
              <w:rPr>
                <w:rFonts w:ascii="Times New Roman" w:hAnsi="Times New Roman" w:cs="Times New Roman"/>
                <w:b/>
                <w:color w:val="222222"/>
                <w:sz w:val="24"/>
                <w:szCs w:val="24"/>
                <w:lang w:val="en"/>
              </w:rPr>
              <w:t xml:space="preserve">Current </w:t>
            </w:r>
            <w:r>
              <w:rPr>
                <w:rFonts w:ascii="Times New Roman" w:hAnsi="Times New Roman" w:cs="Times New Roman"/>
                <w:b/>
                <w:color w:val="222222"/>
                <w:sz w:val="24"/>
                <w:szCs w:val="24"/>
                <w:lang w:val="en"/>
              </w:rPr>
              <w:t>f</w:t>
            </w:r>
            <w:r w:rsidRPr="003B09EF">
              <w:rPr>
                <w:rFonts w:ascii="Times New Roman" w:hAnsi="Times New Roman" w:cs="Times New Roman"/>
                <w:b/>
                <w:color w:val="222222"/>
                <w:sz w:val="24"/>
                <w:szCs w:val="24"/>
                <w:lang w:val="en"/>
              </w:rPr>
              <w:t>ee</w:t>
            </w:r>
          </w:p>
        </w:tc>
        <w:tc>
          <w:tcPr>
            <w:tcW w:w="1255" w:type="dxa"/>
          </w:tcPr>
          <w:p w:rsidR="00654EB0" w:rsidRPr="003B09EF" w:rsidRDefault="00654EB0" w:rsidP="00654EB0">
            <w:pPr>
              <w:pStyle w:val="NormalWeb"/>
              <w:rPr>
                <w:rFonts w:ascii="Times New Roman" w:hAnsi="Times New Roman" w:cs="Times New Roman"/>
                <w:b/>
                <w:color w:val="222222"/>
                <w:sz w:val="24"/>
                <w:szCs w:val="24"/>
                <w:lang w:val="en"/>
              </w:rPr>
            </w:pPr>
            <w:r w:rsidRPr="003B09EF">
              <w:rPr>
                <w:rFonts w:ascii="Times New Roman" w:hAnsi="Times New Roman" w:cs="Times New Roman"/>
                <w:b/>
                <w:color w:val="222222"/>
                <w:sz w:val="24"/>
                <w:szCs w:val="24"/>
                <w:lang w:val="en"/>
              </w:rPr>
              <w:t>Change</w:t>
            </w:r>
          </w:p>
        </w:tc>
        <w:tc>
          <w:tcPr>
            <w:tcW w:w="1255" w:type="dxa"/>
          </w:tcPr>
          <w:p w:rsidR="00654EB0" w:rsidRPr="003B09EF" w:rsidRDefault="00654EB0" w:rsidP="00654EB0">
            <w:pPr>
              <w:pStyle w:val="NormalWeb"/>
              <w:rPr>
                <w:rFonts w:ascii="Times New Roman" w:hAnsi="Times New Roman" w:cs="Times New Roman"/>
                <w:b/>
                <w:color w:val="222222"/>
                <w:sz w:val="24"/>
                <w:szCs w:val="24"/>
                <w:lang w:val="en"/>
              </w:rPr>
            </w:pPr>
            <w:r w:rsidRPr="003B09EF">
              <w:rPr>
                <w:rFonts w:ascii="Times New Roman" w:hAnsi="Times New Roman" w:cs="Times New Roman"/>
                <w:b/>
                <w:color w:val="222222"/>
                <w:sz w:val="24"/>
                <w:szCs w:val="24"/>
                <w:lang w:val="en"/>
              </w:rPr>
              <w:t xml:space="preserve">Final </w:t>
            </w:r>
            <w:r>
              <w:rPr>
                <w:rFonts w:ascii="Times New Roman" w:hAnsi="Times New Roman" w:cs="Times New Roman"/>
                <w:b/>
                <w:color w:val="222222"/>
                <w:sz w:val="24"/>
                <w:szCs w:val="24"/>
                <w:lang w:val="en"/>
              </w:rPr>
              <w:t>f</w:t>
            </w:r>
            <w:r w:rsidRPr="003B09EF">
              <w:rPr>
                <w:rFonts w:ascii="Times New Roman" w:hAnsi="Times New Roman" w:cs="Times New Roman"/>
                <w:b/>
                <w:color w:val="222222"/>
                <w:sz w:val="24"/>
                <w:szCs w:val="24"/>
                <w:lang w:val="en"/>
              </w:rPr>
              <w:t>ee</w:t>
            </w:r>
          </w:p>
        </w:tc>
      </w:tr>
      <w:tr w:rsidR="00654EB0" w:rsidTr="007A0CF8">
        <w:tc>
          <w:tcPr>
            <w:tcW w:w="458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TEAS Regular application, per class</w:t>
            </w:r>
          </w:p>
        </w:tc>
        <w:tc>
          <w:tcPr>
            <w:tcW w:w="1710"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$325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$75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$400</w:t>
            </w:r>
          </w:p>
        </w:tc>
      </w:tr>
      <w:tr w:rsidR="00654EB0" w:rsidTr="007A0CF8">
        <w:tc>
          <w:tcPr>
            <w:tcW w:w="458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Additional processing fee for application that </w:t>
            </w:r>
            <w:r w:rsidR="003B4124">
              <w:rPr>
                <w:rFonts w:ascii="Times New Roman" w:hAnsi="Times New Roman" w:cs="Times New Roman"/>
                <w:color w:val="222222"/>
                <w:sz w:val="24"/>
                <w:szCs w:val="24"/>
                <w:lang w:val="en"/>
              </w:rPr>
              <w:t>d</w:t>
            </w:r>
            <w:r>
              <w:rPr>
                <w:rFonts w:ascii="Times New Roman" w:hAnsi="Times New Roman" w:cs="Times New Roman"/>
                <w:color w:val="222222"/>
                <w:sz w:val="24"/>
                <w:szCs w:val="24"/>
                <w:lang w:val="en"/>
              </w:rPr>
              <w:t>oesn't meet TEAS Plus or TEAS RF requirements</w:t>
            </w:r>
          </w:p>
        </w:tc>
        <w:tc>
          <w:tcPr>
            <w:tcW w:w="1710"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$50</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$75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$125</w:t>
            </w:r>
          </w:p>
        </w:tc>
      </w:tr>
      <w:tr w:rsidR="00654EB0" w:rsidTr="007A0CF8">
        <w:tc>
          <w:tcPr>
            <w:tcW w:w="4585" w:type="dxa"/>
          </w:tcPr>
          <w:p w:rsidR="00654EB0" w:rsidRDefault="00654EB0" w:rsidP="00654EB0">
            <w:pPr>
              <w:pStyle w:val="NormalWeb"/>
              <w:rPr>
                <w:rFonts w:ascii="Times New Roman" w:hAnsi="Times New Roman" w:cs="Times New Roman"/>
                <w:color w:val="222222"/>
                <w:sz w:val="24"/>
                <w:szCs w:val="24"/>
                <w:lang w:val="en"/>
              </w:rPr>
            </w:pPr>
            <w:r w:rsidRPr="003B09EF">
              <w:rPr>
                <w:rFonts w:ascii="Times New Roman" w:hAnsi="Times New Roman" w:cs="Times New Roman"/>
                <w:color w:val="222222"/>
                <w:sz w:val="24"/>
                <w:szCs w:val="24"/>
              </w:rPr>
              <w:t xml:space="preserve">Affidavit under §8 of the Act, per </w:t>
            </w:r>
            <w:r w:rsidR="000B6446">
              <w:rPr>
                <w:rFonts w:ascii="Times New Roman" w:hAnsi="Times New Roman" w:cs="Times New Roman"/>
                <w:color w:val="222222"/>
                <w:sz w:val="24"/>
                <w:szCs w:val="24"/>
              </w:rPr>
              <w:t>c</w:t>
            </w:r>
            <w:r w:rsidRPr="003B09EF">
              <w:rPr>
                <w:rFonts w:ascii="Times New Roman" w:hAnsi="Times New Roman" w:cs="Times New Roman"/>
                <w:color w:val="222222"/>
                <w:sz w:val="24"/>
                <w:szCs w:val="24"/>
              </w:rPr>
              <w:t>lass</w:t>
            </w:r>
          </w:p>
        </w:tc>
        <w:tc>
          <w:tcPr>
            <w:tcW w:w="1710"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$100</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$25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$125</w:t>
            </w:r>
          </w:p>
        </w:tc>
      </w:tr>
      <w:tr w:rsidR="00654EB0" w:rsidTr="007A0CF8">
        <w:tc>
          <w:tcPr>
            <w:tcW w:w="4585" w:type="dxa"/>
          </w:tcPr>
          <w:p w:rsidR="00654EB0" w:rsidRDefault="00654EB0" w:rsidP="00654EB0">
            <w:pPr>
              <w:pStyle w:val="NormalWeb"/>
              <w:rPr>
                <w:rFonts w:ascii="Times New Roman" w:hAnsi="Times New Roman" w:cs="Times New Roman"/>
                <w:color w:val="222222"/>
                <w:sz w:val="24"/>
                <w:szCs w:val="24"/>
                <w:lang w:val="en"/>
              </w:rPr>
            </w:pPr>
            <w:r w:rsidRPr="003B09EF">
              <w:rPr>
                <w:rFonts w:ascii="Times New Roman" w:hAnsi="Times New Roman" w:cs="Times New Roman"/>
                <w:color w:val="222222"/>
                <w:sz w:val="24"/>
                <w:szCs w:val="24"/>
              </w:rPr>
              <w:t xml:space="preserve">Affidavit under §71 of the Act, per </w:t>
            </w:r>
            <w:r w:rsidR="000B6446">
              <w:rPr>
                <w:rFonts w:ascii="Times New Roman" w:hAnsi="Times New Roman" w:cs="Times New Roman"/>
                <w:color w:val="222222"/>
                <w:sz w:val="24"/>
                <w:szCs w:val="24"/>
              </w:rPr>
              <w:t>c</w:t>
            </w:r>
            <w:r w:rsidRPr="003B09EF">
              <w:rPr>
                <w:rFonts w:ascii="Times New Roman" w:hAnsi="Times New Roman" w:cs="Times New Roman"/>
                <w:color w:val="222222"/>
                <w:sz w:val="24"/>
                <w:szCs w:val="24"/>
              </w:rPr>
              <w:t>lass</w:t>
            </w:r>
          </w:p>
        </w:tc>
        <w:tc>
          <w:tcPr>
            <w:tcW w:w="1710"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$100</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$25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$125</w:t>
            </w:r>
          </w:p>
        </w:tc>
      </w:tr>
      <w:tr w:rsidR="00654EB0" w:rsidTr="007A0CF8">
        <w:tc>
          <w:tcPr>
            <w:tcW w:w="458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Extension </w:t>
            </w:r>
            <w:r w:rsidR="000B6446">
              <w:rPr>
                <w:rFonts w:ascii="Times New Roman" w:hAnsi="Times New Roman" w:cs="Times New Roman"/>
                <w:color w:val="222222"/>
                <w:sz w:val="24"/>
                <w:szCs w:val="24"/>
                <w:lang w:val="en"/>
              </w:rPr>
              <w:t>r</w:t>
            </w:r>
            <w:r>
              <w:rPr>
                <w:rFonts w:ascii="Times New Roman" w:hAnsi="Times New Roman" w:cs="Times New Roman"/>
                <w:color w:val="222222"/>
                <w:sz w:val="24"/>
                <w:szCs w:val="24"/>
                <w:lang w:val="en"/>
              </w:rPr>
              <w:t xml:space="preserve">equest, per </w:t>
            </w:r>
            <w:r w:rsidR="000B6446">
              <w:rPr>
                <w:rFonts w:ascii="Times New Roman" w:hAnsi="Times New Roman" w:cs="Times New Roman"/>
                <w:color w:val="222222"/>
                <w:sz w:val="24"/>
                <w:szCs w:val="24"/>
                <w:lang w:val="en"/>
              </w:rPr>
              <w:t>c</w:t>
            </w:r>
            <w:r>
              <w:rPr>
                <w:rFonts w:ascii="Times New Roman" w:hAnsi="Times New Roman" w:cs="Times New Roman"/>
                <w:color w:val="222222"/>
                <w:sz w:val="24"/>
                <w:szCs w:val="24"/>
                <w:lang w:val="en"/>
              </w:rPr>
              <w:t>lass</w:t>
            </w:r>
          </w:p>
        </w:tc>
        <w:tc>
          <w:tcPr>
            <w:tcW w:w="1710"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$150</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($25)</w:t>
            </w:r>
          </w:p>
        </w:tc>
        <w:tc>
          <w:tcPr>
            <w:tcW w:w="1255" w:type="dxa"/>
          </w:tcPr>
          <w:p w:rsidR="00654EB0" w:rsidRDefault="00654EB0" w:rsidP="00654EB0">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$125</w:t>
            </w:r>
          </w:p>
        </w:tc>
      </w:tr>
    </w:tbl>
    <w:p w:rsidR="00234303" w:rsidRDefault="00234303" w:rsidP="00656174">
      <w:pPr>
        <w:pStyle w:val="NormalWeb"/>
        <w:rPr>
          <w:rFonts w:ascii="Times New Roman" w:hAnsi="Times New Roman" w:cs="Times New Roman"/>
          <w:color w:val="222222"/>
          <w:sz w:val="24"/>
          <w:szCs w:val="24"/>
          <w:lang w:val="en"/>
        </w:rPr>
      </w:pPr>
    </w:p>
    <w:p w:rsidR="005752ED" w:rsidRDefault="005752ED" w:rsidP="00656174">
      <w:pPr>
        <w:pStyle w:val="NormalWeb"/>
        <w:rPr>
          <w:rFonts w:ascii="Times New Roman" w:hAnsi="Times New Roman" w:cs="Times New Roman"/>
          <w:color w:val="222222"/>
          <w:sz w:val="24"/>
          <w:szCs w:val="24"/>
          <w:lang w:val="en"/>
        </w:rPr>
      </w:pPr>
    </w:p>
    <w:p w:rsidR="00080B66" w:rsidRDefault="00080B66" w:rsidP="00656174">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TEAS Regular</w:t>
      </w:r>
    </w:p>
    <w:p w:rsidR="00080B66" w:rsidRDefault="002044C7" w:rsidP="003B4124">
      <w:pPr>
        <w:pStyle w:val="NormalWeb"/>
        <w:numPr>
          <w:ilvl w:val="0"/>
          <w:numId w:val="11"/>
        </w:numPr>
        <w:rPr>
          <w:rFonts w:ascii="Times New Roman" w:hAnsi="Times New Roman" w:cs="Times New Roman"/>
          <w:color w:val="222222"/>
          <w:sz w:val="24"/>
          <w:szCs w:val="24"/>
          <w:lang w:val="en"/>
        </w:rPr>
      </w:pPr>
      <w:r w:rsidRPr="00CD747B">
        <w:rPr>
          <w:rFonts w:ascii="Times New Roman" w:hAnsi="Times New Roman" w:cs="Times New Roman"/>
          <w:color w:val="222222"/>
          <w:sz w:val="24"/>
          <w:szCs w:val="24"/>
          <w:lang w:val="en"/>
        </w:rPr>
        <w:t xml:space="preserve">The per-class fee for an initial application for registration filed using the </w:t>
      </w:r>
      <w:r>
        <w:rPr>
          <w:rFonts w:ascii="Times New Roman" w:hAnsi="Times New Roman" w:cs="Times New Roman"/>
          <w:color w:val="222222"/>
          <w:sz w:val="24"/>
          <w:szCs w:val="24"/>
          <w:lang w:val="en"/>
        </w:rPr>
        <w:t>TEAS R</w:t>
      </w:r>
      <w:r w:rsidRPr="00CD747B">
        <w:rPr>
          <w:rFonts w:ascii="Times New Roman" w:hAnsi="Times New Roman" w:cs="Times New Roman"/>
          <w:color w:val="222222"/>
          <w:sz w:val="24"/>
          <w:szCs w:val="24"/>
          <w:lang w:val="en"/>
        </w:rPr>
        <w:t xml:space="preserve">egular option will increase </w:t>
      </w:r>
      <w:r w:rsidR="009E7B2A">
        <w:rPr>
          <w:rFonts w:ascii="Times New Roman" w:hAnsi="Times New Roman" w:cs="Times New Roman"/>
          <w:color w:val="222222"/>
          <w:sz w:val="24"/>
          <w:szCs w:val="24"/>
          <w:lang w:val="en"/>
        </w:rPr>
        <w:t xml:space="preserve">from $325 to $400.  </w:t>
      </w:r>
    </w:p>
    <w:p w:rsidR="00080B66" w:rsidRPr="003B4124" w:rsidRDefault="00080B66" w:rsidP="003B4124">
      <w:pPr>
        <w:pStyle w:val="NormalWeb"/>
        <w:numPr>
          <w:ilvl w:val="0"/>
          <w:numId w:val="11"/>
        </w:numPr>
        <w:rPr>
          <w:rFonts w:ascii="Times New Roman" w:hAnsi="Times New Roman" w:cs="Times New Roman"/>
          <w:color w:val="222222"/>
          <w:sz w:val="24"/>
          <w:szCs w:val="24"/>
          <w:lang w:val="en"/>
        </w:rPr>
      </w:pPr>
      <w:r>
        <w:rPr>
          <w:rFonts w:ascii="Times New Roman" w:hAnsi="Times New Roman" w:cs="Times New Roman"/>
          <w:color w:val="222222"/>
          <w:sz w:val="24"/>
          <w:szCs w:val="24"/>
        </w:rPr>
        <w:t>This</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application</w:t>
      </w:r>
      <w:r>
        <w:rPr>
          <w:rFonts w:ascii="Times New Roman" w:hAnsi="Times New Roman" w:cs="Times New Roman"/>
          <w:color w:val="222222"/>
          <w:sz w:val="24"/>
          <w:szCs w:val="24"/>
        </w:rPr>
        <w:t xml:space="preserve"> type</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 xml:space="preserve">does not require </w:t>
      </w:r>
      <w:r>
        <w:rPr>
          <w:rFonts w:ascii="Times New Roman" w:hAnsi="Times New Roman" w:cs="Times New Roman"/>
          <w:color w:val="222222"/>
          <w:sz w:val="24"/>
          <w:szCs w:val="24"/>
        </w:rPr>
        <w:t>an</w:t>
      </w:r>
      <w:r w:rsidRP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applicant communicat</w:t>
      </w:r>
      <w:r>
        <w:rPr>
          <w:rFonts w:ascii="Times New Roman" w:hAnsi="Times New Roman" w:cs="Times New Roman"/>
          <w:color w:val="222222"/>
          <w:sz w:val="24"/>
          <w:szCs w:val="24"/>
        </w:rPr>
        <w:t>e</w:t>
      </w:r>
      <w:r w:rsidR="009E7B2A" w:rsidRPr="009E7B2A">
        <w:rPr>
          <w:rFonts w:ascii="Times New Roman" w:hAnsi="Times New Roman" w:cs="Times New Roman"/>
          <w:color w:val="222222"/>
          <w:sz w:val="24"/>
          <w:szCs w:val="24"/>
        </w:rPr>
        <w:t xml:space="preserve"> electronically</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 xml:space="preserve">with </w:t>
      </w:r>
      <w:r>
        <w:rPr>
          <w:rFonts w:ascii="Times New Roman" w:hAnsi="Times New Roman" w:cs="Times New Roman"/>
          <w:color w:val="222222"/>
          <w:sz w:val="24"/>
          <w:szCs w:val="24"/>
        </w:rPr>
        <w:t>us</w:t>
      </w:r>
      <w:r w:rsidR="009E7B2A" w:rsidRPr="009E7B2A">
        <w:rPr>
          <w:rFonts w:ascii="Times New Roman" w:hAnsi="Times New Roman" w:cs="Times New Roman"/>
          <w:color w:val="222222"/>
          <w:sz w:val="24"/>
          <w:szCs w:val="24"/>
        </w:rPr>
        <w:t xml:space="preserve"> </w:t>
      </w:r>
      <w:proofErr w:type="gramStart"/>
      <w:r w:rsidR="009E7B2A" w:rsidRPr="009E7B2A">
        <w:rPr>
          <w:rFonts w:ascii="Times New Roman" w:hAnsi="Times New Roman" w:cs="Times New Roman"/>
          <w:color w:val="222222"/>
          <w:sz w:val="24"/>
          <w:szCs w:val="24"/>
        </w:rPr>
        <w:t>throughout</w:t>
      </w:r>
      <w:proofErr w:type="gramEnd"/>
      <w:r w:rsidR="009E7B2A" w:rsidRPr="009E7B2A">
        <w:rPr>
          <w:rFonts w:ascii="Times New Roman" w:hAnsi="Times New Roman" w:cs="Times New Roman"/>
          <w:color w:val="222222"/>
          <w:sz w:val="24"/>
          <w:szCs w:val="24"/>
        </w:rPr>
        <w:t xml:space="preserve"> the course of</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prosecution of the application.</w:t>
      </w:r>
      <w:r w:rsidR="009E7B2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This increase </w:t>
      </w:r>
      <w:r w:rsidR="009E7B2A" w:rsidRPr="009E7B2A">
        <w:rPr>
          <w:rFonts w:ascii="Times New Roman" w:hAnsi="Times New Roman" w:cs="Times New Roman"/>
          <w:color w:val="222222"/>
          <w:sz w:val="24"/>
          <w:szCs w:val="24"/>
        </w:rPr>
        <w:t>will encourage applicants to</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commit to complete electronic</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processing using one of the lower-cost</w:t>
      </w:r>
      <w:r w:rsidR="009E7B2A">
        <w:rPr>
          <w:rFonts w:ascii="Times New Roman" w:hAnsi="Times New Roman" w:cs="Times New Roman"/>
          <w:color w:val="222222"/>
          <w:sz w:val="24"/>
          <w:szCs w:val="24"/>
        </w:rPr>
        <w:t xml:space="preserve"> </w:t>
      </w:r>
      <w:r w:rsidR="009E7B2A" w:rsidRPr="009E7B2A">
        <w:rPr>
          <w:rFonts w:ascii="Times New Roman" w:hAnsi="Times New Roman" w:cs="Times New Roman"/>
          <w:color w:val="222222"/>
          <w:sz w:val="24"/>
          <w:szCs w:val="24"/>
        </w:rPr>
        <w:t>application options</w:t>
      </w:r>
      <w:r>
        <w:rPr>
          <w:rFonts w:ascii="Times New Roman" w:hAnsi="Times New Roman" w:cs="Times New Roman"/>
          <w:color w:val="222222"/>
          <w:sz w:val="24"/>
          <w:szCs w:val="24"/>
        </w:rPr>
        <w:t xml:space="preserve"> (</w:t>
      </w:r>
      <w:r w:rsidRPr="009E7B2A">
        <w:rPr>
          <w:rFonts w:ascii="Times New Roman" w:hAnsi="Times New Roman" w:cs="Times New Roman"/>
          <w:color w:val="222222"/>
          <w:sz w:val="24"/>
          <w:szCs w:val="24"/>
        </w:rPr>
        <w:t>T</w:t>
      </w:r>
      <w:r>
        <w:rPr>
          <w:rFonts w:ascii="Times New Roman" w:hAnsi="Times New Roman" w:cs="Times New Roman"/>
          <w:color w:val="222222"/>
          <w:sz w:val="24"/>
          <w:szCs w:val="24"/>
        </w:rPr>
        <w:t>EAS Plus and TEAS RF).</w:t>
      </w:r>
    </w:p>
    <w:p w:rsidR="002044C7" w:rsidRDefault="002044C7" w:rsidP="003B4124">
      <w:pPr>
        <w:pStyle w:val="NormalWeb"/>
        <w:numPr>
          <w:ilvl w:val="0"/>
          <w:numId w:val="11"/>
        </w:numPr>
        <w:rPr>
          <w:rFonts w:ascii="Times New Roman" w:hAnsi="Times New Roman" w:cs="Times New Roman"/>
          <w:color w:val="222222"/>
          <w:sz w:val="24"/>
          <w:szCs w:val="24"/>
          <w:lang w:val="en"/>
        </w:rPr>
      </w:pPr>
      <w:r w:rsidRPr="00CD747B">
        <w:rPr>
          <w:rFonts w:ascii="Times New Roman" w:hAnsi="Times New Roman" w:cs="Times New Roman"/>
          <w:color w:val="222222"/>
          <w:sz w:val="24"/>
          <w:szCs w:val="24"/>
          <w:lang w:val="en"/>
        </w:rPr>
        <w:t>This increase also applies to requests for extension of protection and subsequent designations f</w:t>
      </w:r>
      <w:r w:rsidR="009E7B2A">
        <w:rPr>
          <w:rFonts w:ascii="Times New Roman" w:hAnsi="Times New Roman" w:cs="Times New Roman"/>
          <w:color w:val="222222"/>
          <w:sz w:val="24"/>
          <w:szCs w:val="24"/>
          <w:lang w:val="en"/>
        </w:rPr>
        <w:t xml:space="preserve">iled under the Madrid Protocol. </w:t>
      </w:r>
    </w:p>
    <w:p w:rsidR="002044C7" w:rsidRDefault="002044C7" w:rsidP="00656174">
      <w:pPr>
        <w:pStyle w:val="NormalWeb"/>
        <w:rPr>
          <w:rFonts w:ascii="Times New Roman" w:hAnsi="Times New Roman" w:cs="Times New Roman"/>
          <w:color w:val="222222"/>
          <w:sz w:val="24"/>
          <w:szCs w:val="24"/>
          <w:lang w:val="en"/>
        </w:rPr>
      </w:pPr>
    </w:p>
    <w:p w:rsidR="00080B66" w:rsidRDefault="003B4124" w:rsidP="00080B66">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Other Electronic Fee Changes</w:t>
      </w:r>
    </w:p>
    <w:p w:rsidR="00080B66" w:rsidRDefault="009E7B2A" w:rsidP="003B4124">
      <w:pPr>
        <w:pStyle w:val="NormalWeb"/>
        <w:numPr>
          <w:ilvl w:val="0"/>
          <w:numId w:val="12"/>
        </w:numPr>
        <w:rPr>
          <w:rFonts w:ascii="Times New Roman" w:hAnsi="Times New Roman" w:cs="Times New Roman"/>
          <w:color w:val="222222"/>
          <w:sz w:val="24"/>
          <w:szCs w:val="24"/>
          <w:lang w:val="en"/>
        </w:rPr>
      </w:pPr>
      <w:r w:rsidRPr="00CD747B">
        <w:rPr>
          <w:rFonts w:ascii="Times New Roman" w:hAnsi="Times New Roman" w:cs="Times New Roman"/>
          <w:color w:val="222222"/>
          <w:sz w:val="24"/>
          <w:szCs w:val="24"/>
          <w:lang w:val="en"/>
        </w:rPr>
        <w:t>We are reducing the fee from $150 to $125 per class for a request for an extension of time to file a statement of use that is filed electronically.  </w:t>
      </w:r>
    </w:p>
    <w:p w:rsidR="00080B66" w:rsidRPr="003B4124" w:rsidRDefault="009E7B2A" w:rsidP="003B4124">
      <w:pPr>
        <w:pStyle w:val="NormalWeb"/>
        <w:numPr>
          <w:ilvl w:val="0"/>
          <w:numId w:val="12"/>
        </w:numPr>
        <w:rPr>
          <w:rFonts w:ascii="Times New Roman" w:hAnsi="Times New Roman" w:cs="Times New Roman"/>
          <w:color w:val="222222"/>
          <w:sz w:val="24"/>
          <w:szCs w:val="24"/>
          <w:lang w:val="en"/>
        </w:rPr>
      </w:pPr>
      <w:r w:rsidRPr="00CD747B">
        <w:rPr>
          <w:rFonts w:ascii="Times New Roman" w:hAnsi="Times New Roman" w:cs="Times New Roman"/>
          <w:color w:val="222222"/>
          <w:sz w:val="24"/>
          <w:szCs w:val="24"/>
          <w:lang w:val="en"/>
        </w:rPr>
        <w:t>T</w:t>
      </w:r>
      <w:r w:rsidRPr="00CD747B">
        <w:rPr>
          <w:rFonts w:ascii="Times New Roman" w:hAnsi="Times New Roman" w:cs="Times New Roman"/>
          <w:color w:val="222222"/>
          <w:sz w:val="24"/>
          <w:szCs w:val="24"/>
          <w:bdr w:val="none" w:sz="0" w:space="0" w:color="auto" w:frame="1"/>
          <w:lang w:val="en"/>
        </w:rPr>
        <w:t>he fee for filing affidavits under Sections 8 and 71 will also increase from $100 to $125 per class under the new fee rule.  </w:t>
      </w:r>
    </w:p>
    <w:p w:rsidR="003B09EF" w:rsidRDefault="00080B66" w:rsidP="003B4124">
      <w:pPr>
        <w:pStyle w:val="NormalWeb"/>
        <w:numPr>
          <w:ilvl w:val="0"/>
          <w:numId w:val="12"/>
        </w:numPr>
        <w:rPr>
          <w:rFonts w:ascii="Times New Roman" w:hAnsi="Times New Roman" w:cs="Times New Roman"/>
          <w:color w:val="222222"/>
          <w:sz w:val="24"/>
          <w:szCs w:val="24"/>
          <w:lang w:val="en"/>
        </w:rPr>
      </w:pPr>
      <w:r>
        <w:rPr>
          <w:rFonts w:ascii="Times New Roman" w:hAnsi="Times New Roman" w:cs="Times New Roman"/>
          <w:color w:val="222222"/>
          <w:sz w:val="24"/>
          <w:szCs w:val="24"/>
          <w:bdr w:val="none" w:sz="0" w:space="0" w:color="auto" w:frame="1"/>
          <w:lang w:val="en"/>
        </w:rPr>
        <w:lastRenderedPageBreak/>
        <w:t>T</w:t>
      </w:r>
      <w:r w:rsidR="009E7B2A" w:rsidRPr="00CD747B">
        <w:rPr>
          <w:rFonts w:ascii="Times New Roman" w:hAnsi="Times New Roman" w:cs="Times New Roman"/>
          <w:color w:val="222222"/>
          <w:sz w:val="24"/>
          <w:szCs w:val="24"/>
          <w:bdr w:val="none" w:sz="0" w:space="0" w:color="auto" w:frame="1"/>
          <w:lang w:val="en"/>
        </w:rPr>
        <w:t>he processing fee for an application that doesn't meet the TEAS Plus or TEAS RF filing requirements will increase from $50 to $125 per class.</w:t>
      </w:r>
      <w:r w:rsidR="009E7B2A">
        <w:rPr>
          <w:rFonts w:ascii="Times New Roman" w:hAnsi="Times New Roman" w:cs="Times New Roman"/>
          <w:color w:val="222222"/>
          <w:sz w:val="24"/>
          <w:szCs w:val="24"/>
          <w:bdr w:val="none" w:sz="0" w:space="0" w:color="auto" w:frame="1"/>
          <w:lang w:val="en"/>
        </w:rPr>
        <w:t xml:space="preserve">  </w:t>
      </w:r>
      <w:r w:rsidR="009E7B2A">
        <w:rPr>
          <w:rFonts w:ascii="Times New Roman" w:hAnsi="Times New Roman" w:cs="Times New Roman"/>
          <w:color w:val="222222"/>
          <w:sz w:val="24"/>
          <w:szCs w:val="24"/>
          <w:lang w:val="en"/>
        </w:rPr>
        <w:t>See the</w:t>
      </w:r>
      <w:r w:rsidR="002044C7">
        <w:rPr>
          <w:rFonts w:ascii="Times New Roman" w:hAnsi="Times New Roman" w:cs="Times New Roman"/>
          <w:color w:val="222222"/>
          <w:sz w:val="24"/>
          <w:szCs w:val="24"/>
          <w:lang w:val="en"/>
        </w:rPr>
        <w:t xml:space="preserve"> </w:t>
      </w:r>
      <w:hyperlink r:id="rId7" w:history="1">
        <w:r w:rsidR="002044C7" w:rsidRPr="002044C7">
          <w:rPr>
            <w:rStyle w:val="Hyperlink"/>
            <w:rFonts w:ascii="Times New Roman" w:hAnsi="Times New Roman" w:cs="Times New Roman"/>
            <w:bdr w:val="none" w:sz="0" w:space="0" w:color="auto"/>
            <w:lang w:val="en"/>
          </w:rPr>
          <w:t>Trademark fee changes page</w:t>
        </w:r>
      </w:hyperlink>
      <w:r w:rsidR="002044C7">
        <w:rPr>
          <w:rFonts w:ascii="Times New Roman" w:hAnsi="Times New Roman" w:cs="Times New Roman"/>
          <w:color w:val="222222"/>
          <w:sz w:val="24"/>
          <w:szCs w:val="24"/>
          <w:lang w:val="en"/>
        </w:rPr>
        <w:t xml:space="preserve"> </w:t>
      </w:r>
      <w:r w:rsidR="009E7B2A">
        <w:rPr>
          <w:rFonts w:ascii="Times New Roman" w:hAnsi="Times New Roman" w:cs="Times New Roman"/>
          <w:color w:val="222222"/>
          <w:sz w:val="24"/>
          <w:szCs w:val="24"/>
          <w:lang w:val="en"/>
        </w:rPr>
        <w:t xml:space="preserve">for a </w:t>
      </w:r>
      <w:r w:rsidR="002044C7">
        <w:rPr>
          <w:rFonts w:ascii="Times New Roman" w:hAnsi="Times New Roman" w:cs="Times New Roman"/>
          <w:color w:val="222222"/>
          <w:sz w:val="24"/>
          <w:szCs w:val="24"/>
          <w:lang w:val="en"/>
        </w:rPr>
        <w:t xml:space="preserve">list of </w:t>
      </w:r>
      <w:r w:rsidR="009E7B2A">
        <w:rPr>
          <w:rFonts w:ascii="Times New Roman" w:hAnsi="Times New Roman" w:cs="Times New Roman"/>
          <w:color w:val="222222"/>
          <w:sz w:val="24"/>
          <w:szCs w:val="24"/>
          <w:lang w:val="en"/>
        </w:rPr>
        <w:t xml:space="preserve">all </w:t>
      </w:r>
      <w:r w:rsidR="002044C7">
        <w:rPr>
          <w:rFonts w:ascii="Times New Roman" w:hAnsi="Times New Roman" w:cs="Times New Roman"/>
          <w:color w:val="222222"/>
          <w:sz w:val="24"/>
          <w:szCs w:val="24"/>
          <w:lang w:val="en"/>
        </w:rPr>
        <w:t xml:space="preserve">fees that will be adjusted.  </w:t>
      </w:r>
    </w:p>
    <w:p w:rsidR="00B92DCF" w:rsidRDefault="00B92DCF" w:rsidP="00F63D27">
      <w:pPr>
        <w:pStyle w:val="NormalWeb"/>
        <w:rPr>
          <w:rFonts w:ascii="Times New Roman" w:hAnsi="Times New Roman" w:cs="Times New Roman"/>
          <w:color w:val="222222"/>
          <w:sz w:val="24"/>
          <w:szCs w:val="24"/>
          <w:lang w:val="en"/>
        </w:rPr>
      </w:pPr>
    </w:p>
    <w:p w:rsidR="00080B66" w:rsidRDefault="00080B66" w:rsidP="00080B66">
      <w:pPr>
        <w:pStyle w:val="NormalWeb"/>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Paper filing fees: </w:t>
      </w:r>
    </w:p>
    <w:p w:rsidR="00080B66" w:rsidRDefault="00080B66" w:rsidP="00080B66">
      <w:pPr>
        <w:pStyle w:val="NormalWeb"/>
        <w:numPr>
          <w:ilvl w:val="0"/>
          <w:numId w:val="10"/>
        </w:numPr>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All paper filing fees will increase to bring the fees closer to the actual cost of processing paper filings and to incentivize electronic filing.  </w:t>
      </w:r>
    </w:p>
    <w:p w:rsidR="00080B66" w:rsidRPr="00CD747B" w:rsidRDefault="00080B66" w:rsidP="00F63D27">
      <w:pPr>
        <w:pStyle w:val="NormalWeb"/>
        <w:rPr>
          <w:rFonts w:ascii="Times New Roman" w:hAnsi="Times New Roman" w:cs="Times New Roman"/>
          <w:color w:val="222222"/>
          <w:sz w:val="24"/>
          <w:szCs w:val="24"/>
          <w:lang w:val="en"/>
        </w:rPr>
      </w:pPr>
    </w:p>
    <w:p w:rsidR="00BD2699" w:rsidRPr="00BD0BC8" w:rsidRDefault="003B372B" w:rsidP="00181BA3">
      <w:pPr>
        <w:spacing w:after="0"/>
        <w:rPr>
          <w:rFonts w:ascii="Times New Roman" w:hAnsi="Times New Roman" w:cs="Times New Roman"/>
          <w:b/>
          <w:sz w:val="32"/>
          <w:szCs w:val="32"/>
          <w:u w:val="single"/>
        </w:rPr>
      </w:pPr>
      <w:r w:rsidRPr="00BD0BC8">
        <w:rPr>
          <w:rFonts w:ascii="Times New Roman" w:hAnsi="Times New Roman" w:cs="Times New Roman"/>
          <w:b/>
          <w:sz w:val="32"/>
          <w:szCs w:val="32"/>
          <w:u w:val="single"/>
        </w:rPr>
        <w:t xml:space="preserve">TEAS </w:t>
      </w:r>
      <w:r w:rsidR="00905096">
        <w:rPr>
          <w:rFonts w:ascii="Times New Roman" w:hAnsi="Times New Roman" w:cs="Times New Roman"/>
          <w:b/>
          <w:sz w:val="32"/>
          <w:szCs w:val="32"/>
          <w:u w:val="single"/>
        </w:rPr>
        <w:t>r</w:t>
      </w:r>
      <w:r w:rsidRPr="00BD0BC8">
        <w:rPr>
          <w:rFonts w:ascii="Times New Roman" w:hAnsi="Times New Roman" w:cs="Times New Roman"/>
          <w:b/>
          <w:sz w:val="32"/>
          <w:szCs w:val="32"/>
          <w:u w:val="single"/>
        </w:rPr>
        <w:t xml:space="preserve">eformatted </w:t>
      </w:r>
      <w:r w:rsidR="00905096">
        <w:rPr>
          <w:rFonts w:ascii="Times New Roman" w:hAnsi="Times New Roman" w:cs="Times New Roman"/>
          <w:b/>
          <w:sz w:val="32"/>
          <w:szCs w:val="32"/>
          <w:u w:val="single"/>
        </w:rPr>
        <w:t>d</w:t>
      </w:r>
      <w:r w:rsidR="00BD2699" w:rsidRPr="00BD0BC8">
        <w:rPr>
          <w:rFonts w:ascii="Times New Roman" w:hAnsi="Times New Roman" w:cs="Times New Roman"/>
          <w:b/>
          <w:sz w:val="32"/>
          <w:szCs w:val="32"/>
          <w:u w:val="single"/>
        </w:rPr>
        <w:t>eclaration</w:t>
      </w:r>
      <w:r w:rsidRPr="00BD0BC8">
        <w:rPr>
          <w:rFonts w:ascii="Times New Roman" w:hAnsi="Times New Roman" w:cs="Times New Roman"/>
          <w:b/>
          <w:sz w:val="32"/>
          <w:szCs w:val="32"/>
          <w:u w:val="single"/>
        </w:rPr>
        <w:t>s</w:t>
      </w:r>
    </w:p>
    <w:p w:rsidR="00A57CD9" w:rsidRDefault="00A57CD9" w:rsidP="00181BA3">
      <w:pPr>
        <w:pStyle w:val="gdp"/>
        <w:spacing w:before="0" w:beforeAutospacing="0" w:after="0" w:afterAutospacing="0"/>
        <w:jc w:val="both"/>
        <w:rPr>
          <w:color w:val="000000"/>
        </w:rPr>
      </w:pPr>
    </w:p>
    <w:p w:rsidR="00A57CD9" w:rsidRDefault="00A57CD9" w:rsidP="00181BA3">
      <w:pPr>
        <w:pStyle w:val="gdp"/>
        <w:spacing w:before="0" w:beforeAutospacing="0" w:after="0" w:afterAutospacing="0"/>
        <w:jc w:val="both"/>
        <w:rPr>
          <w:color w:val="000000"/>
        </w:rPr>
      </w:pPr>
      <w:r w:rsidRPr="00181BA3">
        <w:rPr>
          <w:color w:val="000000"/>
        </w:rPr>
        <w:t>Starting Jan</w:t>
      </w:r>
      <w:r w:rsidR="005752ED">
        <w:rPr>
          <w:color w:val="000000"/>
        </w:rPr>
        <w:t>.</w:t>
      </w:r>
      <w:r w:rsidRPr="00181BA3">
        <w:rPr>
          <w:color w:val="000000"/>
        </w:rPr>
        <w:t xml:space="preserve"> 14, 2017, you will see improvements to the declaration and signature portion section of several forms within TEAS. We separated the clauses in these areas so they are easier to read and require users to check a box next to each one prior to submission. This change </w:t>
      </w:r>
      <w:r>
        <w:rPr>
          <w:color w:val="000000"/>
        </w:rPr>
        <w:t xml:space="preserve">will appear on </w:t>
      </w:r>
      <w:r w:rsidRPr="00181BA3">
        <w:rPr>
          <w:color w:val="000000"/>
        </w:rPr>
        <w:t>the followin</w:t>
      </w:r>
      <w:r w:rsidRPr="00656174">
        <w:rPr>
          <w:color w:val="000000"/>
        </w:rPr>
        <w:t>g forms:</w:t>
      </w:r>
    </w:p>
    <w:p w:rsidR="00A57CD9" w:rsidRDefault="00A57CD9" w:rsidP="00181BA3">
      <w:pPr>
        <w:pStyle w:val="gdp"/>
        <w:spacing w:before="0" w:beforeAutospacing="0" w:after="0" w:afterAutospacing="0"/>
        <w:jc w:val="both"/>
        <w:rPr>
          <w:color w:val="000000"/>
        </w:rPr>
      </w:pPr>
    </w:p>
    <w:p w:rsidR="00A57CD9" w:rsidRDefault="00A57CD9" w:rsidP="00181BA3">
      <w:pPr>
        <w:pStyle w:val="gdp"/>
        <w:numPr>
          <w:ilvl w:val="0"/>
          <w:numId w:val="9"/>
        </w:numPr>
        <w:spacing w:before="0" w:beforeAutospacing="0" w:after="0" w:afterAutospacing="0"/>
        <w:jc w:val="both"/>
        <w:rPr>
          <w:color w:val="000000"/>
        </w:rPr>
      </w:pPr>
      <w:r>
        <w:rPr>
          <w:color w:val="000000"/>
        </w:rPr>
        <w:t>TEAS Plus</w:t>
      </w:r>
    </w:p>
    <w:p w:rsidR="00A57CD9" w:rsidRDefault="00A57CD9" w:rsidP="00181BA3">
      <w:pPr>
        <w:pStyle w:val="gdp"/>
        <w:numPr>
          <w:ilvl w:val="0"/>
          <w:numId w:val="9"/>
        </w:numPr>
        <w:spacing w:before="0" w:beforeAutospacing="0" w:after="0" w:afterAutospacing="0"/>
        <w:jc w:val="both"/>
        <w:rPr>
          <w:color w:val="000000"/>
        </w:rPr>
      </w:pPr>
      <w:r>
        <w:rPr>
          <w:color w:val="000000"/>
        </w:rPr>
        <w:t>TEAS Regular</w:t>
      </w:r>
    </w:p>
    <w:p w:rsidR="00A57CD9" w:rsidRDefault="00A57CD9" w:rsidP="00181BA3">
      <w:pPr>
        <w:pStyle w:val="gdp"/>
        <w:numPr>
          <w:ilvl w:val="0"/>
          <w:numId w:val="9"/>
        </w:numPr>
        <w:spacing w:before="0" w:beforeAutospacing="0" w:after="0" w:afterAutospacing="0"/>
        <w:jc w:val="both"/>
        <w:rPr>
          <w:color w:val="000000"/>
        </w:rPr>
      </w:pPr>
      <w:r>
        <w:rPr>
          <w:color w:val="000000"/>
        </w:rPr>
        <w:t>TEAS RF</w:t>
      </w:r>
    </w:p>
    <w:p w:rsidR="00A57CD9" w:rsidRDefault="00A57CD9" w:rsidP="00181BA3">
      <w:pPr>
        <w:pStyle w:val="gdp"/>
        <w:numPr>
          <w:ilvl w:val="0"/>
          <w:numId w:val="9"/>
        </w:numPr>
        <w:spacing w:before="0" w:beforeAutospacing="0" w:after="0" w:afterAutospacing="0"/>
        <w:jc w:val="both"/>
        <w:rPr>
          <w:color w:val="000000"/>
        </w:rPr>
      </w:pPr>
      <w:r>
        <w:rPr>
          <w:color w:val="000000"/>
        </w:rPr>
        <w:t>Certification Mark Application</w:t>
      </w:r>
    </w:p>
    <w:p w:rsidR="00A57CD9" w:rsidRDefault="00A57CD9" w:rsidP="00181BA3">
      <w:pPr>
        <w:pStyle w:val="gdp"/>
        <w:numPr>
          <w:ilvl w:val="0"/>
          <w:numId w:val="9"/>
        </w:numPr>
        <w:spacing w:before="0" w:beforeAutospacing="0" w:after="0" w:afterAutospacing="0"/>
        <w:jc w:val="both"/>
        <w:rPr>
          <w:color w:val="000000"/>
        </w:rPr>
      </w:pPr>
      <w:r>
        <w:rPr>
          <w:color w:val="000000"/>
        </w:rPr>
        <w:t>Collective Membership Mark Application</w:t>
      </w:r>
    </w:p>
    <w:p w:rsidR="00A57CD9" w:rsidRDefault="00A57CD9" w:rsidP="00181BA3">
      <w:pPr>
        <w:pStyle w:val="gdp"/>
        <w:numPr>
          <w:ilvl w:val="0"/>
          <w:numId w:val="9"/>
        </w:numPr>
        <w:spacing w:before="0" w:beforeAutospacing="0" w:after="0" w:afterAutospacing="0"/>
        <w:jc w:val="both"/>
        <w:rPr>
          <w:color w:val="000000"/>
        </w:rPr>
      </w:pPr>
      <w:r>
        <w:rPr>
          <w:color w:val="000000"/>
        </w:rPr>
        <w:t>Collective Trademark/Service Mark Application</w:t>
      </w:r>
    </w:p>
    <w:p w:rsidR="00A57CD9" w:rsidRDefault="00A57CD9" w:rsidP="00181BA3">
      <w:pPr>
        <w:pStyle w:val="gdp"/>
        <w:numPr>
          <w:ilvl w:val="0"/>
          <w:numId w:val="9"/>
        </w:numPr>
        <w:spacing w:before="0" w:beforeAutospacing="0" w:after="0" w:afterAutospacing="0"/>
        <w:jc w:val="both"/>
        <w:rPr>
          <w:color w:val="000000"/>
        </w:rPr>
      </w:pPr>
      <w:r>
        <w:rPr>
          <w:color w:val="000000"/>
        </w:rPr>
        <w:t>Trademark/</w:t>
      </w:r>
      <w:proofErr w:type="spellStart"/>
      <w:r>
        <w:rPr>
          <w:color w:val="000000"/>
        </w:rPr>
        <w:t>Servicemark</w:t>
      </w:r>
      <w:proofErr w:type="spellEnd"/>
      <w:r>
        <w:rPr>
          <w:color w:val="000000"/>
        </w:rPr>
        <w:t xml:space="preserve"> Application, Supplemental Register</w:t>
      </w:r>
    </w:p>
    <w:p w:rsidR="00A57CD9" w:rsidRDefault="00A57CD9" w:rsidP="00181BA3">
      <w:pPr>
        <w:pStyle w:val="gdp"/>
        <w:numPr>
          <w:ilvl w:val="0"/>
          <w:numId w:val="9"/>
        </w:numPr>
        <w:spacing w:before="0" w:beforeAutospacing="0" w:after="0" w:afterAutospacing="0"/>
        <w:jc w:val="both"/>
        <w:rPr>
          <w:color w:val="000000"/>
        </w:rPr>
      </w:pPr>
      <w:r>
        <w:rPr>
          <w:color w:val="000000"/>
        </w:rPr>
        <w:t>Statement of Use/Amendment to Allege Use for Intent-to-Use Application</w:t>
      </w:r>
    </w:p>
    <w:p w:rsidR="00A57CD9" w:rsidRDefault="00A57CD9" w:rsidP="00181BA3">
      <w:pPr>
        <w:pStyle w:val="gdp"/>
        <w:numPr>
          <w:ilvl w:val="0"/>
          <w:numId w:val="9"/>
        </w:numPr>
        <w:spacing w:before="0" w:beforeAutospacing="0" w:after="0" w:afterAutospacing="0"/>
        <w:jc w:val="both"/>
        <w:rPr>
          <w:color w:val="000000"/>
        </w:rPr>
      </w:pPr>
      <w:r>
        <w:rPr>
          <w:color w:val="000000"/>
        </w:rPr>
        <w:t>Declaration of Use and/or Excusable Nonuse of a Mark under Section 8</w:t>
      </w:r>
    </w:p>
    <w:p w:rsidR="00A57CD9" w:rsidRDefault="00A57CD9" w:rsidP="00A57CD9">
      <w:pPr>
        <w:pStyle w:val="gdp"/>
        <w:numPr>
          <w:ilvl w:val="0"/>
          <w:numId w:val="9"/>
        </w:numPr>
        <w:spacing w:before="0" w:beforeAutospacing="0" w:after="0" w:afterAutospacing="0"/>
        <w:jc w:val="both"/>
        <w:rPr>
          <w:color w:val="000000"/>
        </w:rPr>
      </w:pPr>
      <w:r>
        <w:rPr>
          <w:color w:val="000000"/>
        </w:rPr>
        <w:t>Declaration of Use and/or Excusable Nonuse of a Mark under Section 71</w:t>
      </w:r>
    </w:p>
    <w:p w:rsidR="00A57CD9" w:rsidRDefault="00A57CD9" w:rsidP="00A57CD9">
      <w:pPr>
        <w:pStyle w:val="gdp"/>
        <w:numPr>
          <w:ilvl w:val="0"/>
          <w:numId w:val="9"/>
        </w:numPr>
        <w:spacing w:before="0" w:beforeAutospacing="0" w:after="0" w:afterAutospacing="0"/>
        <w:jc w:val="both"/>
        <w:rPr>
          <w:color w:val="000000"/>
        </w:rPr>
      </w:pPr>
      <w:r>
        <w:rPr>
          <w:color w:val="000000"/>
        </w:rPr>
        <w:t>Combined Declaration of Use and Incontestability under Sections 8 and 15</w:t>
      </w:r>
    </w:p>
    <w:p w:rsidR="00A57CD9" w:rsidRPr="00656174" w:rsidRDefault="00A57CD9" w:rsidP="00181BA3">
      <w:pPr>
        <w:pStyle w:val="gdp"/>
        <w:numPr>
          <w:ilvl w:val="0"/>
          <w:numId w:val="9"/>
        </w:numPr>
        <w:spacing w:before="0" w:beforeAutospacing="0" w:after="0" w:afterAutospacing="0"/>
        <w:jc w:val="both"/>
        <w:rPr>
          <w:color w:val="000000"/>
        </w:rPr>
      </w:pPr>
      <w:r>
        <w:rPr>
          <w:color w:val="000000"/>
        </w:rPr>
        <w:t>Combined Declaration of Use and Application for Renewal of Registration of Mark under Sections 8 and 9</w:t>
      </w:r>
    </w:p>
    <w:p w:rsidR="00A57CD9" w:rsidRDefault="00A57CD9" w:rsidP="00181BA3">
      <w:pPr>
        <w:pStyle w:val="gdp"/>
        <w:spacing w:before="0" w:beforeAutospacing="0" w:after="0" w:afterAutospacing="0"/>
        <w:jc w:val="both"/>
        <w:rPr>
          <w:color w:val="000000"/>
        </w:rPr>
      </w:pPr>
    </w:p>
    <w:p w:rsidR="003B372B" w:rsidRDefault="00887AAC" w:rsidP="00656174">
      <w:pPr>
        <w:pStyle w:val="gdp"/>
        <w:spacing w:before="0" w:beforeAutospacing="0" w:after="150" w:afterAutospacing="0"/>
        <w:jc w:val="both"/>
        <w:rPr>
          <w:b/>
          <w:bCs/>
          <w:noProof/>
        </w:rPr>
      </w:pPr>
      <w:r>
        <w:rPr>
          <w:color w:val="000000"/>
        </w:rPr>
        <w:t xml:space="preserve">View </w:t>
      </w:r>
      <w:r w:rsidR="00A57CD9">
        <w:rPr>
          <w:color w:val="000000"/>
        </w:rPr>
        <w:t xml:space="preserve">the </w:t>
      </w:r>
      <w:hyperlink r:id="rId8" w:history="1">
        <w:r w:rsidR="00A57CD9" w:rsidRPr="004F533D">
          <w:rPr>
            <w:rStyle w:val="Hyperlink"/>
            <w:bdr w:val="none" w:sz="0" w:space="0" w:color="auto"/>
          </w:rPr>
          <w:t>TEAS reformatted declarations page</w:t>
        </w:r>
      </w:hyperlink>
      <w:r w:rsidR="00A57CD9">
        <w:rPr>
          <w:color w:val="000000"/>
        </w:rPr>
        <w:t xml:space="preserve"> for a </w:t>
      </w:r>
      <w:r>
        <w:rPr>
          <w:color w:val="000000"/>
        </w:rPr>
        <w:t xml:space="preserve">complete list of changes.  </w:t>
      </w:r>
    </w:p>
    <w:p w:rsidR="00F63D27" w:rsidRPr="00CD747B" w:rsidRDefault="00F63D27" w:rsidP="00F63D27">
      <w:pPr>
        <w:pStyle w:val="NormalWeb"/>
        <w:rPr>
          <w:rFonts w:ascii="Times New Roman" w:hAnsi="Times New Roman" w:cs="Times New Roman"/>
          <w:color w:val="222222"/>
          <w:sz w:val="24"/>
          <w:szCs w:val="24"/>
          <w:lang w:val="en"/>
        </w:rPr>
      </w:pPr>
    </w:p>
    <w:p w:rsidR="00F63D27" w:rsidRPr="00BD0BC8" w:rsidRDefault="00F63D27" w:rsidP="00F63D27">
      <w:pPr>
        <w:spacing w:after="0"/>
        <w:rPr>
          <w:rFonts w:ascii="Times New Roman" w:hAnsi="Times New Roman" w:cs="Times New Roman"/>
          <w:b/>
          <w:sz w:val="32"/>
          <w:szCs w:val="32"/>
          <w:u w:val="single"/>
        </w:rPr>
      </w:pPr>
      <w:r w:rsidRPr="00BD0BC8">
        <w:rPr>
          <w:rFonts w:ascii="Times New Roman" w:hAnsi="Times New Roman" w:cs="Times New Roman"/>
          <w:b/>
          <w:sz w:val="32"/>
          <w:szCs w:val="32"/>
          <w:u w:val="single"/>
        </w:rPr>
        <w:t>E</w:t>
      </w:r>
      <w:r>
        <w:rPr>
          <w:rFonts w:ascii="Times New Roman" w:hAnsi="Times New Roman" w:cs="Times New Roman"/>
          <w:b/>
          <w:sz w:val="32"/>
          <w:szCs w:val="32"/>
          <w:u w:val="single"/>
        </w:rPr>
        <w:t xml:space="preserve">ntity </w:t>
      </w:r>
      <w:r w:rsidR="00905096">
        <w:rPr>
          <w:rFonts w:ascii="Times New Roman" w:hAnsi="Times New Roman" w:cs="Times New Roman"/>
          <w:b/>
          <w:sz w:val="32"/>
          <w:szCs w:val="32"/>
          <w:u w:val="single"/>
        </w:rPr>
        <w:t>i</w:t>
      </w:r>
      <w:r>
        <w:rPr>
          <w:rFonts w:ascii="Times New Roman" w:hAnsi="Times New Roman" w:cs="Times New Roman"/>
          <w:b/>
          <w:sz w:val="32"/>
          <w:szCs w:val="32"/>
          <w:u w:val="single"/>
        </w:rPr>
        <w:t xml:space="preserve">nformation </w:t>
      </w:r>
      <w:r w:rsidR="00905096">
        <w:rPr>
          <w:rFonts w:ascii="Times New Roman" w:hAnsi="Times New Roman" w:cs="Times New Roman"/>
          <w:b/>
          <w:sz w:val="32"/>
          <w:szCs w:val="32"/>
          <w:u w:val="single"/>
        </w:rPr>
        <w:t>s</w:t>
      </w:r>
      <w:r>
        <w:rPr>
          <w:rFonts w:ascii="Times New Roman" w:hAnsi="Times New Roman" w:cs="Times New Roman"/>
          <w:b/>
          <w:sz w:val="32"/>
          <w:szCs w:val="32"/>
          <w:u w:val="single"/>
        </w:rPr>
        <w:t>ection</w:t>
      </w:r>
    </w:p>
    <w:p w:rsidR="00F63D27" w:rsidRDefault="00F63D27" w:rsidP="00F63D27">
      <w:pPr>
        <w:pStyle w:val="gdp"/>
        <w:spacing w:before="0" w:beforeAutospacing="0" w:after="0" w:afterAutospacing="0"/>
        <w:jc w:val="both"/>
        <w:rPr>
          <w:color w:val="000000"/>
        </w:rPr>
      </w:pPr>
    </w:p>
    <w:p w:rsidR="005752ED" w:rsidRDefault="00F63D27" w:rsidP="00181BA3">
      <w:pPr>
        <w:pStyle w:val="gdp"/>
        <w:spacing w:before="0" w:beforeAutospacing="0" w:after="0" w:afterAutospacing="0"/>
        <w:jc w:val="both"/>
        <w:rPr>
          <w:color w:val="000000"/>
        </w:rPr>
      </w:pPr>
      <w:r>
        <w:rPr>
          <w:color w:val="000000"/>
        </w:rPr>
        <w:t xml:space="preserve">We </w:t>
      </w:r>
      <w:r w:rsidR="00AD404F">
        <w:rPr>
          <w:color w:val="000000"/>
        </w:rPr>
        <w:t>are</w:t>
      </w:r>
      <w:r>
        <w:rPr>
          <w:color w:val="000000"/>
        </w:rPr>
        <w:t xml:space="preserve"> revis</w:t>
      </w:r>
      <w:r w:rsidR="00AD404F">
        <w:rPr>
          <w:color w:val="000000"/>
        </w:rPr>
        <w:t>ing</w:t>
      </w:r>
      <w:r>
        <w:rPr>
          <w:color w:val="000000"/>
        </w:rPr>
        <w:t xml:space="preserve"> the warning messages and error messages that appear in the TEAS entity information section of </w:t>
      </w:r>
      <w:r w:rsidR="00BF4603">
        <w:rPr>
          <w:color w:val="000000"/>
        </w:rPr>
        <w:t xml:space="preserve">many TEAS </w:t>
      </w:r>
      <w:r>
        <w:rPr>
          <w:color w:val="000000"/>
        </w:rPr>
        <w:t>forms so they are easier to read and also include links to the relevant TMEP sections for further</w:t>
      </w:r>
      <w:r w:rsidR="00C14199">
        <w:rPr>
          <w:color w:val="000000"/>
        </w:rPr>
        <w:t xml:space="preserve"> information.  </w:t>
      </w:r>
      <w:r w:rsidR="00BF4603" w:rsidRPr="00BF4603">
        <w:rPr>
          <w:color w:val="000000"/>
        </w:rPr>
        <w:t xml:space="preserve">The impacted entity types are (1) individual, (2) corporation, </w:t>
      </w:r>
      <w:proofErr w:type="gramStart"/>
      <w:r w:rsidR="00BF4603" w:rsidRPr="00BF4603">
        <w:rPr>
          <w:color w:val="000000"/>
        </w:rPr>
        <w:t>(3) limited liability company</w:t>
      </w:r>
      <w:proofErr w:type="gramEnd"/>
      <w:r w:rsidR="00BF4603" w:rsidRPr="00BF4603">
        <w:rPr>
          <w:color w:val="000000"/>
        </w:rPr>
        <w:t xml:space="preserve">, (4) partnership, (5) limited partnership, (6) joint venture, (7) sole proprietorship, (8) trust, and (9) estate. </w:t>
      </w:r>
    </w:p>
    <w:p w:rsidR="005752ED" w:rsidRDefault="005752ED" w:rsidP="00181BA3">
      <w:pPr>
        <w:pStyle w:val="gdp"/>
        <w:spacing w:before="0" w:beforeAutospacing="0" w:after="0" w:afterAutospacing="0"/>
        <w:jc w:val="both"/>
        <w:rPr>
          <w:color w:val="000000"/>
        </w:rPr>
      </w:pPr>
    </w:p>
    <w:p w:rsidR="00BD2699" w:rsidRPr="00CD747B" w:rsidRDefault="00C14199" w:rsidP="00181BA3">
      <w:pPr>
        <w:pStyle w:val="gdp"/>
        <w:spacing w:before="0" w:beforeAutospacing="0" w:after="0" w:afterAutospacing="0"/>
        <w:jc w:val="both"/>
        <w:rPr>
          <w:rFonts w:eastAsia="Times New Roman"/>
          <w:color w:val="222222"/>
          <w:bdr w:val="none" w:sz="0" w:space="0" w:color="auto" w:frame="1"/>
          <w:lang w:val="en"/>
        </w:rPr>
      </w:pPr>
      <w:r>
        <w:rPr>
          <w:color w:val="000000"/>
        </w:rPr>
        <w:t xml:space="preserve">Additionally, </w:t>
      </w:r>
      <w:r w:rsidR="00BF4603">
        <w:rPr>
          <w:color w:val="000000"/>
        </w:rPr>
        <w:t xml:space="preserve">we </w:t>
      </w:r>
      <w:r w:rsidR="00AD404F">
        <w:rPr>
          <w:color w:val="000000"/>
        </w:rPr>
        <w:t>are enhancing</w:t>
      </w:r>
      <w:r w:rsidR="00BF4603">
        <w:rPr>
          <w:color w:val="000000"/>
        </w:rPr>
        <w:t xml:space="preserve"> many of </w:t>
      </w:r>
      <w:r>
        <w:rPr>
          <w:color w:val="000000"/>
        </w:rPr>
        <w:t>the response forms, I</w:t>
      </w:r>
      <w:r w:rsidR="004F533D">
        <w:rPr>
          <w:color w:val="000000"/>
        </w:rPr>
        <w:t>ntent-to-Use (I</w:t>
      </w:r>
      <w:r>
        <w:rPr>
          <w:color w:val="000000"/>
        </w:rPr>
        <w:t>TU</w:t>
      </w:r>
      <w:r w:rsidR="004F533D">
        <w:rPr>
          <w:color w:val="000000"/>
        </w:rPr>
        <w:t>)</w:t>
      </w:r>
      <w:r>
        <w:rPr>
          <w:color w:val="000000"/>
        </w:rPr>
        <w:t xml:space="preserve"> forms, </w:t>
      </w:r>
      <w:r w:rsidR="00BF4603">
        <w:rPr>
          <w:color w:val="000000"/>
        </w:rPr>
        <w:t xml:space="preserve">Post Notice of Allowance forms, Petition forms, Miscellaneous forms, </w:t>
      </w:r>
      <w:r>
        <w:rPr>
          <w:color w:val="000000"/>
        </w:rPr>
        <w:t xml:space="preserve">and Post Registration forms to require all entity information at the time of filing.  </w:t>
      </w:r>
    </w:p>
    <w:p w:rsidR="00E97D38" w:rsidRPr="00CD747B" w:rsidRDefault="00E97D38" w:rsidP="00181BA3">
      <w:pPr>
        <w:spacing w:after="0" w:line="315" w:lineRule="atLeast"/>
        <w:textAlignment w:val="baseline"/>
        <w:rPr>
          <w:rFonts w:ascii="Times New Roman" w:eastAsia="Times New Roman" w:hAnsi="Times New Roman" w:cs="Times New Roman"/>
          <w:color w:val="222222"/>
          <w:sz w:val="24"/>
          <w:szCs w:val="24"/>
          <w:bdr w:val="none" w:sz="0" w:space="0" w:color="auto" w:frame="1"/>
          <w:lang w:val="en"/>
        </w:rPr>
      </w:pPr>
    </w:p>
    <w:p w:rsidR="0025634F" w:rsidRPr="00181BA3" w:rsidRDefault="00905096" w:rsidP="00181BA3">
      <w:pPr>
        <w:spacing w:after="0" w:line="315" w:lineRule="atLeast"/>
        <w:textAlignment w:val="baseline"/>
        <w:rPr>
          <w:rFonts w:ascii="Times New Roman" w:eastAsia="Times New Roman" w:hAnsi="Times New Roman" w:cs="Times New Roman"/>
          <w:b/>
          <w:bCs/>
          <w:color w:val="222222"/>
          <w:sz w:val="32"/>
          <w:szCs w:val="32"/>
          <w:u w:val="single"/>
          <w:bdr w:val="none" w:sz="0" w:space="0" w:color="auto" w:frame="1"/>
          <w:lang w:val="en"/>
        </w:rPr>
      </w:pPr>
      <w:r>
        <w:rPr>
          <w:rFonts w:ascii="Times New Roman" w:eastAsia="Times New Roman" w:hAnsi="Times New Roman" w:cs="Times New Roman"/>
          <w:b/>
          <w:bCs/>
          <w:color w:val="222222"/>
          <w:sz w:val="32"/>
          <w:szCs w:val="32"/>
          <w:u w:val="single"/>
          <w:bdr w:val="none" w:sz="0" w:space="0" w:color="auto" w:frame="1"/>
          <w:lang w:val="en"/>
        </w:rPr>
        <w:t>“</w:t>
      </w:r>
      <w:r w:rsidR="00AD404F" w:rsidRPr="00181BA3">
        <w:rPr>
          <w:rFonts w:ascii="Times New Roman" w:eastAsia="Times New Roman" w:hAnsi="Times New Roman" w:cs="Times New Roman"/>
          <w:b/>
          <w:bCs/>
          <w:color w:val="222222"/>
          <w:sz w:val="32"/>
          <w:szCs w:val="32"/>
          <w:u w:val="single"/>
          <w:bdr w:val="none" w:sz="0" w:space="0" w:color="auto" w:frame="1"/>
          <w:lang w:val="en"/>
        </w:rPr>
        <w:t xml:space="preserve">Sign </w:t>
      </w:r>
      <w:r>
        <w:rPr>
          <w:rFonts w:ascii="Times New Roman" w:eastAsia="Times New Roman" w:hAnsi="Times New Roman" w:cs="Times New Roman"/>
          <w:b/>
          <w:bCs/>
          <w:color w:val="222222"/>
          <w:sz w:val="32"/>
          <w:szCs w:val="32"/>
          <w:u w:val="single"/>
          <w:bdr w:val="none" w:sz="0" w:space="0" w:color="auto" w:frame="1"/>
          <w:lang w:val="en"/>
        </w:rPr>
        <w:t>d</w:t>
      </w:r>
      <w:r w:rsidR="00AD404F" w:rsidRPr="00181BA3">
        <w:rPr>
          <w:rFonts w:ascii="Times New Roman" w:eastAsia="Times New Roman" w:hAnsi="Times New Roman" w:cs="Times New Roman"/>
          <w:b/>
          <w:bCs/>
          <w:color w:val="222222"/>
          <w:sz w:val="32"/>
          <w:szCs w:val="32"/>
          <w:u w:val="single"/>
          <w:bdr w:val="none" w:sz="0" w:space="0" w:color="auto" w:frame="1"/>
          <w:lang w:val="en"/>
        </w:rPr>
        <w:t>irectly</w:t>
      </w:r>
      <w:r>
        <w:rPr>
          <w:rFonts w:ascii="Times New Roman" w:eastAsia="Times New Roman" w:hAnsi="Times New Roman" w:cs="Times New Roman"/>
          <w:b/>
          <w:bCs/>
          <w:color w:val="222222"/>
          <w:sz w:val="32"/>
          <w:szCs w:val="32"/>
          <w:u w:val="single"/>
          <w:bdr w:val="none" w:sz="0" w:space="0" w:color="auto" w:frame="1"/>
          <w:lang w:val="en"/>
        </w:rPr>
        <w:t>”</w:t>
      </w:r>
      <w:r w:rsidR="00AD404F" w:rsidRPr="00181BA3">
        <w:rPr>
          <w:rFonts w:ascii="Times New Roman" w:eastAsia="Times New Roman" w:hAnsi="Times New Roman" w:cs="Times New Roman"/>
          <w:b/>
          <w:bCs/>
          <w:color w:val="222222"/>
          <w:sz w:val="32"/>
          <w:szCs w:val="32"/>
          <w:u w:val="single"/>
          <w:bdr w:val="none" w:sz="0" w:space="0" w:color="auto" w:frame="1"/>
          <w:lang w:val="en"/>
        </w:rPr>
        <w:t xml:space="preserve"> </w:t>
      </w:r>
      <w:r>
        <w:rPr>
          <w:rFonts w:ascii="Times New Roman" w:eastAsia="Times New Roman" w:hAnsi="Times New Roman" w:cs="Times New Roman"/>
          <w:b/>
          <w:bCs/>
          <w:color w:val="222222"/>
          <w:sz w:val="32"/>
          <w:szCs w:val="32"/>
          <w:u w:val="single"/>
          <w:bdr w:val="none" w:sz="0" w:space="0" w:color="auto" w:frame="1"/>
          <w:lang w:val="en"/>
        </w:rPr>
        <w:t>s</w:t>
      </w:r>
      <w:r w:rsidR="00AD404F" w:rsidRPr="00181BA3">
        <w:rPr>
          <w:rFonts w:ascii="Times New Roman" w:eastAsia="Times New Roman" w:hAnsi="Times New Roman" w:cs="Times New Roman"/>
          <w:b/>
          <w:bCs/>
          <w:color w:val="222222"/>
          <w:sz w:val="32"/>
          <w:szCs w:val="32"/>
          <w:u w:val="single"/>
          <w:bdr w:val="none" w:sz="0" w:space="0" w:color="auto" w:frame="1"/>
          <w:lang w:val="en"/>
        </w:rPr>
        <w:t xml:space="preserve">ignature </w:t>
      </w:r>
      <w:r>
        <w:rPr>
          <w:rFonts w:ascii="Times New Roman" w:eastAsia="Times New Roman" w:hAnsi="Times New Roman" w:cs="Times New Roman"/>
          <w:b/>
          <w:bCs/>
          <w:color w:val="222222"/>
          <w:sz w:val="32"/>
          <w:szCs w:val="32"/>
          <w:u w:val="single"/>
          <w:bdr w:val="none" w:sz="0" w:space="0" w:color="auto" w:frame="1"/>
          <w:lang w:val="en"/>
        </w:rPr>
        <w:t>a</w:t>
      </w:r>
      <w:r w:rsidR="00AD404F" w:rsidRPr="00181BA3">
        <w:rPr>
          <w:rFonts w:ascii="Times New Roman" w:eastAsia="Times New Roman" w:hAnsi="Times New Roman" w:cs="Times New Roman"/>
          <w:b/>
          <w:bCs/>
          <w:color w:val="222222"/>
          <w:sz w:val="32"/>
          <w:szCs w:val="32"/>
          <w:u w:val="single"/>
          <w:bdr w:val="none" w:sz="0" w:space="0" w:color="auto" w:frame="1"/>
          <w:lang w:val="en"/>
        </w:rPr>
        <w:t>pproach</w:t>
      </w:r>
    </w:p>
    <w:p w:rsidR="006D372A" w:rsidRPr="00CD747B" w:rsidRDefault="006D372A"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6D372A" w:rsidRPr="00181BA3" w:rsidRDefault="00AD404F"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r>
        <w:rPr>
          <w:rFonts w:ascii="Times New Roman" w:eastAsia="Times New Roman" w:hAnsi="Times New Roman" w:cs="Times New Roman"/>
          <w:bCs/>
          <w:color w:val="222222"/>
          <w:sz w:val="24"/>
          <w:szCs w:val="24"/>
          <w:bdr w:val="none" w:sz="0" w:space="0" w:color="auto" w:frame="1"/>
          <w:lang w:val="en"/>
        </w:rPr>
        <w:t xml:space="preserve">We are updating all </w:t>
      </w:r>
      <w:r w:rsidR="00821867" w:rsidRPr="00181BA3">
        <w:rPr>
          <w:rFonts w:ascii="Times New Roman" w:eastAsia="Times New Roman" w:hAnsi="Times New Roman" w:cs="Times New Roman"/>
          <w:bCs/>
          <w:color w:val="222222"/>
          <w:sz w:val="24"/>
          <w:szCs w:val="24"/>
          <w:bdr w:val="none" w:sz="0" w:space="0" w:color="auto" w:frame="1"/>
          <w:lang w:val="en"/>
        </w:rPr>
        <w:t>forms to ensure that signat</w:t>
      </w:r>
      <w:r w:rsidR="00610454">
        <w:rPr>
          <w:rFonts w:ascii="Times New Roman" w:eastAsia="Times New Roman" w:hAnsi="Times New Roman" w:cs="Times New Roman"/>
          <w:bCs/>
          <w:color w:val="222222"/>
          <w:sz w:val="24"/>
          <w:szCs w:val="24"/>
          <w:bdr w:val="none" w:sz="0" w:space="0" w:color="auto" w:frame="1"/>
          <w:lang w:val="en"/>
        </w:rPr>
        <w:t>ories</w:t>
      </w:r>
      <w:r w:rsidR="00821867" w:rsidRPr="00181BA3">
        <w:rPr>
          <w:rFonts w:ascii="Times New Roman" w:eastAsia="Times New Roman" w:hAnsi="Times New Roman" w:cs="Times New Roman"/>
          <w:bCs/>
          <w:color w:val="222222"/>
          <w:sz w:val="24"/>
          <w:szCs w:val="24"/>
          <w:bdr w:val="none" w:sz="0" w:space="0" w:color="auto" w:frame="1"/>
          <w:lang w:val="en"/>
        </w:rPr>
        <w:t xml:space="preserve"> </w:t>
      </w:r>
      <w:r w:rsidR="00610454">
        <w:rPr>
          <w:rFonts w:ascii="Times New Roman" w:eastAsia="Times New Roman" w:hAnsi="Times New Roman" w:cs="Times New Roman"/>
          <w:bCs/>
          <w:color w:val="222222"/>
          <w:sz w:val="24"/>
          <w:szCs w:val="24"/>
          <w:bdr w:val="none" w:sz="0" w:space="0" w:color="auto" w:frame="1"/>
          <w:lang w:val="en"/>
        </w:rPr>
        <w:t xml:space="preserve">using the sign directly signature method </w:t>
      </w:r>
      <w:r w:rsidR="00821867" w:rsidRPr="00181BA3">
        <w:rPr>
          <w:rFonts w:ascii="Times New Roman" w:eastAsia="Times New Roman" w:hAnsi="Times New Roman" w:cs="Times New Roman"/>
          <w:bCs/>
          <w:color w:val="222222"/>
          <w:sz w:val="24"/>
          <w:szCs w:val="24"/>
          <w:bdr w:val="none" w:sz="0" w:space="0" w:color="auto" w:frame="1"/>
          <w:lang w:val="en"/>
        </w:rPr>
        <w:t xml:space="preserve">enter </w:t>
      </w:r>
      <w:r w:rsidR="005752ED">
        <w:rPr>
          <w:rFonts w:ascii="Times New Roman" w:eastAsia="Times New Roman" w:hAnsi="Times New Roman" w:cs="Times New Roman"/>
          <w:bCs/>
          <w:color w:val="222222"/>
          <w:sz w:val="24"/>
          <w:szCs w:val="24"/>
          <w:bdr w:val="none" w:sz="0" w:space="0" w:color="auto" w:frame="1"/>
          <w:lang w:val="en"/>
        </w:rPr>
        <w:t xml:space="preserve">his or her </w:t>
      </w:r>
      <w:r w:rsidR="00821867" w:rsidRPr="00181BA3">
        <w:rPr>
          <w:rFonts w:ascii="Times New Roman" w:eastAsia="Times New Roman" w:hAnsi="Times New Roman" w:cs="Times New Roman"/>
          <w:bCs/>
          <w:color w:val="222222"/>
          <w:sz w:val="24"/>
          <w:szCs w:val="24"/>
          <w:bdr w:val="none" w:sz="0" w:space="0" w:color="auto" w:frame="1"/>
          <w:lang w:val="en"/>
        </w:rPr>
        <w:t xml:space="preserve">signature </w:t>
      </w:r>
      <w:r w:rsidR="00610454">
        <w:rPr>
          <w:rFonts w:ascii="Times New Roman" w:eastAsia="Times New Roman" w:hAnsi="Times New Roman" w:cs="Times New Roman"/>
          <w:bCs/>
          <w:color w:val="222222"/>
          <w:sz w:val="24"/>
          <w:szCs w:val="24"/>
          <w:bdr w:val="none" w:sz="0" w:space="0" w:color="auto" w:frame="1"/>
          <w:lang w:val="en"/>
        </w:rPr>
        <w:t xml:space="preserve">between </w:t>
      </w:r>
      <w:r w:rsidR="00821867" w:rsidRPr="00181BA3">
        <w:rPr>
          <w:rFonts w:ascii="Times New Roman" w:eastAsia="Times New Roman" w:hAnsi="Times New Roman" w:cs="Times New Roman"/>
          <w:bCs/>
          <w:color w:val="222222"/>
          <w:sz w:val="24"/>
          <w:szCs w:val="24"/>
          <w:bdr w:val="none" w:sz="0" w:space="0" w:color="auto" w:frame="1"/>
          <w:lang w:val="en"/>
        </w:rPr>
        <w:t xml:space="preserve">two forward slashes and </w:t>
      </w:r>
      <w:r w:rsidR="00610454">
        <w:rPr>
          <w:rFonts w:ascii="Times New Roman" w:eastAsia="Times New Roman" w:hAnsi="Times New Roman" w:cs="Times New Roman"/>
          <w:bCs/>
          <w:color w:val="222222"/>
          <w:sz w:val="24"/>
          <w:szCs w:val="24"/>
          <w:bdr w:val="none" w:sz="0" w:space="0" w:color="auto" w:frame="1"/>
          <w:lang w:val="en"/>
        </w:rPr>
        <w:t xml:space="preserve">do not include any characters </w:t>
      </w:r>
      <w:r w:rsidR="00821867" w:rsidRPr="00181BA3">
        <w:rPr>
          <w:rFonts w:ascii="Times New Roman" w:eastAsia="Times New Roman" w:hAnsi="Times New Roman" w:cs="Times New Roman"/>
          <w:bCs/>
          <w:color w:val="222222"/>
          <w:sz w:val="24"/>
          <w:szCs w:val="24"/>
          <w:bdr w:val="none" w:sz="0" w:space="0" w:color="auto" w:frame="1"/>
          <w:lang w:val="en"/>
        </w:rPr>
        <w:t xml:space="preserve">outside </w:t>
      </w:r>
      <w:r w:rsidR="00610454">
        <w:rPr>
          <w:rFonts w:ascii="Times New Roman" w:eastAsia="Times New Roman" w:hAnsi="Times New Roman" w:cs="Times New Roman"/>
          <w:bCs/>
          <w:color w:val="222222"/>
          <w:sz w:val="24"/>
          <w:szCs w:val="24"/>
          <w:bdr w:val="none" w:sz="0" w:space="0" w:color="auto" w:frame="1"/>
          <w:lang w:val="en"/>
        </w:rPr>
        <w:t xml:space="preserve">of </w:t>
      </w:r>
      <w:r w:rsidR="00821867" w:rsidRPr="00181BA3">
        <w:rPr>
          <w:rFonts w:ascii="Times New Roman" w:eastAsia="Times New Roman" w:hAnsi="Times New Roman" w:cs="Times New Roman"/>
          <w:bCs/>
          <w:color w:val="222222"/>
          <w:sz w:val="24"/>
          <w:szCs w:val="24"/>
          <w:bdr w:val="none" w:sz="0" w:space="0" w:color="auto" w:frame="1"/>
          <w:lang w:val="en"/>
        </w:rPr>
        <w:t xml:space="preserve">the forward slashes. </w:t>
      </w:r>
      <w:r w:rsidR="00610454">
        <w:rPr>
          <w:rFonts w:ascii="Times New Roman" w:eastAsia="Times New Roman" w:hAnsi="Times New Roman" w:cs="Times New Roman"/>
          <w:bCs/>
          <w:color w:val="222222"/>
          <w:sz w:val="24"/>
          <w:szCs w:val="24"/>
          <w:bdr w:val="none" w:sz="0" w:space="0" w:color="auto" w:frame="1"/>
          <w:lang w:val="en"/>
        </w:rPr>
        <w:t xml:space="preserve"> Examples</w:t>
      </w:r>
      <w:r w:rsidR="00610454" w:rsidRPr="00610454">
        <w:rPr>
          <w:rFonts w:ascii="Times New Roman" w:eastAsia="Times New Roman" w:hAnsi="Times New Roman" w:cs="Times New Roman"/>
          <w:bCs/>
          <w:color w:val="222222"/>
          <w:sz w:val="24"/>
          <w:szCs w:val="24"/>
          <w:bdr w:val="none" w:sz="0" w:space="0" w:color="auto" w:frame="1"/>
        </w:rPr>
        <w:t xml:space="preserve"> of acceptable "signatures" include: /john doe/; /</w:t>
      </w:r>
      <w:proofErr w:type="spellStart"/>
      <w:r w:rsidR="00610454" w:rsidRPr="00610454">
        <w:rPr>
          <w:rFonts w:ascii="Times New Roman" w:eastAsia="Times New Roman" w:hAnsi="Times New Roman" w:cs="Times New Roman"/>
          <w:bCs/>
          <w:color w:val="222222"/>
          <w:sz w:val="24"/>
          <w:szCs w:val="24"/>
          <w:bdr w:val="none" w:sz="0" w:space="0" w:color="auto" w:frame="1"/>
        </w:rPr>
        <w:t>jd</w:t>
      </w:r>
      <w:proofErr w:type="spellEnd"/>
      <w:r w:rsidR="00610454" w:rsidRPr="00610454">
        <w:rPr>
          <w:rFonts w:ascii="Times New Roman" w:eastAsia="Times New Roman" w:hAnsi="Times New Roman" w:cs="Times New Roman"/>
          <w:bCs/>
          <w:color w:val="222222"/>
          <w:sz w:val="24"/>
          <w:szCs w:val="24"/>
          <w:bdr w:val="none" w:sz="0" w:space="0" w:color="auto" w:frame="1"/>
        </w:rPr>
        <w:t>/; or /123-4567/.</w:t>
      </w:r>
      <w:r w:rsidR="00610454">
        <w:rPr>
          <w:rFonts w:ascii="Times New Roman" w:eastAsia="Times New Roman" w:hAnsi="Times New Roman" w:cs="Times New Roman"/>
          <w:bCs/>
          <w:color w:val="222222"/>
          <w:sz w:val="24"/>
          <w:szCs w:val="24"/>
          <w:bdr w:val="none" w:sz="0" w:space="0" w:color="auto" w:frame="1"/>
        </w:rPr>
        <w:t xml:space="preserve">  Signatories who do not use the proper format will receive the following error message:  "</w:t>
      </w:r>
      <w:r w:rsidR="00610454" w:rsidRPr="00610454">
        <w:rPr>
          <w:rFonts w:ascii="Times New Roman" w:eastAsia="Times New Roman" w:hAnsi="Times New Roman" w:cs="Times New Roman"/>
          <w:bCs/>
          <w:color w:val="222222"/>
          <w:sz w:val="24"/>
          <w:szCs w:val="24"/>
          <w:bdr w:val="none" w:sz="0" w:space="0" w:color="auto" w:frame="1"/>
        </w:rPr>
        <w:t>You must enter your signature in the proper format, i.e., an alpha numeric entry, preceded and followed by two forward slash symbols. E.g., /john smith/ or /</w:t>
      </w:r>
      <w:proofErr w:type="spellStart"/>
      <w:r w:rsidR="00610454" w:rsidRPr="00610454">
        <w:rPr>
          <w:rFonts w:ascii="Times New Roman" w:eastAsia="Times New Roman" w:hAnsi="Times New Roman" w:cs="Times New Roman"/>
          <w:bCs/>
          <w:color w:val="222222"/>
          <w:sz w:val="24"/>
          <w:szCs w:val="24"/>
          <w:bdr w:val="none" w:sz="0" w:space="0" w:color="auto" w:frame="1"/>
        </w:rPr>
        <w:t>js</w:t>
      </w:r>
      <w:proofErr w:type="spellEnd"/>
      <w:r w:rsidR="00610454" w:rsidRPr="00610454">
        <w:rPr>
          <w:rFonts w:ascii="Times New Roman" w:eastAsia="Times New Roman" w:hAnsi="Times New Roman" w:cs="Times New Roman"/>
          <w:bCs/>
          <w:color w:val="222222"/>
          <w:sz w:val="24"/>
          <w:szCs w:val="24"/>
          <w:bdr w:val="none" w:sz="0" w:space="0" w:color="auto" w:frame="1"/>
        </w:rPr>
        <w:t>/.</w:t>
      </w:r>
      <w:r w:rsidR="00610454">
        <w:rPr>
          <w:rFonts w:ascii="Times New Roman" w:eastAsia="Times New Roman" w:hAnsi="Times New Roman" w:cs="Times New Roman"/>
          <w:bCs/>
          <w:color w:val="222222"/>
          <w:sz w:val="24"/>
          <w:szCs w:val="24"/>
          <w:bdr w:val="none" w:sz="0" w:space="0" w:color="auto" w:frame="1"/>
        </w:rPr>
        <w:t>"</w:t>
      </w:r>
    </w:p>
    <w:p w:rsidR="00931EC0" w:rsidRPr="00CD747B" w:rsidRDefault="00931EC0"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25634F" w:rsidRPr="00181BA3" w:rsidRDefault="005E7C87" w:rsidP="00181BA3">
      <w:pPr>
        <w:spacing w:after="0" w:line="315" w:lineRule="atLeast"/>
        <w:textAlignment w:val="baseline"/>
        <w:rPr>
          <w:rFonts w:ascii="Times New Roman" w:eastAsia="Times New Roman" w:hAnsi="Times New Roman" w:cs="Times New Roman"/>
          <w:b/>
          <w:bCs/>
          <w:color w:val="222222"/>
          <w:sz w:val="32"/>
          <w:szCs w:val="32"/>
          <w:u w:val="single"/>
          <w:bdr w:val="none" w:sz="0" w:space="0" w:color="auto" w:frame="1"/>
          <w:lang w:val="en"/>
        </w:rPr>
      </w:pPr>
      <w:r w:rsidRPr="00181BA3">
        <w:rPr>
          <w:rFonts w:ascii="Times New Roman" w:eastAsia="Times New Roman" w:hAnsi="Times New Roman" w:cs="Times New Roman"/>
          <w:b/>
          <w:bCs/>
          <w:color w:val="222222"/>
          <w:sz w:val="32"/>
          <w:szCs w:val="32"/>
          <w:u w:val="single"/>
          <w:bdr w:val="none" w:sz="0" w:space="0" w:color="auto" w:frame="1"/>
          <w:lang w:val="en"/>
        </w:rPr>
        <w:t xml:space="preserve">Character </w:t>
      </w:r>
      <w:r w:rsidR="00905096">
        <w:rPr>
          <w:rFonts w:ascii="Times New Roman" w:eastAsia="Times New Roman" w:hAnsi="Times New Roman" w:cs="Times New Roman"/>
          <w:b/>
          <w:bCs/>
          <w:color w:val="222222"/>
          <w:sz w:val="32"/>
          <w:szCs w:val="32"/>
          <w:u w:val="single"/>
          <w:bdr w:val="none" w:sz="0" w:space="0" w:color="auto" w:frame="1"/>
          <w:lang w:val="en"/>
        </w:rPr>
        <w:t>l</w:t>
      </w:r>
      <w:r w:rsidRPr="00181BA3">
        <w:rPr>
          <w:rFonts w:ascii="Times New Roman" w:eastAsia="Times New Roman" w:hAnsi="Times New Roman" w:cs="Times New Roman"/>
          <w:b/>
          <w:bCs/>
          <w:color w:val="222222"/>
          <w:sz w:val="32"/>
          <w:szCs w:val="32"/>
          <w:u w:val="single"/>
          <w:bdr w:val="none" w:sz="0" w:space="0" w:color="auto" w:frame="1"/>
          <w:lang w:val="en"/>
        </w:rPr>
        <w:t xml:space="preserve">imit </w:t>
      </w:r>
      <w:r w:rsidR="00905096">
        <w:rPr>
          <w:rFonts w:ascii="Times New Roman" w:eastAsia="Times New Roman" w:hAnsi="Times New Roman" w:cs="Times New Roman"/>
          <w:b/>
          <w:bCs/>
          <w:color w:val="222222"/>
          <w:sz w:val="32"/>
          <w:szCs w:val="32"/>
          <w:u w:val="single"/>
          <w:bdr w:val="none" w:sz="0" w:space="0" w:color="auto" w:frame="1"/>
          <w:lang w:val="en"/>
        </w:rPr>
        <w:t>e</w:t>
      </w:r>
      <w:r>
        <w:rPr>
          <w:rFonts w:ascii="Times New Roman" w:eastAsia="Times New Roman" w:hAnsi="Times New Roman" w:cs="Times New Roman"/>
          <w:b/>
          <w:bCs/>
          <w:color w:val="222222"/>
          <w:sz w:val="32"/>
          <w:szCs w:val="32"/>
          <w:u w:val="single"/>
          <w:bdr w:val="none" w:sz="0" w:space="0" w:color="auto" w:frame="1"/>
          <w:lang w:val="en"/>
        </w:rPr>
        <w:t xml:space="preserve">xpanded to 19 </w:t>
      </w:r>
      <w:r w:rsidRPr="00181BA3">
        <w:rPr>
          <w:rFonts w:ascii="Times New Roman" w:eastAsia="Times New Roman" w:hAnsi="Times New Roman" w:cs="Times New Roman"/>
          <w:b/>
          <w:bCs/>
          <w:color w:val="222222"/>
          <w:sz w:val="32"/>
          <w:szCs w:val="32"/>
          <w:u w:val="single"/>
          <w:bdr w:val="none" w:sz="0" w:space="0" w:color="auto" w:frame="1"/>
          <w:lang w:val="en"/>
        </w:rPr>
        <w:t xml:space="preserve">for </w:t>
      </w:r>
      <w:r w:rsidR="00905096">
        <w:rPr>
          <w:rFonts w:ascii="Times New Roman" w:eastAsia="Times New Roman" w:hAnsi="Times New Roman" w:cs="Times New Roman"/>
          <w:b/>
          <w:bCs/>
          <w:color w:val="222222"/>
          <w:sz w:val="32"/>
          <w:szCs w:val="32"/>
          <w:u w:val="single"/>
          <w:bdr w:val="none" w:sz="0" w:space="0" w:color="auto" w:frame="1"/>
          <w:lang w:val="en"/>
        </w:rPr>
        <w:t>f</w:t>
      </w:r>
      <w:r w:rsidRPr="00181BA3">
        <w:rPr>
          <w:rFonts w:ascii="Times New Roman" w:eastAsia="Times New Roman" w:hAnsi="Times New Roman" w:cs="Times New Roman"/>
          <w:b/>
          <w:bCs/>
          <w:color w:val="222222"/>
          <w:sz w:val="32"/>
          <w:szCs w:val="32"/>
          <w:u w:val="single"/>
          <w:bdr w:val="none" w:sz="0" w:space="0" w:color="auto" w:frame="1"/>
          <w:lang w:val="en"/>
        </w:rPr>
        <w:t xml:space="preserve">oreign </w:t>
      </w:r>
      <w:r w:rsidR="00905096">
        <w:rPr>
          <w:rFonts w:ascii="Times New Roman" w:eastAsia="Times New Roman" w:hAnsi="Times New Roman" w:cs="Times New Roman"/>
          <w:b/>
          <w:bCs/>
          <w:color w:val="222222"/>
          <w:sz w:val="32"/>
          <w:szCs w:val="32"/>
          <w:u w:val="single"/>
          <w:bdr w:val="none" w:sz="0" w:space="0" w:color="auto" w:frame="1"/>
          <w:lang w:val="en"/>
        </w:rPr>
        <w:t>r</w:t>
      </w:r>
      <w:r w:rsidRPr="00181BA3">
        <w:rPr>
          <w:rFonts w:ascii="Times New Roman" w:eastAsia="Times New Roman" w:hAnsi="Times New Roman" w:cs="Times New Roman"/>
          <w:b/>
          <w:bCs/>
          <w:color w:val="222222"/>
          <w:sz w:val="32"/>
          <w:szCs w:val="32"/>
          <w:u w:val="single"/>
          <w:bdr w:val="none" w:sz="0" w:space="0" w:color="auto" w:frame="1"/>
          <w:lang w:val="en"/>
        </w:rPr>
        <w:t xml:space="preserve">egistration </w:t>
      </w:r>
      <w:r w:rsidR="00905096">
        <w:rPr>
          <w:rFonts w:ascii="Times New Roman" w:eastAsia="Times New Roman" w:hAnsi="Times New Roman" w:cs="Times New Roman"/>
          <w:b/>
          <w:bCs/>
          <w:color w:val="222222"/>
          <w:sz w:val="32"/>
          <w:szCs w:val="32"/>
          <w:u w:val="single"/>
          <w:bdr w:val="none" w:sz="0" w:space="0" w:color="auto" w:frame="1"/>
          <w:lang w:val="en"/>
        </w:rPr>
        <w:t>n</w:t>
      </w:r>
      <w:r w:rsidRPr="00181BA3">
        <w:rPr>
          <w:rFonts w:ascii="Times New Roman" w:eastAsia="Times New Roman" w:hAnsi="Times New Roman" w:cs="Times New Roman"/>
          <w:b/>
          <w:bCs/>
          <w:color w:val="222222"/>
          <w:sz w:val="32"/>
          <w:szCs w:val="32"/>
          <w:u w:val="single"/>
          <w:bdr w:val="none" w:sz="0" w:space="0" w:color="auto" w:frame="1"/>
          <w:lang w:val="en"/>
        </w:rPr>
        <w:t xml:space="preserve">umber </w:t>
      </w:r>
      <w:r w:rsidR="00905096">
        <w:rPr>
          <w:rFonts w:ascii="Times New Roman" w:eastAsia="Times New Roman" w:hAnsi="Times New Roman" w:cs="Times New Roman"/>
          <w:b/>
          <w:bCs/>
          <w:color w:val="222222"/>
          <w:sz w:val="32"/>
          <w:szCs w:val="32"/>
          <w:u w:val="single"/>
          <w:bdr w:val="none" w:sz="0" w:space="0" w:color="auto" w:frame="1"/>
          <w:lang w:val="en"/>
        </w:rPr>
        <w:t>f</w:t>
      </w:r>
      <w:r w:rsidRPr="00181BA3">
        <w:rPr>
          <w:rFonts w:ascii="Times New Roman" w:eastAsia="Times New Roman" w:hAnsi="Times New Roman" w:cs="Times New Roman"/>
          <w:b/>
          <w:bCs/>
          <w:color w:val="222222"/>
          <w:sz w:val="32"/>
          <w:szCs w:val="32"/>
          <w:u w:val="single"/>
          <w:bdr w:val="none" w:sz="0" w:space="0" w:color="auto" w:frame="1"/>
          <w:lang w:val="en"/>
        </w:rPr>
        <w:t>ield</w:t>
      </w:r>
    </w:p>
    <w:p w:rsidR="00B96C1C" w:rsidRPr="00CD747B" w:rsidRDefault="00B96C1C"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B96C1C" w:rsidRPr="00181BA3" w:rsidRDefault="005E7C87"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r>
        <w:rPr>
          <w:rFonts w:ascii="Times New Roman" w:eastAsia="Times New Roman" w:hAnsi="Times New Roman" w:cs="Times New Roman"/>
          <w:bCs/>
          <w:color w:val="222222"/>
          <w:sz w:val="24"/>
          <w:szCs w:val="24"/>
          <w:bdr w:val="none" w:sz="0" w:space="0" w:color="auto" w:frame="1"/>
          <w:lang w:val="en"/>
        </w:rPr>
        <w:t xml:space="preserve">We are increasing the number of allowable characters in the foreign registration number field to 19 characters to accommodate longer foreign registration numbers provided by some countries.  </w:t>
      </w:r>
    </w:p>
    <w:p w:rsidR="0025634F" w:rsidRPr="00CD747B" w:rsidRDefault="0025634F" w:rsidP="00181BA3">
      <w:pPr>
        <w:spacing w:after="0" w:line="315" w:lineRule="atLeast"/>
        <w:textAlignment w:val="baseline"/>
        <w:rPr>
          <w:rFonts w:ascii="Times New Roman" w:eastAsia="Times New Roman" w:hAnsi="Times New Roman" w:cs="Times New Roman"/>
          <w:color w:val="222222"/>
          <w:sz w:val="24"/>
          <w:szCs w:val="24"/>
          <w:lang w:val="en"/>
        </w:rPr>
      </w:pPr>
    </w:p>
    <w:p w:rsidR="0025634F" w:rsidRPr="00181BA3" w:rsidRDefault="0025634F" w:rsidP="00181BA3">
      <w:pPr>
        <w:spacing w:after="0" w:line="315" w:lineRule="atLeast"/>
        <w:textAlignment w:val="baseline"/>
        <w:rPr>
          <w:rFonts w:ascii="Times New Roman" w:eastAsia="Times New Roman" w:hAnsi="Times New Roman" w:cs="Times New Roman"/>
          <w:b/>
          <w:bCs/>
          <w:color w:val="222222"/>
          <w:sz w:val="32"/>
          <w:szCs w:val="32"/>
          <w:u w:val="single"/>
          <w:bdr w:val="none" w:sz="0" w:space="0" w:color="auto" w:frame="1"/>
          <w:lang w:val="en"/>
        </w:rPr>
      </w:pPr>
      <w:r w:rsidRPr="00181BA3">
        <w:rPr>
          <w:rFonts w:ascii="Times New Roman" w:eastAsia="Times New Roman" w:hAnsi="Times New Roman" w:cs="Times New Roman"/>
          <w:b/>
          <w:bCs/>
          <w:color w:val="222222"/>
          <w:sz w:val="32"/>
          <w:szCs w:val="32"/>
          <w:u w:val="single"/>
          <w:bdr w:val="none" w:sz="0" w:space="0" w:color="auto" w:frame="1"/>
          <w:lang w:val="en"/>
        </w:rPr>
        <w:t xml:space="preserve">ITU </w:t>
      </w:r>
      <w:r w:rsidR="005752ED">
        <w:rPr>
          <w:rFonts w:ascii="Times New Roman" w:eastAsia="Times New Roman" w:hAnsi="Times New Roman" w:cs="Times New Roman"/>
          <w:b/>
          <w:bCs/>
          <w:color w:val="222222"/>
          <w:sz w:val="32"/>
          <w:szCs w:val="32"/>
          <w:u w:val="single"/>
          <w:bdr w:val="none" w:sz="0" w:space="0" w:color="auto" w:frame="1"/>
          <w:lang w:val="en"/>
        </w:rPr>
        <w:t>f</w:t>
      </w:r>
      <w:r w:rsidRPr="00181BA3">
        <w:rPr>
          <w:rFonts w:ascii="Times New Roman" w:eastAsia="Times New Roman" w:hAnsi="Times New Roman" w:cs="Times New Roman"/>
          <w:b/>
          <w:bCs/>
          <w:color w:val="222222"/>
          <w:sz w:val="32"/>
          <w:szCs w:val="32"/>
          <w:u w:val="single"/>
          <w:bdr w:val="none" w:sz="0" w:space="0" w:color="auto" w:frame="1"/>
          <w:lang w:val="en"/>
        </w:rPr>
        <w:t>orms</w:t>
      </w:r>
    </w:p>
    <w:p w:rsidR="0025634F" w:rsidRPr="00CD747B" w:rsidRDefault="0025634F"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D47D0C" w:rsidRPr="00181BA3" w:rsidRDefault="00CE225E"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r>
        <w:rPr>
          <w:rFonts w:ascii="Times New Roman" w:eastAsia="Times New Roman" w:hAnsi="Times New Roman" w:cs="Times New Roman"/>
          <w:bCs/>
          <w:color w:val="222222"/>
          <w:sz w:val="24"/>
          <w:szCs w:val="24"/>
          <w:bdr w:val="none" w:sz="0" w:space="0" w:color="auto" w:frame="1"/>
          <w:lang w:val="en"/>
        </w:rPr>
        <w:t xml:space="preserve">We </w:t>
      </w:r>
      <w:r w:rsidR="003741CF">
        <w:rPr>
          <w:rFonts w:ascii="Times New Roman" w:eastAsia="Times New Roman" w:hAnsi="Times New Roman" w:cs="Times New Roman"/>
          <w:bCs/>
          <w:color w:val="222222"/>
          <w:sz w:val="24"/>
          <w:szCs w:val="24"/>
          <w:bdr w:val="none" w:sz="0" w:space="0" w:color="auto" w:frame="1"/>
          <w:lang w:val="en"/>
        </w:rPr>
        <w:t>are correcting</w:t>
      </w:r>
      <w:r>
        <w:rPr>
          <w:rFonts w:ascii="Times New Roman" w:eastAsia="Times New Roman" w:hAnsi="Times New Roman" w:cs="Times New Roman"/>
          <w:bCs/>
          <w:color w:val="222222"/>
          <w:sz w:val="24"/>
          <w:szCs w:val="24"/>
          <w:bdr w:val="none" w:sz="0" w:space="0" w:color="auto" w:frame="1"/>
          <w:lang w:val="en"/>
        </w:rPr>
        <w:t xml:space="preserve"> a bug in the </w:t>
      </w:r>
      <w:r w:rsidR="00D47D0C" w:rsidRPr="00181BA3">
        <w:rPr>
          <w:rFonts w:ascii="Times New Roman" w:eastAsia="Times New Roman" w:hAnsi="Times New Roman" w:cs="Times New Roman"/>
          <w:bCs/>
          <w:color w:val="222222"/>
          <w:sz w:val="24"/>
          <w:szCs w:val="24"/>
          <w:bdr w:val="none" w:sz="0" w:space="0" w:color="auto" w:frame="1"/>
          <w:lang w:val="en"/>
        </w:rPr>
        <w:t xml:space="preserve">Allegation of Use form </w:t>
      </w:r>
      <w:r>
        <w:rPr>
          <w:rFonts w:ascii="Times New Roman" w:eastAsia="Times New Roman" w:hAnsi="Times New Roman" w:cs="Times New Roman"/>
          <w:bCs/>
          <w:color w:val="222222"/>
          <w:sz w:val="24"/>
          <w:szCs w:val="24"/>
          <w:bdr w:val="none" w:sz="0" w:space="0" w:color="auto" w:frame="1"/>
          <w:lang w:val="en"/>
        </w:rPr>
        <w:t>which allow</w:t>
      </w:r>
      <w:r w:rsidR="003741CF">
        <w:rPr>
          <w:rFonts w:ascii="Times New Roman" w:eastAsia="Times New Roman" w:hAnsi="Times New Roman" w:cs="Times New Roman"/>
          <w:bCs/>
          <w:color w:val="222222"/>
          <w:sz w:val="24"/>
          <w:szCs w:val="24"/>
          <w:bdr w:val="none" w:sz="0" w:space="0" w:color="auto" w:frame="1"/>
          <w:lang w:val="en"/>
        </w:rPr>
        <w:t>s</w:t>
      </w:r>
      <w:r>
        <w:rPr>
          <w:rFonts w:ascii="Times New Roman" w:eastAsia="Times New Roman" w:hAnsi="Times New Roman" w:cs="Times New Roman"/>
          <w:bCs/>
          <w:color w:val="222222"/>
          <w:sz w:val="24"/>
          <w:szCs w:val="24"/>
          <w:bdr w:val="none" w:sz="0" w:space="0" w:color="auto" w:frame="1"/>
          <w:lang w:val="en"/>
        </w:rPr>
        <w:t xml:space="preserve"> users to state that they </w:t>
      </w:r>
      <w:r w:rsidR="003741CF">
        <w:rPr>
          <w:rFonts w:ascii="Times New Roman" w:eastAsia="Times New Roman" w:hAnsi="Times New Roman" w:cs="Times New Roman"/>
          <w:bCs/>
          <w:color w:val="222222"/>
          <w:sz w:val="24"/>
          <w:szCs w:val="24"/>
          <w:bdr w:val="none" w:sz="0" w:space="0" w:color="auto" w:frame="1"/>
          <w:lang w:val="en"/>
        </w:rPr>
        <w:t>are</w:t>
      </w:r>
      <w:r>
        <w:rPr>
          <w:rFonts w:ascii="Times New Roman" w:eastAsia="Times New Roman" w:hAnsi="Times New Roman" w:cs="Times New Roman"/>
          <w:bCs/>
          <w:color w:val="222222"/>
          <w:sz w:val="24"/>
          <w:szCs w:val="24"/>
          <w:bdr w:val="none" w:sz="0" w:space="0" w:color="auto" w:frame="1"/>
          <w:lang w:val="en"/>
        </w:rPr>
        <w:t xml:space="preserve"> filing an Extension Request with their amendment to allege use.  The option to file an </w:t>
      </w:r>
      <w:r w:rsidR="004F533D">
        <w:rPr>
          <w:rFonts w:ascii="Times New Roman" w:eastAsia="Times New Roman" w:hAnsi="Times New Roman" w:cs="Times New Roman"/>
          <w:bCs/>
          <w:color w:val="222222"/>
          <w:sz w:val="24"/>
          <w:szCs w:val="24"/>
          <w:bdr w:val="none" w:sz="0" w:space="0" w:color="auto" w:frame="1"/>
          <w:lang w:val="en"/>
        </w:rPr>
        <w:t>e</w:t>
      </w:r>
      <w:r w:rsidR="003741CF">
        <w:rPr>
          <w:rFonts w:ascii="Times New Roman" w:eastAsia="Times New Roman" w:hAnsi="Times New Roman" w:cs="Times New Roman"/>
          <w:bCs/>
          <w:color w:val="222222"/>
          <w:sz w:val="24"/>
          <w:szCs w:val="24"/>
          <w:bdr w:val="none" w:sz="0" w:space="0" w:color="auto" w:frame="1"/>
          <w:lang w:val="en"/>
        </w:rPr>
        <w:t xml:space="preserve">xtension </w:t>
      </w:r>
      <w:r w:rsidR="004F533D">
        <w:rPr>
          <w:rFonts w:ascii="Times New Roman" w:eastAsia="Times New Roman" w:hAnsi="Times New Roman" w:cs="Times New Roman"/>
          <w:bCs/>
          <w:color w:val="222222"/>
          <w:sz w:val="24"/>
          <w:szCs w:val="24"/>
          <w:bdr w:val="none" w:sz="0" w:space="0" w:color="auto" w:frame="1"/>
          <w:lang w:val="en"/>
        </w:rPr>
        <w:t>r</w:t>
      </w:r>
      <w:r w:rsidR="003741CF">
        <w:rPr>
          <w:rFonts w:ascii="Times New Roman" w:eastAsia="Times New Roman" w:hAnsi="Times New Roman" w:cs="Times New Roman"/>
          <w:bCs/>
          <w:color w:val="222222"/>
          <w:sz w:val="24"/>
          <w:szCs w:val="24"/>
          <w:bdr w:val="none" w:sz="0" w:space="0" w:color="auto" w:frame="1"/>
          <w:lang w:val="en"/>
        </w:rPr>
        <w:t xml:space="preserve">equest should only appear if a Statement of Use is being filed.  </w:t>
      </w:r>
      <w:r w:rsidR="00D47D0C" w:rsidRPr="00181BA3">
        <w:rPr>
          <w:rFonts w:ascii="Times New Roman" w:eastAsia="Times New Roman" w:hAnsi="Times New Roman" w:cs="Times New Roman"/>
          <w:bCs/>
          <w:color w:val="222222"/>
          <w:sz w:val="24"/>
          <w:szCs w:val="24"/>
          <w:bdr w:val="none" w:sz="0" w:space="0" w:color="auto" w:frame="1"/>
          <w:lang w:val="en"/>
        </w:rPr>
        <w:t>The check box choice will not be available un</w:t>
      </w:r>
      <w:r w:rsidR="003741CF">
        <w:rPr>
          <w:rFonts w:ascii="Times New Roman" w:eastAsia="Times New Roman" w:hAnsi="Times New Roman" w:cs="Times New Roman"/>
          <w:bCs/>
          <w:color w:val="222222"/>
          <w:sz w:val="24"/>
          <w:szCs w:val="24"/>
          <w:bdr w:val="none" w:sz="0" w:space="0" w:color="auto" w:frame="1"/>
          <w:lang w:val="en"/>
        </w:rPr>
        <w:t>less</w:t>
      </w:r>
      <w:r w:rsidR="00D47D0C" w:rsidRPr="00181BA3">
        <w:rPr>
          <w:rFonts w:ascii="Times New Roman" w:eastAsia="Times New Roman" w:hAnsi="Times New Roman" w:cs="Times New Roman"/>
          <w:bCs/>
          <w:color w:val="222222"/>
          <w:sz w:val="24"/>
          <w:szCs w:val="24"/>
          <w:bdr w:val="none" w:sz="0" w:space="0" w:color="auto" w:frame="1"/>
          <w:lang w:val="en"/>
        </w:rPr>
        <w:t xml:space="preserve"> a Notice of Allowance has issue</w:t>
      </w:r>
      <w:r w:rsidR="003741CF">
        <w:rPr>
          <w:rFonts w:ascii="Times New Roman" w:eastAsia="Times New Roman" w:hAnsi="Times New Roman" w:cs="Times New Roman"/>
          <w:bCs/>
          <w:color w:val="222222"/>
          <w:sz w:val="24"/>
          <w:szCs w:val="24"/>
          <w:bdr w:val="none" w:sz="0" w:space="0" w:color="auto" w:frame="1"/>
          <w:lang w:val="en"/>
        </w:rPr>
        <w:t>d</w:t>
      </w:r>
      <w:r w:rsidR="00D47D0C" w:rsidRPr="00181BA3">
        <w:rPr>
          <w:rFonts w:ascii="Times New Roman" w:eastAsia="Times New Roman" w:hAnsi="Times New Roman" w:cs="Times New Roman"/>
          <w:bCs/>
          <w:color w:val="222222"/>
          <w:sz w:val="24"/>
          <w:szCs w:val="24"/>
          <w:bdr w:val="none" w:sz="0" w:space="0" w:color="auto" w:frame="1"/>
          <w:lang w:val="en"/>
        </w:rPr>
        <w:t>.</w:t>
      </w:r>
    </w:p>
    <w:p w:rsidR="00CE225E" w:rsidRDefault="00CE225E"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p>
    <w:p w:rsidR="00141111" w:rsidRPr="00181BA3" w:rsidRDefault="003741CF"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r>
        <w:rPr>
          <w:rFonts w:ascii="Times New Roman" w:eastAsia="Times New Roman" w:hAnsi="Times New Roman" w:cs="Times New Roman"/>
          <w:bCs/>
          <w:color w:val="222222"/>
          <w:sz w:val="24"/>
          <w:szCs w:val="24"/>
          <w:bdr w:val="none" w:sz="0" w:space="0" w:color="auto" w:frame="1"/>
          <w:lang w:val="en"/>
        </w:rPr>
        <w:t xml:space="preserve">We are also correcting a bug in the </w:t>
      </w:r>
      <w:r w:rsidR="00141111" w:rsidRPr="00181BA3">
        <w:rPr>
          <w:rFonts w:ascii="Times New Roman" w:eastAsia="Times New Roman" w:hAnsi="Times New Roman" w:cs="Times New Roman"/>
          <w:bCs/>
          <w:color w:val="222222"/>
          <w:sz w:val="24"/>
          <w:szCs w:val="24"/>
          <w:bdr w:val="none" w:sz="0" w:space="0" w:color="auto" w:frame="1"/>
          <w:lang w:val="en"/>
        </w:rPr>
        <w:t xml:space="preserve">Statement of Use and Extension </w:t>
      </w:r>
      <w:r>
        <w:rPr>
          <w:rFonts w:ascii="Times New Roman" w:eastAsia="Times New Roman" w:hAnsi="Times New Roman" w:cs="Times New Roman"/>
          <w:bCs/>
          <w:color w:val="222222"/>
          <w:sz w:val="24"/>
          <w:szCs w:val="24"/>
          <w:bdr w:val="none" w:sz="0" w:space="0" w:color="auto" w:frame="1"/>
          <w:lang w:val="en"/>
        </w:rPr>
        <w:t xml:space="preserve">Request </w:t>
      </w:r>
      <w:r w:rsidR="00141111" w:rsidRPr="00181BA3">
        <w:rPr>
          <w:rFonts w:ascii="Times New Roman" w:eastAsia="Times New Roman" w:hAnsi="Times New Roman" w:cs="Times New Roman"/>
          <w:bCs/>
          <w:color w:val="222222"/>
          <w:sz w:val="24"/>
          <w:szCs w:val="24"/>
          <w:bdr w:val="none" w:sz="0" w:space="0" w:color="auto" w:frame="1"/>
          <w:lang w:val="en"/>
        </w:rPr>
        <w:t xml:space="preserve">forms </w:t>
      </w:r>
      <w:r>
        <w:rPr>
          <w:rFonts w:ascii="Times New Roman" w:eastAsia="Times New Roman" w:hAnsi="Times New Roman" w:cs="Times New Roman"/>
          <w:bCs/>
          <w:color w:val="222222"/>
          <w:sz w:val="24"/>
          <w:szCs w:val="24"/>
          <w:bdr w:val="none" w:sz="0" w:space="0" w:color="auto" w:frame="1"/>
          <w:lang w:val="en"/>
        </w:rPr>
        <w:t xml:space="preserve">that displays authorized email addresses as unauthorized in </w:t>
      </w:r>
      <w:r w:rsidR="00141111" w:rsidRPr="00181BA3">
        <w:rPr>
          <w:rFonts w:ascii="Times New Roman" w:eastAsia="Times New Roman" w:hAnsi="Times New Roman" w:cs="Times New Roman"/>
          <w:bCs/>
          <w:color w:val="222222"/>
          <w:sz w:val="24"/>
          <w:szCs w:val="24"/>
          <w:bdr w:val="none" w:sz="0" w:space="0" w:color="auto" w:frame="1"/>
          <w:lang w:val="en"/>
        </w:rPr>
        <w:t>the TEXT version of the forms.</w:t>
      </w:r>
    </w:p>
    <w:p w:rsidR="0025634F" w:rsidRPr="00CD747B" w:rsidRDefault="0025634F" w:rsidP="00181BA3">
      <w:pPr>
        <w:spacing w:after="0" w:line="315" w:lineRule="atLeast"/>
        <w:textAlignment w:val="baseline"/>
        <w:rPr>
          <w:rFonts w:ascii="Times New Roman" w:eastAsia="Times New Roman" w:hAnsi="Times New Roman" w:cs="Times New Roman"/>
          <w:color w:val="222222"/>
          <w:sz w:val="24"/>
          <w:szCs w:val="24"/>
          <w:lang w:val="en"/>
        </w:rPr>
      </w:pPr>
    </w:p>
    <w:p w:rsidR="0025634F" w:rsidRPr="00181BA3" w:rsidRDefault="005E7C87" w:rsidP="00181BA3">
      <w:pPr>
        <w:spacing w:after="0" w:line="315" w:lineRule="atLeast"/>
        <w:textAlignment w:val="baseline"/>
        <w:rPr>
          <w:rFonts w:ascii="Times New Roman" w:eastAsia="Times New Roman" w:hAnsi="Times New Roman" w:cs="Times New Roman"/>
          <w:b/>
          <w:bCs/>
          <w:color w:val="222222"/>
          <w:sz w:val="32"/>
          <w:szCs w:val="32"/>
          <w:u w:val="single"/>
          <w:bdr w:val="none" w:sz="0" w:space="0" w:color="auto" w:frame="1"/>
          <w:lang w:val="en"/>
        </w:rPr>
      </w:pPr>
      <w:r w:rsidRPr="00181BA3">
        <w:rPr>
          <w:rFonts w:ascii="Times New Roman" w:eastAsia="Times New Roman" w:hAnsi="Times New Roman" w:cs="Times New Roman"/>
          <w:b/>
          <w:bCs/>
          <w:color w:val="222222"/>
          <w:sz w:val="32"/>
          <w:szCs w:val="32"/>
          <w:u w:val="single"/>
          <w:bdr w:val="none" w:sz="0" w:space="0" w:color="auto" w:frame="1"/>
          <w:lang w:val="en"/>
        </w:rPr>
        <w:t xml:space="preserve">Sensory </w:t>
      </w:r>
      <w:r w:rsidR="00905096">
        <w:rPr>
          <w:rFonts w:ascii="Times New Roman" w:eastAsia="Times New Roman" w:hAnsi="Times New Roman" w:cs="Times New Roman"/>
          <w:b/>
          <w:bCs/>
          <w:color w:val="222222"/>
          <w:sz w:val="32"/>
          <w:szCs w:val="32"/>
          <w:u w:val="single"/>
          <w:bdr w:val="none" w:sz="0" w:space="0" w:color="auto" w:frame="1"/>
          <w:lang w:val="en"/>
        </w:rPr>
        <w:t>m</w:t>
      </w:r>
      <w:r w:rsidRPr="00181BA3">
        <w:rPr>
          <w:rFonts w:ascii="Times New Roman" w:eastAsia="Times New Roman" w:hAnsi="Times New Roman" w:cs="Times New Roman"/>
          <w:b/>
          <w:bCs/>
          <w:color w:val="222222"/>
          <w:sz w:val="32"/>
          <w:szCs w:val="32"/>
          <w:u w:val="single"/>
          <w:bdr w:val="none" w:sz="0" w:space="0" w:color="auto" w:frame="1"/>
          <w:lang w:val="en"/>
        </w:rPr>
        <w:t>arks</w:t>
      </w:r>
    </w:p>
    <w:p w:rsidR="0025634F" w:rsidRPr="00CD747B" w:rsidRDefault="0025634F"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25634F" w:rsidRPr="00181BA3" w:rsidRDefault="005E7C87" w:rsidP="00181BA3">
      <w:pPr>
        <w:spacing w:after="0" w:line="315" w:lineRule="atLeast"/>
        <w:textAlignment w:val="baseline"/>
        <w:rPr>
          <w:rFonts w:ascii="Times New Roman" w:eastAsia="Times New Roman" w:hAnsi="Times New Roman" w:cs="Times New Roman"/>
          <w:bCs/>
          <w:color w:val="222222"/>
          <w:sz w:val="24"/>
          <w:szCs w:val="24"/>
          <w:bdr w:val="none" w:sz="0" w:space="0" w:color="auto" w:frame="1"/>
          <w:lang w:val="en"/>
        </w:rPr>
      </w:pPr>
      <w:r>
        <w:rPr>
          <w:rFonts w:ascii="Times New Roman" w:eastAsia="Times New Roman" w:hAnsi="Times New Roman" w:cs="Times New Roman"/>
          <w:bCs/>
          <w:color w:val="222222"/>
          <w:sz w:val="24"/>
          <w:szCs w:val="24"/>
          <w:bdr w:val="none" w:sz="0" w:space="0" w:color="auto" w:frame="1"/>
          <w:lang w:val="en"/>
        </w:rPr>
        <w:t xml:space="preserve">We are fixing the bug in Post Registration forms that prevented the filing of </w:t>
      </w:r>
      <w:r w:rsidR="000969D0" w:rsidRPr="00181BA3">
        <w:rPr>
          <w:rFonts w:ascii="Times New Roman" w:eastAsia="Times New Roman" w:hAnsi="Times New Roman" w:cs="Times New Roman"/>
          <w:bCs/>
          <w:color w:val="222222"/>
          <w:sz w:val="24"/>
          <w:szCs w:val="24"/>
          <w:bdr w:val="none" w:sz="0" w:space="0" w:color="auto" w:frame="1"/>
          <w:lang w:val="en"/>
        </w:rPr>
        <w:t>records with sensory marks.</w:t>
      </w:r>
    </w:p>
    <w:p w:rsidR="00BD2699" w:rsidRPr="00CD747B" w:rsidRDefault="00BD2699"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25634F" w:rsidRPr="00181BA3" w:rsidRDefault="0025634F" w:rsidP="00181BA3">
      <w:pPr>
        <w:spacing w:after="0" w:line="315" w:lineRule="atLeast"/>
        <w:textAlignment w:val="baseline"/>
        <w:rPr>
          <w:rFonts w:ascii="Times New Roman" w:eastAsia="Times New Roman" w:hAnsi="Times New Roman" w:cs="Times New Roman"/>
          <w:b/>
          <w:bCs/>
          <w:color w:val="222222"/>
          <w:sz w:val="32"/>
          <w:szCs w:val="32"/>
          <w:u w:val="single"/>
          <w:bdr w:val="none" w:sz="0" w:space="0" w:color="auto" w:frame="1"/>
          <w:lang w:val="en"/>
        </w:rPr>
      </w:pPr>
      <w:r w:rsidRPr="00181BA3">
        <w:rPr>
          <w:rFonts w:ascii="Times New Roman" w:eastAsia="Times New Roman" w:hAnsi="Times New Roman" w:cs="Times New Roman"/>
          <w:b/>
          <w:bCs/>
          <w:color w:val="222222"/>
          <w:sz w:val="32"/>
          <w:szCs w:val="32"/>
          <w:u w:val="single"/>
          <w:bdr w:val="none" w:sz="0" w:space="0" w:color="auto" w:frame="1"/>
          <w:lang w:val="en"/>
        </w:rPr>
        <w:t xml:space="preserve">Madrid </w:t>
      </w:r>
      <w:proofErr w:type="spellStart"/>
      <w:r w:rsidRPr="00181BA3">
        <w:rPr>
          <w:rFonts w:ascii="Times New Roman" w:eastAsia="Times New Roman" w:hAnsi="Times New Roman" w:cs="Times New Roman"/>
          <w:b/>
          <w:bCs/>
          <w:color w:val="222222"/>
          <w:sz w:val="32"/>
          <w:szCs w:val="32"/>
          <w:u w:val="single"/>
          <w:bdr w:val="none" w:sz="0" w:space="0" w:color="auto" w:frame="1"/>
          <w:lang w:val="en"/>
        </w:rPr>
        <w:t>TEASi</w:t>
      </w:r>
      <w:proofErr w:type="spellEnd"/>
      <w:r w:rsidRPr="00181BA3">
        <w:rPr>
          <w:rFonts w:ascii="Times New Roman" w:eastAsia="Times New Roman" w:hAnsi="Times New Roman" w:cs="Times New Roman"/>
          <w:b/>
          <w:bCs/>
          <w:color w:val="222222"/>
          <w:sz w:val="32"/>
          <w:szCs w:val="32"/>
          <w:u w:val="single"/>
          <w:bdr w:val="none" w:sz="0" w:space="0" w:color="auto" w:frame="1"/>
          <w:lang w:val="en"/>
        </w:rPr>
        <w:t xml:space="preserve"> </w:t>
      </w:r>
      <w:r w:rsidR="00905096">
        <w:rPr>
          <w:rFonts w:ascii="Times New Roman" w:eastAsia="Times New Roman" w:hAnsi="Times New Roman" w:cs="Times New Roman"/>
          <w:b/>
          <w:bCs/>
          <w:color w:val="222222"/>
          <w:sz w:val="32"/>
          <w:szCs w:val="32"/>
          <w:u w:val="single"/>
          <w:bdr w:val="none" w:sz="0" w:space="0" w:color="auto" w:frame="1"/>
          <w:lang w:val="en"/>
        </w:rPr>
        <w:t>f</w:t>
      </w:r>
      <w:r w:rsidRPr="00181BA3">
        <w:rPr>
          <w:rFonts w:ascii="Times New Roman" w:eastAsia="Times New Roman" w:hAnsi="Times New Roman" w:cs="Times New Roman"/>
          <w:b/>
          <w:bCs/>
          <w:color w:val="222222"/>
          <w:sz w:val="32"/>
          <w:szCs w:val="32"/>
          <w:u w:val="single"/>
          <w:bdr w:val="none" w:sz="0" w:space="0" w:color="auto" w:frame="1"/>
          <w:lang w:val="en"/>
        </w:rPr>
        <w:t>orm</w:t>
      </w:r>
      <w:r w:rsidR="005E7C87" w:rsidRPr="00181BA3">
        <w:rPr>
          <w:rFonts w:ascii="Times New Roman" w:eastAsia="Times New Roman" w:hAnsi="Times New Roman" w:cs="Times New Roman"/>
          <w:b/>
          <w:bCs/>
          <w:color w:val="222222"/>
          <w:sz w:val="32"/>
          <w:szCs w:val="32"/>
          <w:u w:val="single"/>
          <w:bdr w:val="none" w:sz="0" w:space="0" w:color="auto" w:frame="1"/>
          <w:lang w:val="en"/>
        </w:rPr>
        <w:t xml:space="preserve"> </w:t>
      </w:r>
      <w:r w:rsidR="00905096">
        <w:rPr>
          <w:rFonts w:ascii="Times New Roman" w:eastAsia="Times New Roman" w:hAnsi="Times New Roman" w:cs="Times New Roman"/>
          <w:b/>
          <w:bCs/>
          <w:color w:val="222222"/>
          <w:sz w:val="32"/>
          <w:szCs w:val="32"/>
          <w:u w:val="single"/>
          <w:bdr w:val="none" w:sz="0" w:space="0" w:color="auto" w:frame="1"/>
          <w:lang w:val="en"/>
        </w:rPr>
        <w:t>e</w:t>
      </w:r>
      <w:r w:rsidR="005E7C87" w:rsidRPr="00181BA3">
        <w:rPr>
          <w:rFonts w:ascii="Times New Roman" w:eastAsia="Times New Roman" w:hAnsi="Times New Roman" w:cs="Times New Roman"/>
          <w:b/>
          <w:bCs/>
          <w:color w:val="222222"/>
          <w:sz w:val="32"/>
          <w:szCs w:val="32"/>
          <w:u w:val="single"/>
          <w:bdr w:val="none" w:sz="0" w:space="0" w:color="auto" w:frame="1"/>
          <w:lang w:val="en"/>
        </w:rPr>
        <w:t>nhancement</w:t>
      </w:r>
      <w:r w:rsidRPr="00181BA3">
        <w:rPr>
          <w:rFonts w:ascii="Times New Roman" w:eastAsia="Times New Roman" w:hAnsi="Times New Roman" w:cs="Times New Roman"/>
          <w:b/>
          <w:bCs/>
          <w:color w:val="222222"/>
          <w:sz w:val="32"/>
          <w:szCs w:val="32"/>
          <w:u w:val="single"/>
          <w:bdr w:val="none" w:sz="0" w:space="0" w:color="auto" w:frame="1"/>
          <w:lang w:val="en"/>
        </w:rPr>
        <w:t>s</w:t>
      </w:r>
    </w:p>
    <w:p w:rsidR="00D8652D" w:rsidRPr="00CD747B" w:rsidRDefault="00D8652D" w:rsidP="00181BA3">
      <w:pPr>
        <w:spacing w:after="0" w:line="315" w:lineRule="atLeast"/>
        <w:textAlignment w:val="baseline"/>
        <w:rPr>
          <w:rFonts w:ascii="Times New Roman" w:eastAsia="Times New Roman" w:hAnsi="Times New Roman" w:cs="Times New Roman"/>
          <w:b/>
          <w:bCs/>
          <w:color w:val="222222"/>
          <w:sz w:val="24"/>
          <w:szCs w:val="24"/>
          <w:bdr w:val="none" w:sz="0" w:space="0" w:color="auto" w:frame="1"/>
          <w:lang w:val="en"/>
        </w:rPr>
      </w:pPr>
    </w:p>
    <w:p w:rsidR="00BD2699" w:rsidRPr="00181BA3" w:rsidRDefault="000264E7" w:rsidP="00181BA3">
      <w:pPr>
        <w:rPr>
          <w:rFonts w:ascii="Times New Roman" w:hAnsi="Times New Roman" w:cs="Times New Roman"/>
          <w:sz w:val="24"/>
          <w:szCs w:val="24"/>
        </w:rPr>
      </w:pPr>
      <w:r>
        <w:rPr>
          <w:rFonts w:ascii="Times New Roman" w:hAnsi="Times New Roman" w:cs="Times New Roman"/>
          <w:sz w:val="24"/>
          <w:szCs w:val="24"/>
        </w:rPr>
        <w:t>Effective Jan</w:t>
      </w:r>
      <w:r w:rsidR="005752ED">
        <w:rPr>
          <w:rFonts w:ascii="Times New Roman" w:hAnsi="Times New Roman" w:cs="Times New Roman"/>
          <w:sz w:val="24"/>
          <w:szCs w:val="24"/>
        </w:rPr>
        <w:t>.</w:t>
      </w:r>
      <w:r>
        <w:rPr>
          <w:rFonts w:ascii="Times New Roman" w:hAnsi="Times New Roman" w:cs="Times New Roman"/>
          <w:sz w:val="24"/>
          <w:szCs w:val="24"/>
        </w:rPr>
        <w:t xml:space="preserve"> 6, 2017, we are enhancing the international application to include designations to </w:t>
      </w:r>
      <w:r w:rsidR="00BD2699" w:rsidRPr="00181BA3">
        <w:rPr>
          <w:rFonts w:ascii="Times New Roman" w:hAnsi="Times New Roman" w:cs="Times New Roman"/>
          <w:sz w:val="24"/>
          <w:szCs w:val="24"/>
        </w:rPr>
        <w:t>Brunei Darussalam</w:t>
      </w:r>
      <w:r w:rsidR="00D8652D" w:rsidRPr="00181BA3">
        <w:rPr>
          <w:rFonts w:ascii="Times New Roman" w:hAnsi="Times New Roman" w:cs="Times New Roman"/>
          <w:sz w:val="24"/>
          <w:szCs w:val="24"/>
        </w:rPr>
        <w:t>.</w:t>
      </w:r>
      <w:r>
        <w:rPr>
          <w:rFonts w:ascii="Times New Roman" w:hAnsi="Times New Roman" w:cs="Times New Roman"/>
          <w:sz w:val="24"/>
          <w:szCs w:val="24"/>
        </w:rPr>
        <w:t xml:space="preserve">  Further information can be found on the </w:t>
      </w:r>
      <w:hyperlink r:id="rId9" w:history="1">
        <w:r w:rsidRPr="000264E7">
          <w:rPr>
            <w:rStyle w:val="Hyperlink"/>
            <w:rFonts w:ascii="Times New Roman" w:hAnsi="Times New Roman" w:cs="Times New Roman"/>
            <w:bdr w:val="none" w:sz="0" w:space="0" w:color="auto"/>
          </w:rPr>
          <w:t>WIPO website</w:t>
        </w:r>
      </w:hyperlink>
      <w:r>
        <w:rPr>
          <w:rFonts w:ascii="Times New Roman" w:hAnsi="Times New Roman" w:cs="Times New Roman"/>
          <w:sz w:val="24"/>
          <w:szCs w:val="24"/>
        </w:rPr>
        <w:t>.</w:t>
      </w:r>
    </w:p>
    <w:p w:rsidR="007F1CD0" w:rsidRPr="00181BA3" w:rsidRDefault="0040638B" w:rsidP="00181BA3">
      <w:pPr>
        <w:rPr>
          <w:rFonts w:ascii="Times New Roman" w:hAnsi="Times New Roman" w:cs="Times New Roman"/>
          <w:sz w:val="24"/>
          <w:szCs w:val="24"/>
        </w:rPr>
      </w:pPr>
      <w:r>
        <w:rPr>
          <w:rFonts w:ascii="Times New Roman" w:hAnsi="Times New Roman" w:cs="Times New Roman"/>
          <w:sz w:val="24"/>
          <w:szCs w:val="24"/>
        </w:rPr>
        <w:t>We have updated t</w:t>
      </w:r>
      <w:r w:rsidR="00821867" w:rsidRPr="00181BA3">
        <w:rPr>
          <w:rFonts w:ascii="Times New Roman" w:hAnsi="Times New Roman" w:cs="Times New Roman"/>
          <w:sz w:val="24"/>
          <w:szCs w:val="24"/>
        </w:rPr>
        <w:t xml:space="preserve">he </w:t>
      </w:r>
      <w:proofErr w:type="spellStart"/>
      <w:r w:rsidR="00821867" w:rsidRPr="00181BA3">
        <w:rPr>
          <w:rFonts w:ascii="Times New Roman" w:hAnsi="Times New Roman" w:cs="Times New Roman"/>
          <w:sz w:val="24"/>
          <w:szCs w:val="24"/>
        </w:rPr>
        <w:t>TEASi</w:t>
      </w:r>
      <w:proofErr w:type="spellEnd"/>
      <w:r w:rsidR="00821867" w:rsidRPr="00181BA3">
        <w:rPr>
          <w:rFonts w:ascii="Times New Roman" w:hAnsi="Times New Roman" w:cs="Times New Roman"/>
          <w:sz w:val="24"/>
          <w:szCs w:val="24"/>
        </w:rPr>
        <w:t xml:space="preserve"> Subsequent Designation form and Application for International Registration forms to </w:t>
      </w:r>
      <w:r>
        <w:rPr>
          <w:rFonts w:ascii="Times New Roman" w:hAnsi="Times New Roman" w:cs="Times New Roman"/>
          <w:sz w:val="24"/>
          <w:szCs w:val="24"/>
        </w:rPr>
        <w:t xml:space="preserve">improve the readability of statements related to the </w:t>
      </w:r>
      <w:r w:rsidR="00821867" w:rsidRPr="00181BA3">
        <w:rPr>
          <w:rFonts w:ascii="Times New Roman" w:hAnsi="Times New Roman" w:cs="Times New Roman"/>
          <w:sz w:val="24"/>
          <w:szCs w:val="24"/>
        </w:rPr>
        <w:t>limitation of goods</w:t>
      </w:r>
      <w:r w:rsidR="00DE445A">
        <w:rPr>
          <w:rFonts w:ascii="Times New Roman" w:hAnsi="Times New Roman" w:cs="Times New Roman"/>
          <w:sz w:val="24"/>
          <w:szCs w:val="24"/>
        </w:rPr>
        <w:t>/</w:t>
      </w:r>
      <w:r w:rsidR="00821867" w:rsidRPr="00181BA3">
        <w:rPr>
          <w:rFonts w:ascii="Times New Roman" w:hAnsi="Times New Roman" w:cs="Times New Roman"/>
          <w:sz w:val="24"/>
          <w:szCs w:val="24"/>
        </w:rPr>
        <w:t>services for selected countries.</w:t>
      </w:r>
    </w:p>
    <w:p w:rsidR="0025634F" w:rsidRPr="00CD747B" w:rsidRDefault="0025634F" w:rsidP="00181BA3">
      <w:pPr>
        <w:rPr>
          <w:rFonts w:ascii="Times New Roman" w:hAnsi="Times New Roman" w:cs="Times New Roman"/>
          <w:sz w:val="24"/>
          <w:szCs w:val="24"/>
        </w:rPr>
      </w:pPr>
    </w:p>
    <w:p w:rsidR="0025634F" w:rsidRPr="00CD747B" w:rsidRDefault="0025634F" w:rsidP="00181BA3">
      <w:pPr>
        <w:rPr>
          <w:rFonts w:ascii="Times New Roman" w:hAnsi="Times New Roman" w:cs="Times New Roman"/>
          <w:sz w:val="24"/>
          <w:szCs w:val="24"/>
        </w:rPr>
      </w:pPr>
    </w:p>
    <w:sectPr w:rsidR="0025634F" w:rsidRPr="00CD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90F"/>
    <w:multiLevelType w:val="hybridMultilevel"/>
    <w:tmpl w:val="85B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20D5"/>
    <w:multiLevelType w:val="hybridMultilevel"/>
    <w:tmpl w:val="ACF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EA0"/>
    <w:multiLevelType w:val="multilevel"/>
    <w:tmpl w:val="AA16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2D2"/>
    <w:multiLevelType w:val="multilevel"/>
    <w:tmpl w:val="9DE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0567C"/>
    <w:multiLevelType w:val="multilevel"/>
    <w:tmpl w:val="2FE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01B3A"/>
    <w:multiLevelType w:val="multilevel"/>
    <w:tmpl w:val="5CE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30B32"/>
    <w:multiLevelType w:val="multilevel"/>
    <w:tmpl w:val="374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30E63"/>
    <w:multiLevelType w:val="hybridMultilevel"/>
    <w:tmpl w:val="3BDE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403A5"/>
    <w:multiLevelType w:val="hybridMultilevel"/>
    <w:tmpl w:val="6DD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6314D"/>
    <w:multiLevelType w:val="hybridMultilevel"/>
    <w:tmpl w:val="106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001EF"/>
    <w:multiLevelType w:val="multilevel"/>
    <w:tmpl w:val="C40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83838"/>
    <w:multiLevelType w:val="hybridMultilevel"/>
    <w:tmpl w:val="0A90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2"/>
  </w:num>
  <w:num w:numId="6">
    <w:abstractNumId w:val="5"/>
  </w:num>
  <w:num w:numId="7">
    <w:abstractNumId w:val="8"/>
  </w:num>
  <w:num w:numId="8">
    <w:abstractNumId w:val="9"/>
  </w:num>
  <w:num w:numId="9">
    <w:abstractNumId w:val="1"/>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4F"/>
    <w:rsid w:val="000128C3"/>
    <w:rsid w:val="000264E7"/>
    <w:rsid w:val="000427F0"/>
    <w:rsid w:val="00042C22"/>
    <w:rsid w:val="00050995"/>
    <w:rsid w:val="000705D5"/>
    <w:rsid w:val="00080B66"/>
    <w:rsid w:val="000969D0"/>
    <w:rsid w:val="000B6446"/>
    <w:rsid w:val="000C5215"/>
    <w:rsid w:val="00141111"/>
    <w:rsid w:val="00157225"/>
    <w:rsid w:val="00181BA3"/>
    <w:rsid w:val="001A3628"/>
    <w:rsid w:val="002044C7"/>
    <w:rsid w:val="00214542"/>
    <w:rsid w:val="00234303"/>
    <w:rsid w:val="0025634F"/>
    <w:rsid w:val="002B779F"/>
    <w:rsid w:val="002D3C6A"/>
    <w:rsid w:val="002E2D2B"/>
    <w:rsid w:val="003741CF"/>
    <w:rsid w:val="00385FE3"/>
    <w:rsid w:val="003B09EF"/>
    <w:rsid w:val="003B10FD"/>
    <w:rsid w:val="003B372B"/>
    <w:rsid w:val="003B4124"/>
    <w:rsid w:val="003E6D72"/>
    <w:rsid w:val="003F50D5"/>
    <w:rsid w:val="0040638B"/>
    <w:rsid w:val="00407ADF"/>
    <w:rsid w:val="00410F82"/>
    <w:rsid w:val="004329E3"/>
    <w:rsid w:val="004864A6"/>
    <w:rsid w:val="004B15BD"/>
    <w:rsid w:val="004D55EA"/>
    <w:rsid w:val="004F533D"/>
    <w:rsid w:val="00503F1F"/>
    <w:rsid w:val="00511990"/>
    <w:rsid w:val="00523481"/>
    <w:rsid w:val="005752ED"/>
    <w:rsid w:val="005A1221"/>
    <w:rsid w:val="005E7C87"/>
    <w:rsid w:val="006056E1"/>
    <w:rsid w:val="00610454"/>
    <w:rsid w:val="006372DF"/>
    <w:rsid w:val="00654EB0"/>
    <w:rsid w:val="00656174"/>
    <w:rsid w:val="00664BC7"/>
    <w:rsid w:val="006C23F5"/>
    <w:rsid w:val="006D372A"/>
    <w:rsid w:val="007064E6"/>
    <w:rsid w:val="00761DFC"/>
    <w:rsid w:val="00767058"/>
    <w:rsid w:val="007F1CD0"/>
    <w:rsid w:val="007F7FD6"/>
    <w:rsid w:val="00821867"/>
    <w:rsid w:val="00887AAC"/>
    <w:rsid w:val="008B0D2A"/>
    <w:rsid w:val="00905096"/>
    <w:rsid w:val="00931EC0"/>
    <w:rsid w:val="009B784F"/>
    <w:rsid w:val="009E3E80"/>
    <w:rsid w:val="009E7B2A"/>
    <w:rsid w:val="00A36CBF"/>
    <w:rsid w:val="00A524DE"/>
    <w:rsid w:val="00A57CD9"/>
    <w:rsid w:val="00A64F9A"/>
    <w:rsid w:val="00AD404F"/>
    <w:rsid w:val="00AD4F09"/>
    <w:rsid w:val="00B72312"/>
    <w:rsid w:val="00B92DCF"/>
    <w:rsid w:val="00B96C1C"/>
    <w:rsid w:val="00BB2616"/>
    <w:rsid w:val="00BD0BC8"/>
    <w:rsid w:val="00BD2699"/>
    <w:rsid w:val="00BF3402"/>
    <w:rsid w:val="00BF4603"/>
    <w:rsid w:val="00C13AB4"/>
    <w:rsid w:val="00C14199"/>
    <w:rsid w:val="00C261C7"/>
    <w:rsid w:val="00C32DD4"/>
    <w:rsid w:val="00C64CB3"/>
    <w:rsid w:val="00CB39F5"/>
    <w:rsid w:val="00CC1E56"/>
    <w:rsid w:val="00CD747B"/>
    <w:rsid w:val="00CE225E"/>
    <w:rsid w:val="00D057D1"/>
    <w:rsid w:val="00D4513F"/>
    <w:rsid w:val="00D47D0C"/>
    <w:rsid w:val="00D8652D"/>
    <w:rsid w:val="00DA6373"/>
    <w:rsid w:val="00DB5621"/>
    <w:rsid w:val="00DE445A"/>
    <w:rsid w:val="00E750EC"/>
    <w:rsid w:val="00E97D38"/>
    <w:rsid w:val="00EB0574"/>
    <w:rsid w:val="00EB1757"/>
    <w:rsid w:val="00EB2771"/>
    <w:rsid w:val="00F63D27"/>
    <w:rsid w:val="00F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93F8D-C6D2-44F8-9780-781EA3D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634F"/>
    <w:pPr>
      <w:spacing w:after="120" w:line="660" w:lineRule="atLeast"/>
      <w:textAlignment w:val="baseline"/>
      <w:outlineLvl w:val="0"/>
    </w:pPr>
    <w:rPr>
      <w:rFonts w:ascii="Times New Roman" w:eastAsia="Times New Roman" w:hAnsi="Times New Roman" w:cs="Times New Roman"/>
      <w:color w:val="00000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4F"/>
    <w:rPr>
      <w:rFonts w:ascii="Times New Roman" w:eastAsia="Times New Roman" w:hAnsi="Times New Roman" w:cs="Times New Roman"/>
      <w:color w:val="000000"/>
      <w:kern w:val="36"/>
      <w:sz w:val="60"/>
      <w:szCs w:val="60"/>
    </w:rPr>
  </w:style>
  <w:style w:type="character" w:styleId="Hyperlink">
    <w:name w:val="Hyperlink"/>
    <w:basedOn w:val="DefaultParagraphFont"/>
    <w:uiPriority w:val="99"/>
    <w:unhideWhenUsed/>
    <w:rsid w:val="0025634F"/>
    <w:rPr>
      <w:b/>
      <w:bCs/>
      <w:strike w:val="0"/>
      <w:dstrike w:val="0"/>
      <w:color w:val="0076A3"/>
      <w:sz w:val="24"/>
      <w:szCs w:val="24"/>
      <w:u w:val="none"/>
      <w:effect w:val="none"/>
      <w:bdr w:val="none" w:sz="0" w:space="0" w:color="auto" w:frame="1"/>
      <w:shd w:val="clear" w:color="auto" w:fill="auto"/>
      <w:vertAlign w:val="baseline"/>
    </w:rPr>
  </w:style>
  <w:style w:type="character" w:styleId="Strong">
    <w:name w:val="Strong"/>
    <w:basedOn w:val="DefaultParagraphFont"/>
    <w:uiPriority w:val="22"/>
    <w:qFormat/>
    <w:rsid w:val="0025634F"/>
    <w:rPr>
      <w:b/>
      <w:bCs/>
      <w:sz w:val="24"/>
      <w:szCs w:val="24"/>
      <w:bdr w:val="none" w:sz="0" w:space="0" w:color="auto" w:frame="1"/>
      <w:vertAlign w:val="baseline"/>
    </w:rPr>
  </w:style>
  <w:style w:type="paragraph" w:styleId="NormalWeb">
    <w:name w:val="Normal (Web)"/>
    <w:basedOn w:val="Normal"/>
    <w:uiPriority w:val="99"/>
    <w:unhideWhenUsed/>
    <w:rsid w:val="0025634F"/>
    <w:pPr>
      <w:spacing w:after="0" w:line="315" w:lineRule="atLeast"/>
      <w:textAlignment w:val="baseline"/>
    </w:pPr>
    <w:rPr>
      <w:rFonts w:ascii="Segoe UI" w:eastAsia="Times New Roman" w:hAnsi="Segoe UI" w:cs="Segoe UI"/>
      <w:sz w:val="21"/>
      <w:szCs w:val="21"/>
    </w:rPr>
  </w:style>
  <w:style w:type="character" w:customStyle="1" w:styleId="element-invisible1">
    <w:name w:val="element-invisible1"/>
    <w:basedOn w:val="DefaultParagraphFont"/>
    <w:rsid w:val="0025634F"/>
    <w:rPr>
      <w:sz w:val="24"/>
      <w:szCs w:val="24"/>
      <w:bdr w:val="none" w:sz="0" w:space="0" w:color="auto" w:frame="1"/>
      <w:vertAlign w:val="baseline"/>
    </w:rPr>
  </w:style>
  <w:style w:type="paragraph" w:customStyle="1" w:styleId="gdp">
    <w:name w:val="gd_p"/>
    <w:basedOn w:val="Normal"/>
    <w:rsid w:val="003B372B"/>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3B372B"/>
    <w:pPr>
      <w:spacing w:after="100" w:line="259" w:lineRule="auto"/>
    </w:pPr>
  </w:style>
  <w:style w:type="paragraph" w:styleId="Header">
    <w:name w:val="header"/>
    <w:basedOn w:val="Normal"/>
    <w:link w:val="HeaderChar"/>
    <w:uiPriority w:val="99"/>
    <w:unhideWhenUsed/>
    <w:rsid w:val="003B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2B"/>
  </w:style>
  <w:style w:type="character" w:styleId="FollowedHyperlink">
    <w:name w:val="FollowedHyperlink"/>
    <w:basedOn w:val="DefaultParagraphFont"/>
    <w:uiPriority w:val="99"/>
    <w:semiHidden/>
    <w:unhideWhenUsed/>
    <w:rsid w:val="003B372B"/>
    <w:rPr>
      <w:color w:val="800080" w:themeColor="followedHyperlink"/>
      <w:u w:val="single"/>
    </w:rPr>
  </w:style>
  <w:style w:type="paragraph" w:styleId="ListParagraph">
    <w:name w:val="List Paragraph"/>
    <w:basedOn w:val="Normal"/>
    <w:uiPriority w:val="34"/>
    <w:qFormat/>
    <w:rsid w:val="00B96C1C"/>
    <w:pPr>
      <w:ind w:left="720"/>
      <w:contextualSpacing/>
    </w:pPr>
  </w:style>
  <w:style w:type="paragraph" w:styleId="BalloonText">
    <w:name w:val="Balloon Text"/>
    <w:basedOn w:val="Normal"/>
    <w:link w:val="BalloonTextChar"/>
    <w:uiPriority w:val="99"/>
    <w:semiHidden/>
    <w:unhideWhenUsed/>
    <w:rsid w:val="003E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72"/>
    <w:rPr>
      <w:rFonts w:ascii="Segoe UI" w:hAnsi="Segoe UI" w:cs="Segoe UI"/>
      <w:sz w:val="18"/>
      <w:szCs w:val="18"/>
    </w:rPr>
  </w:style>
  <w:style w:type="table" w:styleId="TableGrid">
    <w:name w:val="Table Grid"/>
    <w:basedOn w:val="TableNormal"/>
    <w:uiPriority w:val="59"/>
    <w:rsid w:val="003B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CD9"/>
    <w:rPr>
      <w:sz w:val="16"/>
      <w:szCs w:val="16"/>
    </w:rPr>
  </w:style>
  <w:style w:type="paragraph" w:styleId="CommentText">
    <w:name w:val="annotation text"/>
    <w:basedOn w:val="Normal"/>
    <w:link w:val="CommentTextChar"/>
    <w:uiPriority w:val="99"/>
    <w:semiHidden/>
    <w:unhideWhenUsed/>
    <w:rsid w:val="00A57C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57CD9"/>
    <w:rPr>
      <w:sz w:val="20"/>
      <w:szCs w:val="20"/>
    </w:rPr>
  </w:style>
  <w:style w:type="paragraph" w:styleId="CommentSubject">
    <w:name w:val="annotation subject"/>
    <w:basedOn w:val="CommentText"/>
    <w:next w:val="CommentText"/>
    <w:link w:val="CommentSubjectChar"/>
    <w:uiPriority w:val="99"/>
    <w:semiHidden/>
    <w:unhideWhenUsed/>
    <w:rsid w:val="002B779F"/>
    <w:pPr>
      <w:spacing w:after="200"/>
    </w:pPr>
    <w:rPr>
      <w:b/>
      <w:bCs/>
    </w:rPr>
  </w:style>
  <w:style w:type="character" w:customStyle="1" w:styleId="CommentSubjectChar">
    <w:name w:val="Comment Subject Char"/>
    <w:basedOn w:val="CommentTextChar"/>
    <w:link w:val="CommentSubject"/>
    <w:uiPriority w:val="99"/>
    <w:semiHidden/>
    <w:rsid w:val="002B7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5538">
      <w:bodyDiv w:val="1"/>
      <w:marLeft w:val="0"/>
      <w:marRight w:val="0"/>
      <w:marTop w:val="0"/>
      <w:marBottom w:val="0"/>
      <w:divBdr>
        <w:top w:val="none" w:sz="0" w:space="0" w:color="auto"/>
        <w:left w:val="none" w:sz="0" w:space="0" w:color="auto"/>
        <w:bottom w:val="none" w:sz="0" w:space="0" w:color="auto"/>
        <w:right w:val="none" w:sz="0" w:space="0" w:color="auto"/>
      </w:divBdr>
    </w:div>
    <w:div w:id="967858819">
      <w:bodyDiv w:val="1"/>
      <w:marLeft w:val="0"/>
      <w:marRight w:val="0"/>
      <w:marTop w:val="0"/>
      <w:marBottom w:val="0"/>
      <w:divBdr>
        <w:top w:val="none" w:sz="0" w:space="0" w:color="auto"/>
        <w:left w:val="none" w:sz="0" w:space="0" w:color="auto"/>
        <w:bottom w:val="none" w:sz="0" w:space="0" w:color="auto"/>
        <w:right w:val="none" w:sz="0" w:space="0" w:color="auto"/>
      </w:divBdr>
      <w:divsChild>
        <w:div w:id="284580038">
          <w:marLeft w:val="0"/>
          <w:marRight w:val="0"/>
          <w:marTop w:val="0"/>
          <w:marBottom w:val="0"/>
          <w:divBdr>
            <w:top w:val="none" w:sz="0" w:space="0" w:color="auto"/>
            <w:left w:val="none" w:sz="0" w:space="0" w:color="auto"/>
            <w:bottom w:val="none" w:sz="0" w:space="0" w:color="auto"/>
            <w:right w:val="none" w:sz="0" w:space="0" w:color="auto"/>
          </w:divBdr>
          <w:divsChild>
            <w:div w:id="768814520">
              <w:marLeft w:val="0"/>
              <w:marRight w:val="0"/>
              <w:marTop w:val="0"/>
              <w:marBottom w:val="0"/>
              <w:divBdr>
                <w:top w:val="none" w:sz="0" w:space="0" w:color="auto"/>
                <w:left w:val="none" w:sz="0" w:space="0" w:color="auto"/>
                <w:bottom w:val="none" w:sz="0" w:space="0" w:color="auto"/>
                <w:right w:val="none" w:sz="0" w:space="0" w:color="auto"/>
              </w:divBdr>
              <w:divsChild>
                <w:div w:id="804929405">
                  <w:marLeft w:val="0"/>
                  <w:marRight w:val="0"/>
                  <w:marTop w:val="0"/>
                  <w:marBottom w:val="0"/>
                  <w:divBdr>
                    <w:top w:val="none" w:sz="0" w:space="0" w:color="auto"/>
                    <w:left w:val="none" w:sz="0" w:space="0" w:color="auto"/>
                    <w:bottom w:val="none" w:sz="0" w:space="0" w:color="auto"/>
                    <w:right w:val="none" w:sz="0" w:space="0" w:color="auto"/>
                  </w:divBdr>
                  <w:divsChild>
                    <w:div w:id="1739745435">
                      <w:marLeft w:val="0"/>
                      <w:marRight w:val="0"/>
                      <w:marTop w:val="0"/>
                      <w:marBottom w:val="0"/>
                      <w:divBdr>
                        <w:top w:val="none" w:sz="0" w:space="0" w:color="auto"/>
                        <w:left w:val="none" w:sz="0" w:space="0" w:color="auto"/>
                        <w:bottom w:val="none" w:sz="0" w:space="0" w:color="auto"/>
                        <w:right w:val="none" w:sz="0" w:space="0" w:color="auto"/>
                      </w:divBdr>
                      <w:divsChild>
                        <w:div w:id="232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81884">
      <w:bodyDiv w:val="1"/>
      <w:marLeft w:val="0"/>
      <w:marRight w:val="0"/>
      <w:marTop w:val="0"/>
      <w:marBottom w:val="0"/>
      <w:divBdr>
        <w:top w:val="none" w:sz="0" w:space="0" w:color="auto"/>
        <w:left w:val="none" w:sz="0" w:space="0" w:color="auto"/>
        <w:bottom w:val="none" w:sz="0" w:space="0" w:color="auto"/>
        <w:right w:val="none" w:sz="0" w:space="0" w:color="auto"/>
      </w:divBdr>
      <w:divsChild>
        <w:div w:id="727341599">
          <w:marLeft w:val="0"/>
          <w:marRight w:val="0"/>
          <w:marTop w:val="0"/>
          <w:marBottom w:val="0"/>
          <w:divBdr>
            <w:top w:val="none" w:sz="0" w:space="0" w:color="auto"/>
            <w:left w:val="none" w:sz="0" w:space="0" w:color="auto"/>
            <w:bottom w:val="none" w:sz="0" w:space="0" w:color="auto"/>
            <w:right w:val="none" w:sz="0" w:space="0" w:color="auto"/>
          </w:divBdr>
          <w:divsChild>
            <w:div w:id="1120874127">
              <w:marLeft w:val="0"/>
              <w:marRight w:val="0"/>
              <w:marTop w:val="0"/>
              <w:marBottom w:val="0"/>
              <w:divBdr>
                <w:top w:val="none" w:sz="0" w:space="0" w:color="auto"/>
                <w:left w:val="none" w:sz="0" w:space="0" w:color="auto"/>
                <w:bottom w:val="none" w:sz="0" w:space="0" w:color="auto"/>
                <w:right w:val="none" w:sz="0" w:space="0" w:color="auto"/>
              </w:divBdr>
              <w:divsChild>
                <w:div w:id="908004471">
                  <w:marLeft w:val="0"/>
                  <w:marRight w:val="0"/>
                  <w:marTop w:val="0"/>
                  <w:marBottom w:val="0"/>
                  <w:divBdr>
                    <w:top w:val="none" w:sz="0" w:space="0" w:color="auto"/>
                    <w:left w:val="none" w:sz="0" w:space="0" w:color="auto"/>
                    <w:bottom w:val="none" w:sz="0" w:space="0" w:color="auto"/>
                    <w:right w:val="none" w:sz="0" w:space="0" w:color="auto"/>
                  </w:divBdr>
                  <w:divsChild>
                    <w:div w:id="639386620">
                      <w:marLeft w:val="0"/>
                      <w:marRight w:val="0"/>
                      <w:marTop w:val="0"/>
                      <w:marBottom w:val="0"/>
                      <w:divBdr>
                        <w:top w:val="none" w:sz="0" w:space="0" w:color="auto"/>
                        <w:left w:val="none" w:sz="0" w:space="0" w:color="auto"/>
                        <w:bottom w:val="none" w:sz="0" w:space="0" w:color="auto"/>
                        <w:right w:val="none" w:sz="0" w:space="0" w:color="auto"/>
                      </w:divBdr>
                      <w:divsChild>
                        <w:div w:id="1244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9663">
      <w:bodyDiv w:val="1"/>
      <w:marLeft w:val="0"/>
      <w:marRight w:val="0"/>
      <w:marTop w:val="0"/>
      <w:marBottom w:val="0"/>
      <w:divBdr>
        <w:top w:val="none" w:sz="0" w:space="0" w:color="auto"/>
        <w:left w:val="none" w:sz="0" w:space="0" w:color="auto"/>
        <w:bottom w:val="none" w:sz="0" w:space="0" w:color="auto"/>
        <w:right w:val="none" w:sz="0" w:space="0" w:color="auto"/>
      </w:divBdr>
      <w:divsChild>
        <w:div w:id="1169909113">
          <w:marLeft w:val="0"/>
          <w:marRight w:val="0"/>
          <w:marTop w:val="0"/>
          <w:marBottom w:val="0"/>
          <w:divBdr>
            <w:top w:val="none" w:sz="0" w:space="0" w:color="auto"/>
            <w:left w:val="none" w:sz="0" w:space="0" w:color="auto"/>
            <w:bottom w:val="none" w:sz="0" w:space="0" w:color="auto"/>
            <w:right w:val="none" w:sz="0" w:space="0" w:color="auto"/>
          </w:divBdr>
          <w:divsChild>
            <w:div w:id="1643581853">
              <w:marLeft w:val="0"/>
              <w:marRight w:val="0"/>
              <w:marTop w:val="0"/>
              <w:marBottom w:val="0"/>
              <w:divBdr>
                <w:top w:val="none" w:sz="0" w:space="0" w:color="auto"/>
                <w:left w:val="none" w:sz="0" w:space="0" w:color="auto"/>
                <w:bottom w:val="none" w:sz="0" w:space="0" w:color="auto"/>
                <w:right w:val="none" w:sz="0" w:space="0" w:color="auto"/>
              </w:divBdr>
              <w:divsChild>
                <w:div w:id="842477057">
                  <w:marLeft w:val="0"/>
                  <w:marRight w:val="0"/>
                  <w:marTop w:val="0"/>
                  <w:marBottom w:val="0"/>
                  <w:divBdr>
                    <w:top w:val="none" w:sz="0" w:space="0" w:color="auto"/>
                    <w:left w:val="none" w:sz="0" w:space="0" w:color="auto"/>
                    <w:bottom w:val="none" w:sz="0" w:space="0" w:color="auto"/>
                    <w:right w:val="none" w:sz="0" w:space="0" w:color="auto"/>
                  </w:divBdr>
                  <w:divsChild>
                    <w:div w:id="1597715027">
                      <w:marLeft w:val="0"/>
                      <w:marRight w:val="0"/>
                      <w:marTop w:val="0"/>
                      <w:marBottom w:val="0"/>
                      <w:divBdr>
                        <w:top w:val="none" w:sz="0" w:space="0" w:color="auto"/>
                        <w:left w:val="none" w:sz="0" w:space="0" w:color="auto"/>
                        <w:bottom w:val="none" w:sz="0" w:space="0" w:color="auto"/>
                        <w:right w:val="none" w:sz="0" w:space="0" w:color="auto"/>
                      </w:divBdr>
                      <w:divsChild>
                        <w:div w:id="1417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sites/default/files/documents/TEAS_Reformatted_Declarations.docx" TargetMode="External"/><Relationship Id="rId3" Type="http://schemas.openxmlformats.org/officeDocument/2006/relationships/styles" Target="styles.xml"/><Relationship Id="rId7" Type="http://schemas.openxmlformats.org/officeDocument/2006/relationships/hyperlink" Target="https://www.uspto.gov/trademark/fees-payment-information/trademark-fee-cha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S@uspto.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madrid/en/news/2016/news_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00D0-93AF-436D-BED3-8A07F7B0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Steve (TM)</dc:creator>
  <cp:keywords/>
  <dc:description/>
  <cp:lastModifiedBy>Young, Albert</cp:lastModifiedBy>
  <cp:revision>2</cp:revision>
  <dcterms:created xsi:type="dcterms:W3CDTF">2017-01-04T14:03:00Z</dcterms:created>
  <dcterms:modified xsi:type="dcterms:W3CDTF">2017-01-04T14:03:00Z</dcterms:modified>
</cp:coreProperties>
</file>