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01" w:rsidRPr="00F94901" w:rsidRDefault="00F94901" w:rsidP="00F94901">
      <w:pPr>
        <w:jc w:val="center"/>
        <w:rPr>
          <w:rFonts w:ascii="Verdana" w:hAnsi="Verdana"/>
          <w:b/>
          <w:sz w:val="24"/>
          <w:szCs w:val="24"/>
        </w:rPr>
      </w:pPr>
      <w:r w:rsidRPr="00F94901">
        <w:rPr>
          <w:rFonts w:ascii="Verdana" w:hAnsi="Verdana"/>
          <w:b/>
          <w:sz w:val="24"/>
          <w:szCs w:val="24"/>
        </w:rPr>
        <w:t xml:space="preserve">Examination Guide </w:t>
      </w:r>
      <w:r w:rsidR="00A82FA3">
        <w:rPr>
          <w:rFonts w:ascii="Verdana" w:hAnsi="Verdana"/>
          <w:b/>
          <w:sz w:val="24"/>
          <w:szCs w:val="24"/>
        </w:rPr>
        <w:t>3</w:t>
      </w:r>
      <w:r w:rsidRPr="00F94901">
        <w:rPr>
          <w:rFonts w:ascii="Verdana" w:hAnsi="Verdana"/>
          <w:b/>
          <w:sz w:val="24"/>
          <w:szCs w:val="24"/>
        </w:rPr>
        <w:t>-17</w:t>
      </w:r>
    </w:p>
    <w:p w:rsidR="00F94901" w:rsidRPr="00F94901" w:rsidRDefault="00F94901" w:rsidP="00F9490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Surname Combined </w:t>
      </w:r>
      <w:r w:rsidRPr="00A82FA3">
        <w:rPr>
          <w:rFonts w:ascii="Verdana" w:hAnsi="Verdana"/>
          <w:b/>
          <w:sz w:val="24"/>
          <w:szCs w:val="24"/>
        </w:rPr>
        <w:t>with Wording</w:t>
      </w:r>
    </w:p>
    <w:p w:rsidR="00F94901" w:rsidRPr="00F94901" w:rsidRDefault="008B7DCF" w:rsidP="00F9490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August</w:t>
      </w:r>
      <w:r w:rsidR="00F94901" w:rsidRPr="00F94901">
        <w:rPr>
          <w:rFonts w:ascii="Verdana" w:hAnsi="Verdana"/>
          <w:b/>
          <w:sz w:val="24"/>
          <w:szCs w:val="24"/>
        </w:rPr>
        <w:t xml:space="preserve"> 2017</w:t>
      </w:r>
    </w:p>
    <w:p w:rsidR="00F94901" w:rsidRPr="009B0702" w:rsidRDefault="00F94901" w:rsidP="00F94901"/>
    <w:p w:rsidR="00F94901" w:rsidRPr="00F94901" w:rsidRDefault="00F94901" w:rsidP="00F94901">
      <w:pPr>
        <w:rPr>
          <w:rFonts w:ascii="Verdana" w:hAnsi="Verdana"/>
          <w:sz w:val="20"/>
          <w:szCs w:val="20"/>
        </w:rPr>
      </w:pPr>
      <w:r w:rsidRPr="00F94901">
        <w:rPr>
          <w:rFonts w:ascii="Verdana" w:hAnsi="Verdana"/>
          <w:sz w:val="20"/>
          <w:szCs w:val="20"/>
        </w:rPr>
        <w:t>This examination guide clarifies the policies and procedures for examining marks containing</w:t>
      </w:r>
      <w:r w:rsidR="00B450F7">
        <w:rPr>
          <w:rFonts w:ascii="Verdana" w:hAnsi="Verdana"/>
          <w:sz w:val="20"/>
          <w:szCs w:val="20"/>
        </w:rPr>
        <w:t xml:space="preserve"> </w:t>
      </w:r>
      <w:r w:rsidRPr="00F94901">
        <w:rPr>
          <w:rFonts w:ascii="Verdana" w:hAnsi="Verdana"/>
          <w:sz w:val="20"/>
          <w:szCs w:val="20"/>
        </w:rPr>
        <w:t>wording in addition to a term that, standing by itself, is primarily merely a surname</w:t>
      </w:r>
      <w:r w:rsidR="004D2C2C" w:rsidRPr="004D2C2C">
        <w:t xml:space="preserve"> </w:t>
      </w:r>
      <w:r w:rsidR="004D2C2C" w:rsidRPr="00F94901">
        <w:rPr>
          <w:rFonts w:ascii="Verdana" w:hAnsi="Verdana"/>
          <w:sz w:val="20"/>
          <w:szCs w:val="20"/>
        </w:rPr>
        <w:t>under §2(e)(4)</w:t>
      </w:r>
      <w:r w:rsidR="004D2C2C">
        <w:rPr>
          <w:rFonts w:ascii="Verdana" w:hAnsi="Verdana"/>
          <w:sz w:val="20"/>
          <w:szCs w:val="20"/>
        </w:rPr>
        <w:t xml:space="preserve"> </w:t>
      </w:r>
      <w:r w:rsidR="004D2C2C" w:rsidRPr="004D2C2C">
        <w:rPr>
          <w:rFonts w:ascii="Verdana" w:hAnsi="Verdana"/>
          <w:sz w:val="20"/>
          <w:szCs w:val="20"/>
        </w:rPr>
        <w:t>of the Trademark Act. 15 U.S.C. §1052(e</w:t>
      </w:r>
      <w:proofErr w:type="gramStart"/>
      <w:r w:rsidR="004D2C2C" w:rsidRPr="004D2C2C">
        <w:rPr>
          <w:rFonts w:ascii="Verdana" w:hAnsi="Verdana"/>
          <w:sz w:val="20"/>
          <w:szCs w:val="20"/>
        </w:rPr>
        <w:t>)(</w:t>
      </w:r>
      <w:proofErr w:type="gramEnd"/>
      <w:r w:rsidR="004D2C2C" w:rsidRPr="004D2C2C">
        <w:rPr>
          <w:rFonts w:ascii="Verdana" w:hAnsi="Verdana"/>
          <w:sz w:val="20"/>
          <w:szCs w:val="20"/>
        </w:rPr>
        <w:t>4).</w:t>
      </w:r>
      <w:r w:rsidR="008B7DCF">
        <w:rPr>
          <w:rFonts w:ascii="Verdana" w:hAnsi="Verdana"/>
          <w:sz w:val="20"/>
          <w:szCs w:val="20"/>
        </w:rPr>
        <w:t xml:space="preserve"> </w:t>
      </w:r>
      <w:r w:rsidRPr="00F94901">
        <w:rPr>
          <w:rFonts w:ascii="Verdana" w:hAnsi="Verdana"/>
          <w:sz w:val="20"/>
          <w:szCs w:val="20"/>
        </w:rPr>
        <w:t>The guidance provided herein supersedes any previous United States Patent and Trademark Office (USPTO) guidance on this topic</w:t>
      </w:r>
      <w:r>
        <w:rPr>
          <w:rFonts w:ascii="Verdana" w:hAnsi="Verdana"/>
          <w:sz w:val="20"/>
          <w:szCs w:val="20"/>
        </w:rPr>
        <w:t xml:space="preserve"> </w:t>
      </w:r>
      <w:r w:rsidR="00A82FA3">
        <w:rPr>
          <w:rFonts w:ascii="Verdana" w:hAnsi="Verdana"/>
          <w:sz w:val="20"/>
          <w:szCs w:val="20"/>
        </w:rPr>
        <w:t xml:space="preserve">to the extent there are any conflicts </w:t>
      </w:r>
      <w:r w:rsidRPr="00F94901">
        <w:rPr>
          <w:rFonts w:ascii="Verdana" w:hAnsi="Verdana"/>
          <w:sz w:val="20"/>
          <w:szCs w:val="20"/>
        </w:rPr>
        <w:t>and will be incorporated in the Oct</w:t>
      </w:r>
      <w:r>
        <w:rPr>
          <w:rFonts w:ascii="Verdana" w:hAnsi="Verdana"/>
          <w:sz w:val="20"/>
          <w:szCs w:val="20"/>
        </w:rPr>
        <w:t>ober 2017 revision of the Trademark Manual of Examining Procedure (TMEP).</w:t>
      </w:r>
    </w:p>
    <w:p w:rsidR="00B17775" w:rsidRDefault="00FF3F6C" w:rsidP="00B17775">
      <w:pPr>
        <w:rPr>
          <w:rFonts w:ascii="Verdana" w:hAnsi="Verdana"/>
          <w:sz w:val="20"/>
          <w:szCs w:val="20"/>
        </w:rPr>
      </w:pPr>
      <w:r w:rsidRPr="00F94901">
        <w:rPr>
          <w:rFonts w:ascii="Verdana" w:hAnsi="Verdana"/>
          <w:sz w:val="20"/>
          <w:szCs w:val="20"/>
        </w:rPr>
        <w:t>Currently, TMEP §1211.01(b</w:t>
      </w:r>
      <w:proofErr w:type="gramStart"/>
      <w:r w:rsidRPr="00F94901">
        <w:rPr>
          <w:rFonts w:ascii="Verdana" w:hAnsi="Verdana"/>
          <w:sz w:val="20"/>
          <w:szCs w:val="20"/>
        </w:rPr>
        <w:t>)(</w:t>
      </w:r>
      <w:proofErr w:type="gramEnd"/>
      <w:r w:rsidRPr="00F94901">
        <w:rPr>
          <w:rFonts w:ascii="Verdana" w:hAnsi="Verdana"/>
          <w:sz w:val="20"/>
          <w:szCs w:val="20"/>
        </w:rPr>
        <w:t>vi) states that when merely descriptive wording is combined with a surname, the mark is not considered to be primarily merely a surname under §2(e)(4)</w:t>
      </w:r>
      <w:r w:rsidR="00B17775">
        <w:rPr>
          <w:rFonts w:ascii="Verdana" w:hAnsi="Verdana"/>
          <w:sz w:val="20"/>
          <w:szCs w:val="20"/>
        </w:rPr>
        <w:t xml:space="preserve"> because merely descriptive wording is capable of functioning as a mark</w:t>
      </w:r>
      <w:r>
        <w:rPr>
          <w:rFonts w:ascii="Verdana" w:hAnsi="Verdana"/>
          <w:sz w:val="20"/>
          <w:szCs w:val="20"/>
        </w:rPr>
        <w:t xml:space="preserve">. </w:t>
      </w:r>
      <w:r w:rsidR="00B17775">
        <w:rPr>
          <w:rFonts w:ascii="Verdana" w:hAnsi="Verdana"/>
          <w:sz w:val="20"/>
          <w:szCs w:val="20"/>
        </w:rPr>
        <w:t xml:space="preserve">The Board recently </w:t>
      </w:r>
      <w:r w:rsidR="00490882">
        <w:rPr>
          <w:rFonts w:ascii="Verdana" w:hAnsi="Verdana"/>
          <w:sz w:val="20"/>
          <w:szCs w:val="20"/>
        </w:rPr>
        <w:t xml:space="preserve">observed this guidance is inconsistent with the Federal Circuit’s directive in </w:t>
      </w:r>
      <w:r w:rsidR="00490882" w:rsidRPr="00F94901">
        <w:rPr>
          <w:rFonts w:ascii="Verdana" w:hAnsi="Verdana"/>
          <w:i/>
          <w:sz w:val="20"/>
          <w:szCs w:val="20"/>
        </w:rPr>
        <w:t>In re Hutchinson Tech.</w:t>
      </w:r>
      <w:r w:rsidR="00490882" w:rsidRPr="00F94901">
        <w:rPr>
          <w:rFonts w:ascii="Verdana" w:hAnsi="Verdana"/>
          <w:sz w:val="20"/>
          <w:szCs w:val="20"/>
        </w:rPr>
        <w:t xml:space="preserve">, 852 </w:t>
      </w:r>
      <w:r w:rsidR="008B7DCF">
        <w:rPr>
          <w:rFonts w:ascii="Verdana" w:hAnsi="Verdana"/>
          <w:sz w:val="20"/>
          <w:szCs w:val="20"/>
        </w:rPr>
        <w:t xml:space="preserve">F.2d at 554, </w:t>
      </w:r>
      <w:proofErr w:type="gramStart"/>
      <w:r w:rsidR="008B7DCF">
        <w:rPr>
          <w:rFonts w:ascii="Verdana" w:hAnsi="Verdana"/>
          <w:sz w:val="20"/>
          <w:szCs w:val="20"/>
        </w:rPr>
        <w:t>7</w:t>
      </w:r>
      <w:proofErr w:type="gramEnd"/>
      <w:r w:rsidR="008B7DCF">
        <w:rPr>
          <w:rFonts w:ascii="Verdana" w:hAnsi="Verdana"/>
          <w:sz w:val="20"/>
          <w:szCs w:val="20"/>
        </w:rPr>
        <w:t xml:space="preserve"> USPQ2d at 1492. </w:t>
      </w:r>
      <w:proofErr w:type="spellStart"/>
      <w:r w:rsidR="00B17775" w:rsidRPr="00F94901">
        <w:rPr>
          <w:rFonts w:ascii="Verdana" w:hAnsi="Verdana"/>
          <w:i/>
          <w:sz w:val="20"/>
          <w:szCs w:val="20"/>
        </w:rPr>
        <w:t>Azeka</w:t>
      </w:r>
      <w:proofErr w:type="spellEnd"/>
      <w:r w:rsidR="00B17775">
        <w:rPr>
          <w:rFonts w:ascii="Verdana" w:hAnsi="Verdana"/>
          <w:i/>
          <w:sz w:val="20"/>
          <w:szCs w:val="20"/>
        </w:rPr>
        <w:t xml:space="preserve"> </w:t>
      </w:r>
      <w:r w:rsidR="00B17775" w:rsidRPr="00F94901">
        <w:rPr>
          <w:rFonts w:ascii="Verdana" w:hAnsi="Verdana"/>
          <w:i/>
          <w:sz w:val="20"/>
          <w:szCs w:val="20"/>
        </w:rPr>
        <w:t xml:space="preserve">Bldg. Corp. v. </w:t>
      </w:r>
      <w:proofErr w:type="spellStart"/>
      <w:r w:rsidR="00B17775" w:rsidRPr="00F94901">
        <w:rPr>
          <w:rFonts w:ascii="Verdana" w:hAnsi="Verdana"/>
          <w:i/>
          <w:sz w:val="20"/>
          <w:szCs w:val="20"/>
        </w:rPr>
        <w:t>Azeka</w:t>
      </w:r>
      <w:proofErr w:type="spellEnd"/>
      <w:r w:rsidR="00B17775" w:rsidRPr="00F94901">
        <w:rPr>
          <w:rFonts w:ascii="Verdana" w:hAnsi="Verdana"/>
          <w:sz w:val="20"/>
          <w:szCs w:val="20"/>
        </w:rPr>
        <w:t>, 122 USPQ2d 1477</w:t>
      </w:r>
      <w:r w:rsidR="00B17775">
        <w:rPr>
          <w:rFonts w:ascii="Verdana" w:hAnsi="Verdana"/>
          <w:sz w:val="20"/>
          <w:szCs w:val="20"/>
        </w:rPr>
        <w:t>, 1492 n.9</w:t>
      </w:r>
      <w:r w:rsidR="00B17775" w:rsidRPr="00F94901">
        <w:rPr>
          <w:rFonts w:ascii="Verdana" w:hAnsi="Verdana"/>
          <w:sz w:val="20"/>
          <w:szCs w:val="20"/>
        </w:rPr>
        <w:t xml:space="preserve"> (TTAB 2017)</w:t>
      </w:r>
      <w:r w:rsidR="000F7169">
        <w:rPr>
          <w:rFonts w:ascii="Verdana" w:hAnsi="Verdana"/>
          <w:sz w:val="20"/>
          <w:szCs w:val="20"/>
        </w:rPr>
        <w:t xml:space="preserve"> (finding </w:t>
      </w:r>
      <w:r w:rsidR="000F7169" w:rsidRPr="00F94901">
        <w:rPr>
          <w:rFonts w:ascii="Verdana" w:hAnsi="Verdana"/>
          <w:sz w:val="20"/>
          <w:szCs w:val="20"/>
        </w:rPr>
        <w:t>that the mark AZEKA’S RIBS, for “barbecue sauce,” is primarily merely a surname and not registrable on the Principal Register absent a showing of acquired distinctiveness</w:t>
      </w:r>
      <w:r w:rsidR="000F7169">
        <w:rPr>
          <w:rFonts w:ascii="Verdana" w:hAnsi="Verdana"/>
          <w:sz w:val="20"/>
          <w:szCs w:val="20"/>
        </w:rPr>
        <w:t>)</w:t>
      </w:r>
      <w:r w:rsidR="008B7DCF">
        <w:rPr>
          <w:rFonts w:ascii="Verdana" w:hAnsi="Verdana"/>
          <w:sz w:val="20"/>
          <w:szCs w:val="20"/>
        </w:rPr>
        <w:t xml:space="preserve">. </w:t>
      </w:r>
      <w:r w:rsidR="00490882">
        <w:rPr>
          <w:rFonts w:ascii="Verdana" w:hAnsi="Verdana"/>
          <w:sz w:val="20"/>
          <w:szCs w:val="20"/>
        </w:rPr>
        <w:t>T</w:t>
      </w:r>
      <w:r w:rsidR="00490882" w:rsidRPr="00F94901">
        <w:rPr>
          <w:rFonts w:ascii="Verdana" w:hAnsi="Verdana"/>
          <w:sz w:val="20"/>
          <w:szCs w:val="20"/>
        </w:rPr>
        <w:t xml:space="preserve">he </w:t>
      </w:r>
      <w:r w:rsidR="000F7169">
        <w:rPr>
          <w:rFonts w:ascii="Verdana" w:hAnsi="Verdana"/>
          <w:sz w:val="20"/>
          <w:szCs w:val="20"/>
        </w:rPr>
        <w:t xml:space="preserve">Board explained that the </w:t>
      </w:r>
      <w:r w:rsidR="00490882" w:rsidRPr="00F94901">
        <w:rPr>
          <w:rFonts w:ascii="Verdana" w:hAnsi="Verdana"/>
          <w:sz w:val="20"/>
          <w:szCs w:val="20"/>
        </w:rPr>
        <w:t>proper inquiry is the meaning of the mark as a whole</w:t>
      </w:r>
      <w:r w:rsidR="000F7169">
        <w:rPr>
          <w:rFonts w:ascii="Verdana" w:hAnsi="Verdana"/>
          <w:sz w:val="20"/>
          <w:szCs w:val="20"/>
        </w:rPr>
        <w:t xml:space="preserve"> and </w:t>
      </w:r>
      <w:r w:rsidR="000F7169" w:rsidRPr="00F94901">
        <w:rPr>
          <w:rFonts w:ascii="Verdana" w:hAnsi="Verdana"/>
          <w:sz w:val="20"/>
          <w:szCs w:val="20"/>
        </w:rPr>
        <w:t>is not limited to the question of whether the additional matter is capable of functioning as a mark</w:t>
      </w:r>
      <w:r w:rsidR="00490882" w:rsidRPr="00F94901">
        <w:rPr>
          <w:rFonts w:ascii="Verdana" w:hAnsi="Verdana"/>
          <w:sz w:val="20"/>
          <w:szCs w:val="20"/>
        </w:rPr>
        <w:t xml:space="preserve">. </w:t>
      </w:r>
      <w:r w:rsidR="00490882">
        <w:rPr>
          <w:rFonts w:ascii="Verdana" w:hAnsi="Verdana"/>
          <w:i/>
          <w:sz w:val="20"/>
          <w:szCs w:val="20"/>
        </w:rPr>
        <w:t>Id</w:t>
      </w:r>
      <w:r w:rsidR="007D171B">
        <w:rPr>
          <w:rFonts w:ascii="Verdana" w:hAnsi="Verdana"/>
          <w:sz w:val="20"/>
          <w:szCs w:val="20"/>
        </w:rPr>
        <w:t>.</w:t>
      </w:r>
    </w:p>
    <w:p w:rsidR="00987CFF" w:rsidRDefault="007D171B" w:rsidP="00F949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recently, t</w:t>
      </w:r>
      <w:r w:rsidR="00490882">
        <w:rPr>
          <w:rFonts w:ascii="Verdana" w:hAnsi="Verdana"/>
          <w:sz w:val="20"/>
          <w:szCs w:val="20"/>
        </w:rPr>
        <w:t>he Federal Circuit</w:t>
      </w:r>
      <w:r w:rsidR="00B24E8F">
        <w:rPr>
          <w:rFonts w:ascii="Verdana" w:hAnsi="Verdana"/>
          <w:sz w:val="20"/>
          <w:szCs w:val="20"/>
        </w:rPr>
        <w:t xml:space="preserve"> in</w:t>
      </w:r>
      <w:r w:rsidR="00490882">
        <w:rPr>
          <w:rFonts w:ascii="Verdana" w:hAnsi="Verdana"/>
          <w:sz w:val="20"/>
          <w:szCs w:val="20"/>
        </w:rPr>
        <w:t xml:space="preserve"> </w:t>
      </w:r>
      <w:r w:rsidR="00B24E8F">
        <w:rPr>
          <w:rFonts w:ascii="Verdana" w:hAnsi="Verdana"/>
          <w:i/>
          <w:sz w:val="20"/>
          <w:szCs w:val="20"/>
        </w:rPr>
        <w:t>Earnhardt v. Kerry Earnhardt, Inc.</w:t>
      </w:r>
      <w:r w:rsidR="00B24E8F">
        <w:rPr>
          <w:rFonts w:ascii="Verdana" w:hAnsi="Verdana"/>
          <w:sz w:val="20"/>
          <w:szCs w:val="20"/>
        </w:rPr>
        <w:t xml:space="preserve">, </w:t>
      </w:r>
      <w:r w:rsidR="008B7DCF">
        <w:rPr>
          <w:rFonts w:ascii="Verdana" w:hAnsi="Verdana"/>
          <w:sz w:val="20"/>
          <w:szCs w:val="20"/>
        </w:rPr>
        <w:t xml:space="preserve">__ F3d. ____, </w:t>
      </w:r>
      <w:r w:rsidR="008B7DCF" w:rsidRPr="008B7DCF">
        <w:rPr>
          <w:rFonts w:ascii="Verdana" w:hAnsi="Verdana"/>
          <w:sz w:val="20"/>
          <w:szCs w:val="20"/>
        </w:rPr>
        <w:t xml:space="preserve">123 USPQ2d 1411 </w:t>
      </w:r>
      <w:r w:rsidR="008B7DCF">
        <w:rPr>
          <w:rFonts w:ascii="Verdana" w:hAnsi="Verdana"/>
          <w:sz w:val="20"/>
          <w:szCs w:val="20"/>
        </w:rPr>
        <w:t xml:space="preserve">(Fed. Cir. </w:t>
      </w:r>
      <w:r w:rsidR="00B24E8F">
        <w:rPr>
          <w:rFonts w:ascii="Verdana" w:hAnsi="Verdana"/>
          <w:sz w:val="20"/>
          <w:szCs w:val="20"/>
        </w:rPr>
        <w:t>2017)</w:t>
      </w:r>
      <w:r>
        <w:rPr>
          <w:rFonts w:ascii="Verdana" w:hAnsi="Verdana"/>
          <w:sz w:val="20"/>
          <w:szCs w:val="20"/>
        </w:rPr>
        <w:t xml:space="preserve"> </w:t>
      </w:r>
      <w:r w:rsidR="004B523B">
        <w:rPr>
          <w:rFonts w:ascii="Verdana" w:hAnsi="Verdana"/>
          <w:sz w:val="20"/>
          <w:szCs w:val="20"/>
        </w:rPr>
        <w:t xml:space="preserve">clarified that for marks that contain a surname and additional terms, the additional term(s) must be evaluated to determine whether they are generic </w:t>
      </w:r>
      <w:r w:rsidR="004B523B">
        <w:rPr>
          <w:rFonts w:ascii="Verdana" w:hAnsi="Verdana"/>
          <w:i/>
          <w:sz w:val="20"/>
          <w:szCs w:val="20"/>
        </w:rPr>
        <w:t>or</w:t>
      </w:r>
      <w:r w:rsidR="004B523B">
        <w:rPr>
          <w:rFonts w:ascii="Verdana" w:hAnsi="Verdana"/>
          <w:sz w:val="20"/>
          <w:szCs w:val="20"/>
        </w:rPr>
        <w:t xml:space="preserve"> merely descriptive. </w:t>
      </w:r>
      <w:r w:rsidR="00C93E46">
        <w:rPr>
          <w:rFonts w:ascii="Verdana" w:hAnsi="Verdana"/>
          <w:sz w:val="20"/>
          <w:szCs w:val="20"/>
        </w:rPr>
        <w:t>In addition, the</w:t>
      </w:r>
      <w:r w:rsidR="00A82FA3">
        <w:rPr>
          <w:rFonts w:ascii="Verdana" w:hAnsi="Verdana"/>
          <w:sz w:val="20"/>
          <w:szCs w:val="20"/>
        </w:rPr>
        <w:t xml:space="preserve"> </w:t>
      </w:r>
      <w:r w:rsidR="004B523B">
        <w:rPr>
          <w:rFonts w:ascii="Verdana" w:hAnsi="Verdana"/>
          <w:sz w:val="20"/>
          <w:szCs w:val="20"/>
        </w:rPr>
        <w:t xml:space="preserve">meaning of the mark as a whole must be assessed to determine whether adding the additional term to the surname </w:t>
      </w:r>
      <w:r w:rsidR="00987CFF">
        <w:rPr>
          <w:rFonts w:ascii="Verdana" w:hAnsi="Verdana"/>
          <w:sz w:val="20"/>
          <w:szCs w:val="20"/>
        </w:rPr>
        <w:t>alters</w:t>
      </w:r>
      <w:r w:rsidR="004B523B">
        <w:rPr>
          <w:rFonts w:ascii="Verdana" w:hAnsi="Verdana"/>
          <w:sz w:val="20"/>
          <w:szCs w:val="20"/>
        </w:rPr>
        <w:t xml:space="preserve"> the primary significance of the mark as a whole. </w:t>
      </w:r>
      <w:r w:rsidR="004B523B">
        <w:rPr>
          <w:rFonts w:ascii="Verdana" w:hAnsi="Verdana"/>
          <w:i/>
          <w:sz w:val="20"/>
          <w:szCs w:val="20"/>
        </w:rPr>
        <w:t>Id.</w:t>
      </w:r>
      <w:r w:rsidR="008B7DCF">
        <w:rPr>
          <w:rFonts w:ascii="Verdana" w:hAnsi="Verdana"/>
          <w:sz w:val="20"/>
          <w:szCs w:val="20"/>
        </w:rPr>
        <w:t xml:space="preserve"> at 1415</w:t>
      </w:r>
      <w:r w:rsidR="00B24E8F">
        <w:rPr>
          <w:rFonts w:ascii="Verdana" w:hAnsi="Verdana"/>
          <w:sz w:val="20"/>
          <w:szCs w:val="20"/>
        </w:rPr>
        <w:t xml:space="preserve"> (remanding to the Board to determine both whether the term “COLLECTION” in the mark EARNHARDT COLLECTION is merely descriptive and the primary significance of the mark as a whole to the purchasing public).</w:t>
      </w:r>
      <w:r w:rsidR="004B523B" w:rsidRPr="00F94901">
        <w:rPr>
          <w:rFonts w:ascii="Verdana" w:hAnsi="Verdana"/>
          <w:sz w:val="20"/>
          <w:szCs w:val="20"/>
        </w:rPr>
        <w:t xml:space="preserve"> </w:t>
      </w:r>
      <w:r w:rsidR="00987CFF">
        <w:rPr>
          <w:rFonts w:ascii="Verdana" w:hAnsi="Verdana"/>
          <w:sz w:val="20"/>
          <w:szCs w:val="20"/>
        </w:rPr>
        <w:t xml:space="preserve"> </w:t>
      </w:r>
    </w:p>
    <w:p w:rsidR="00F94901" w:rsidRPr="00F94901" w:rsidRDefault="007D171B" w:rsidP="00F94901">
      <w:pPr>
        <w:rPr>
          <w:rFonts w:ascii="Verdana" w:hAnsi="Verdana"/>
          <w:sz w:val="20"/>
          <w:szCs w:val="20"/>
        </w:rPr>
      </w:pPr>
      <w:r w:rsidRPr="00F94901">
        <w:rPr>
          <w:rFonts w:ascii="Verdana" w:hAnsi="Verdana"/>
          <w:sz w:val="20"/>
          <w:szCs w:val="20"/>
        </w:rPr>
        <w:t>Accordingly, a mark that includes wording in addition to a term that, standing by itself, is primarily merely a surname, must be considered in its entirety.</w:t>
      </w:r>
      <w:r w:rsidR="008B7DCF">
        <w:rPr>
          <w:rFonts w:ascii="Verdana" w:hAnsi="Verdana"/>
          <w:sz w:val="20"/>
          <w:szCs w:val="20"/>
        </w:rPr>
        <w:t xml:space="preserve"> </w:t>
      </w:r>
      <w:r w:rsidR="00F94901" w:rsidRPr="00F94901">
        <w:rPr>
          <w:rFonts w:ascii="Verdana" w:hAnsi="Verdana"/>
          <w:sz w:val="20"/>
          <w:szCs w:val="20"/>
        </w:rPr>
        <w:t>Merely descriptive terms that have not acquired distinctiveness do not have source-identifying significance and—like generic terms—will typically not detract from the primary surname significance i</w:t>
      </w:r>
      <w:r w:rsidR="00F94901">
        <w:rPr>
          <w:rFonts w:ascii="Verdana" w:hAnsi="Verdana"/>
          <w:sz w:val="20"/>
          <w:szCs w:val="20"/>
        </w:rPr>
        <w:t xml:space="preserve">n a mark containing a surname. </w:t>
      </w:r>
      <w:r w:rsidR="00F94901" w:rsidRPr="00F94901">
        <w:rPr>
          <w:rFonts w:ascii="Verdana" w:hAnsi="Verdana"/>
          <w:sz w:val="20"/>
          <w:szCs w:val="20"/>
        </w:rPr>
        <w:t>Therefore, if none of the additional matter combined with the surname is inherently distinctive or has acquired distinctiveness (e.g., it is merely descriptive or incapable), refusal of the entire mark under §2(e</w:t>
      </w:r>
      <w:proofErr w:type="gramStart"/>
      <w:r w:rsidR="00F94901" w:rsidRPr="00F94901">
        <w:rPr>
          <w:rFonts w:ascii="Verdana" w:hAnsi="Verdana"/>
          <w:sz w:val="20"/>
          <w:szCs w:val="20"/>
        </w:rPr>
        <w:t>)(</w:t>
      </w:r>
      <w:proofErr w:type="gramEnd"/>
      <w:r w:rsidR="00F94901" w:rsidRPr="00F94901">
        <w:rPr>
          <w:rFonts w:ascii="Verdana" w:hAnsi="Verdana"/>
          <w:sz w:val="20"/>
          <w:szCs w:val="20"/>
        </w:rPr>
        <w:t>4) will be appr</w:t>
      </w:r>
      <w:r w:rsidR="004D2C2C">
        <w:rPr>
          <w:rFonts w:ascii="Verdana" w:hAnsi="Verdana"/>
          <w:sz w:val="20"/>
          <w:szCs w:val="20"/>
        </w:rPr>
        <w:t xml:space="preserve">opriate in most circumstances. </w:t>
      </w:r>
      <w:r w:rsidR="00F94901" w:rsidRPr="00F94901">
        <w:rPr>
          <w:rFonts w:ascii="Verdana" w:hAnsi="Verdana"/>
          <w:i/>
          <w:sz w:val="20"/>
          <w:szCs w:val="20"/>
        </w:rPr>
        <w:t>Id.</w:t>
      </w:r>
      <w:r w:rsidR="00F94901" w:rsidRPr="00F94901">
        <w:rPr>
          <w:rFonts w:ascii="Verdana" w:hAnsi="Verdana"/>
          <w:sz w:val="20"/>
          <w:szCs w:val="20"/>
        </w:rPr>
        <w:t xml:space="preserve">  </w:t>
      </w:r>
    </w:p>
    <w:sectPr w:rsidR="00F94901" w:rsidRPr="00F9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1"/>
    <w:rsid w:val="000F7169"/>
    <w:rsid w:val="00115AE3"/>
    <w:rsid w:val="003F206C"/>
    <w:rsid w:val="0041690C"/>
    <w:rsid w:val="00490882"/>
    <w:rsid w:val="004B523B"/>
    <w:rsid w:val="004D2C2C"/>
    <w:rsid w:val="005C053A"/>
    <w:rsid w:val="007D171B"/>
    <w:rsid w:val="008B7DCF"/>
    <w:rsid w:val="00924642"/>
    <w:rsid w:val="00987CFF"/>
    <w:rsid w:val="009B07C1"/>
    <w:rsid w:val="00A82FA3"/>
    <w:rsid w:val="00B17775"/>
    <w:rsid w:val="00B24E8F"/>
    <w:rsid w:val="00B450F7"/>
    <w:rsid w:val="00BF59B6"/>
    <w:rsid w:val="00C152A6"/>
    <w:rsid w:val="00C80772"/>
    <w:rsid w:val="00C93E46"/>
    <w:rsid w:val="00D22250"/>
    <w:rsid w:val="00D34587"/>
    <w:rsid w:val="00DB7455"/>
    <w:rsid w:val="00E218B2"/>
    <w:rsid w:val="00F94901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4909"/>
  <w15:chartTrackingRefBased/>
  <w15:docId w15:val="{3F36C457-F5F6-4DDC-9098-67E1061E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2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C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Catherine</dc:creator>
  <cp:keywords/>
  <dc:description/>
  <cp:lastModifiedBy>Cain, Catherine</cp:lastModifiedBy>
  <cp:revision>3</cp:revision>
  <dcterms:created xsi:type="dcterms:W3CDTF">2017-08-15T17:57:00Z</dcterms:created>
  <dcterms:modified xsi:type="dcterms:W3CDTF">2017-08-15T18:02:00Z</dcterms:modified>
</cp:coreProperties>
</file>