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13" w:rsidRPr="00F428A5" w:rsidRDefault="00F84013" w:rsidP="00F84013">
      <w:pPr>
        <w:pStyle w:val="Title"/>
        <w:rPr>
          <w:u w:val="single"/>
        </w:rPr>
      </w:pPr>
      <w:r w:rsidRPr="00F428A5">
        <w:rPr>
          <w:u w:val="single"/>
        </w:rPr>
        <w:t>Examination Guide 1</w:t>
      </w:r>
      <w:r>
        <w:rPr>
          <w:u w:val="single"/>
        </w:rPr>
        <w:t>-17</w:t>
      </w:r>
    </w:p>
    <w:p w:rsidR="00F84013" w:rsidRDefault="00F84013" w:rsidP="00F84013">
      <w:pPr>
        <w:pStyle w:val="Title"/>
      </w:pPr>
      <w:r w:rsidRPr="00C718C6">
        <w:t xml:space="preserve">Examination </w:t>
      </w:r>
      <w:r>
        <w:t>Guidance</w:t>
      </w:r>
      <w:r w:rsidRPr="00C718C6">
        <w:t xml:space="preserve"> </w:t>
      </w:r>
      <w:r>
        <w:t>for</w:t>
      </w:r>
      <w:r w:rsidRPr="00C718C6">
        <w:t xml:space="preserve"> Section 2(a)’s </w:t>
      </w:r>
      <w:r>
        <w:t xml:space="preserve">Disparagement Provision after </w:t>
      </w:r>
      <w:proofErr w:type="spellStart"/>
      <w:r>
        <w:rPr>
          <w:i/>
        </w:rPr>
        <w:t>Matal</w:t>
      </w:r>
      <w:proofErr w:type="spellEnd"/>
      <w:r>
        <w:rPr>
          <w:i/>
        </w:rPr>
        <w:t xml:space="preserve"> v. Tam</w:t>
      </w:r>
      <w:r>
        <w:t xml:space="preserve"> and </w:t>
      </w:r>
      <w:r w:rsidRPr="00C718C6">
        <w:t xml:space="preserve">Examination for Compliance </w:t>
      </w:r>
      <w:r>
        <w:t xml:space="preserve">with Section 2(a)’s </w:t>
      </w:r>
      <w:proofErr w:type="spellStart"/>
      <w:r w:rsidRPr="00C718C6">
        <w:t>Scandalous</w:t>
      </w:r>
      <w:r>
        <w:t>ness</w:t>
      </w:r>
      <w:proofErr w:type="spellEnd"/>
      <w:r>
        <w:t xml:space="preserve"> Provision</w:t>
      </w:r>
      <w:r w:rsidRPr="00C718C6">
        <w:t xml:space="preserve"> While Constitutionality Remains in Question</w:t>
      </w:r>
    </w:p>
    <w:p w:rsidR="00F84013" w:rsidRDefault="00F84013" w:rsidP="00BE0ABF">
      <w:pPr>
        <w:pStyle w:val="Title"/>
      </w:pPr>
      <w:r w:rsidRPr="000E520A">
        <w:t xml:space="preserve">Issued </w:t>
      </w:r>
      <w:r>
        <w:t xml:space="preserve">June </w:t>
      </w:r>
      <w:r w:rsidR="0040752B">
        <w:t>26</w:t>
      </w:r>
      <w:r>
        <w:t>, 2017</w:t>
      </w:r>
    </w:p>
    <w:p w:rsidR="00BE0ABF" w:rsidRDefault="00BE0ABF" w:rsidP="00BE0ABF">
      <w:pPr>
        <w:pStyle w:val="Title"/>
      </w:pPr>
    </w:p>
    <w:p w:rsidR="00265D66" w:rsidRPr="000A092B" w:rsidRDefault="00E2304F" w:rsidP="00F84013">
      <w:pPr>
        <w:ind w:firstLine="0"/>
      </w:pPr>
      <w:r>
        <w:t xml:space="preserve">Section 2(a) of the Lanham Act, 15 U.S.C. § 1052(a), bars registration of marks that </w:t>
      </w:r>
      <w:r w:rsidRPr="007151F9">
        <w:t xml:space="preserve">consist of or </w:t>
      </w:r>
      <w:r>
        <w:t xml:space="preserve">comprise matter which may disparage persons, institutions, beliefs, or national symbols, or bring them into contempt or disrepute (“the disparagement provision”), </w:t>
      </w:r>
      <w:r w:rsidR="00A95F5E">
        <w:t xml:space="preserve">and marks that consist of or comprise </w:t>
      </w:r>
      <w:r>
        <w:t xml:space="preserve">immoral or scandalous </w:t>
      </w:r>
      <w:r w:rsidRPr="007151F9">
        <w:t>matter</w:t>
      </w:r>
      <w:r>
        <w:t xml:space="preserve"> (“the </w:t>
      </w:r>
      <w:proofErr w:type="spellStart"/>
      <w:r>
        <w:t>scandalousness</w:t>
      </w:r>
      <w:proofErr w:type="spellEnd"/>
      <w:r>
        <w:t xml:space="preserve"> provision”).  These provisions were challenged in separate court actions as unconstitutional </w:t>
      </w:r>
      <w:r w:rsidR="00A95F5E">
        <w:t xml:space="preserve">under </w:t>
      </w:r>
      <w:r>
        <w:t xml:space="preserve">the Free Speech Clause of the First Amendment.  </w:t>
      </w:r>
      <w:r w:rsidR="00265D66">
        <w:rPr>
          <w:i/>
        </w:rPr>
        <w:t xml:space="preserve">See </w:t>
      </w:r>
      <w:proofErr w:type="spellStart"/>
      <w:r w:rsidRPr="00E2304F">
        <w:rPr>
          <w:i/>
        </w:rPr>
        <w:t>Matal</w:t>
      </w:r>
      <w:proofErr w:type="spellEnd"/>
      <w:r w:rsidRPr="00E2304F">
        <w:rPr>
          <w:i/>
        </w:rPr>
        <w:t xml:space="preserve"> v. Tam</w:t>
      </w:r>
      <w:r>
        <w:t xml:space="preserve">, No. 15-1293 (U.S. Supreme Court on petition for certiorari </w:t>
      </w:r>
      <w:r w:rsidR="00265D66">
        <w:t xml:space="preserve">from </w:t>
      </w:r>
      <w:r>
        <w:t>in</w:t>
      </w:r>
      <w:r w:rsidR="00265D66">
        <w:t xml:space="preserve"> </w:t>
      </w:r>
      <w:r w:rsidR="00265D66">
        <w:rPr>
          <w:i/>
        </w:rPr>
        <w:t xml:space="preserve">In re </w:t>
      </w:r>
      <w:r w:rsidR="00265D66" w:rsidRPr="00265D66">
        <w:rPr>
          <w:i/>
        </w:rPr>
        <w:t>Tam</w:t>
      </w:r>
      <w:r w:rsidR="00265D66">
        <w:t>, No. 14-1203 (Federal Circuit</w:t>
      </w:r>
      <w:r>
        <w:t>) (disparagement provision)</w:t>
      </w:r>
      <w:r w:rsidR="00265D66">
        <w:t xml:space="preserve"> and </w:t>
      </w:r>
      <w:r>
        <w:rPr>
          <w:i/>
        </w:rPr>
        <w:t>In re Brunetti</w:t>
      </w:r>
      <w:r w:rsidR="00265D66">
        <w:t>, No. 15-1109</w:t>
      </w:r>
      <w:r>
        <w:t xml:space="preserve"> (Federal Circuit) (</w:t>
      </w:r>
      <w:proofErr w:type="spellStart"/>
      <w:r>
        <w:t>scandalousness</w:t>
      </w:r>
      <w:proofErr w:type="spellEnd"/>
      <w:r>
        <w:t xml:space="preserve"> provision)</w:t>
      </w:r>
      <w:r w:rsidR="00265D66">
        <w:t>.</w:t>
      </w:r>
      <w:r>
        <w:t xml:space="preserve"> </w:t>
      </w:r>
      <w:r w:rsidR="00265D66">
        <w:t xml:space="preserve"> In 2015, the Federal Circuit held </w:t>
      </w:r>
      <w:r w:rsidR="00265D66" w:rsidRPr="000C4920">
        <w:t xml:space="preserve">that the </w:t>
      </w:r>
      <w:r w:rsidR="00265D66">
        <w:t xml:space="preserve">disparagement </w:t>
      </w:r>
      <w:r w:rsidR="00265D66" w:rsidRPr="000C4920">
        <w:t xml:space="preserve">provision </w:t>
      </w:r>
      <w:r w:rsidR="00A95F5E">
        <w:t>constitutes viewpoint discrimination</w:t>
      </w:r>
      <w:r w:rsidR="00A95F5E" w:rsidRPr="000C4920">
        <w:t xml:space="preserve"> </w:t>
      </w:r>
      <w:r w:rsidR="00A95F5E">
        <w:t xml:space="preserve">and </w:t>
      </w:r>
      <w:r w:rsidR="00265D66" w:rsidRPr="000C4920">
        <w:t xml:space="preserve">is </w:t>
      </w:r>
      <w:r w:rsidR="00265D66">
        <w:t xml:space="preserve">facially </w:t>
      </w:r>
      <w:r w:rsidR="00265D66" w:rsidRPr="000C4920">
        <w:t>unconstitutional under the First Amendment</w:t>
      </w:r>
      <w:r w:rsidR="00265D66">
        <w:t xml:space="preserve">’s </w:t>
      </w:r>
      <w:r w:rsidR="00265D66" w:rsidRPr="008D3B9B">
        <w:t>Free Speech Clause</w:t>
      </w:r>
      <w:r w:rsidR="00265D66" w:rsidRPr="000C4920">
        <w:t xml:space="preserve">.  </w:t>
      </w:r>
      <w:r w:rsidR="00265D66" w:rsidRPr="000C4920">
        <w:rPr>
          <w:i/>
        </w:rPr>
        <w:t>In re Tam</w:t>
      </w:r>
      <w:r w:rsidR="00265D66" w:rsidRPr="000C4920">
        <w:t>, 808 F.3d 1321, 1358, 117 USPQ2d 1001, 1025 (Fed. Cir. 2015) (</w:t>
      </w:r>
      <w:proofErr w:type="spellStart"/>
      <w:r w:rsidR="00265D66" w:rsidRPr="00B54FA8">
        <w:rPr>
          <w:i/>
        </w:rPr>
        <w:t>en</w:t>
      </w:r>
      <w:proofErr w:type="spellEnd"/>
      <w:r w:rsidR="00265D66" w:rsidRPr="00B54FA8">
        <w:rPr>
          <w:i/>
        </w:rPr>
        <w:t xml:space="preserve"> banc</w:t>
      </w:r>
      <w:r w:rsidR="00265D66" w:rsidRPr="000C4920">
        <w:t>), as corrected (Feb. 11, 2016).</w:t>
      </w:r>
      <w:r w:rsidR="00265D66">
        <w:t xml:space="preserve">  On June 19, 2017, the Supreme Court of the United States </w:t>
      </w:r>
      <w:r w:rsidR="00A95F5E">
        <w:t xml:space="preserve">decided </w:t>
      </w:r>
      <w:proofErr w:type="spellStart"/>
      <w:r w:rsidR="00A95F5E">
        <w:rPr>
          <w:i/>
        </w:rPr>
        <w:t>Matal</w:t>
      </w:r>
      <w:proofErr w:type="spellEnd"/>
      <w:r w:rsidR="00A95F5E">
        <w:rPr>
          <w:i/>
        </w:rPr>
        <w:t xml:space="preserve"> v. Tam</w:t>
      </w:r>
      <w:r w:rsidR="00A95F5E">
        <w:t>, 582 U.S. ___ (2017), which affirmed</w:t>
      </w:r>
      <w:r w:rsidR="00265D66">
        <w:t xml:space="preserve"> the judgment of the Federal Circuit.  </w:t>
      </w:r>
      <w:r w:rsidR="00A95F5E">
        <w:rPr>
          <w:i/>
        </w:rPr>
        <w:t>Id</w:t>
      </w:r>
      <w:r w:rsidR="00A95F5E">
        <w:t>.</w:t>
      </w:r>
      <w:r w:rsidR="000A092B">
        <w:t xml:space="preserve">  The Federal Circuit has ordered the parties to submit supplemental briefing in </w:t>
      </w:r>
      <w:r w:rsidR="000A092B">
        <w:rPr>
          <w:i/>
        </w:rPr>
        <w:t>Brunetti</w:t>
      </w:r>
      <w:r w:rsidR="000A092B">
        <w:t xml:space="preserve"> explaining how the constitutionality of the </w:t>
      </w:r>
      <w:proofErr w:type="spellStart"/>
      <w:r w:rsidR="000A092B">
        <w:t>scandalousness</w:t>
      </w:r>
      <w:proofErr w:type="spellEnd"/>
      <w:r w:rsidR="000A092B">
        <w:t xml:space="preserve"> provision should be resolved in light of the Supreme Court’s decision in</w:t>
      </w:r>
      <w:r w:rsidR="000A092B">
        <w:rPr>
          <w:i/>
        </w:rPr>
        <w:t xml:space="preserve"> Tam</w:t>
      </w:r>
      <w:r w:rsidR="000A092B">
        <w:t>.</w:t>
      </w:r>
    </w:p>
    <w:p w:rsidR="00B80B7A" w:rsidRDefault="00E2304F" w:rsidP="000A092B">
      <w:pPr>
        <w:ind w:firstLine="0"/>
      </w:pPr>
      <w:r>
        <w:t xml:space="preserve">As </w:t>
      </w:r>
      <w:r w:rsidR="0001431D">
        <w:t>explained in Examination Guide 0</w:t>
      </w:r>
      <w:r>
        <w:t xml:space="preserve">1-16, the </w:t>
      </w:r>
      <w:r w:rsidR="00265D66">
        <w:t>USPTO has been suspending action on pending applications involving marks subject to refusal under the</w:t>
      </w:r>
      <w:r w:rsidR="000A092B">
        <w:t xml:space="preserve"> disparagement and </w:t>
      </w:r>
      <w:proofErr w:type="spellStart"/>
      <w:r w:rsidR="000A092B">
        <w:t>scandalousness</w:t>
      </w:r>
      <w:proofErr w:type="spellEnd"/>
      <w:r w:rsidR="000A092B">
        <w:t xml:space="preserve"> provisions until </w:t>
      </w:r>
      <w:r w:rsidR="00954870">
        <w:t xml:space="preserve">the </w:t>
      </w:r>
      <w:r w:rsidR="00954870">
        <w:rPr>
          <w:i/>
        </w:rPr>
        <w:t>Tam</w:t>
      </w:r>
      <w:r w:rsidR="00954870">
        <w:t xml:space="preserve"> and </w:t>
      </w:r>
      <w:r w:rsidR="00954870">
        <w:rPr>
          <w:i/>
        </w:rPr>
        <w:t>Brunetti</w:t>
      </w:r>
      <w:r w:rsidR="00954870">
        <w:t xml:space="preserve"> </w:t>
      </w:r>
      <w:r w:rsidR="000A092B">
        <w:t xml:space="preserve">litigations </w:t>
      </w:r>
      <w:r w:rsidR="00954870">
        <w:t>conclude</w:t>
      </w:r>
      <w:r w:rsidR="000A092B">
        <w:t xml:space="preserve">.  </w:t>
      </w:r>
      <w:r w:rsidR="00827CD4">
        <w:t xml:space="preserve">The USPTO issues this updated guidance to explain how </w:t>
      </w:r>
      <w:r w:rsidR="00B80B7A">
        <w:t xml:space="preserve">the USPTO will examine </w:t>
      </w:r>
      <w:r w:rsidR="00827CD4">
        <w:t xml:space="preserve">applications </w:t>
      </w:r>
      <w:r w:rsidR="00B80B7A">
        <w:t>f</w:t>
      </w:r>
      <w:r w:rsidR="00954870">
        <w:t xml:space="preserve">ollowing the Supreme Court’s decision </w:t>
      </w:r>
      <w:r w:rsidR="00B80B7A">
        <w:t xml:space="preserve">in </w:t>
      </w:r>
      <w:r w:rsidR="00B80B7A">
        <w:rPr>
          <w:i/>
        </w:rPr>
        <w:t>Tam</w:t>
      </w:r>
      <w:r w:rsidR="00B80B7A">
        <w:t xml:space="preserve">.  </w:t>
      </w:r>
    </w:p>
    <w:p w:rsidR="00F84013" w:rsidRDefault="00F82701" w:rsidP="000A092B">
      <w:pPr>
        <w:ind w:firstLine="0"/>
      </w:pPr>
      <w:r>
        <w:t xml:space="preserve">In </w:t>
      </w:r>
      <w:r w:rsidR="00B80B7A" w:rsidRPr="00F82701">
        <w:rPr>
          <w:i/>
        </w:rPr>
        <w:t>Tam</w:t>
      </w:r>
      <w:r>
        <w:t xml:space="preserve"> the Supreme Court held that the disparagement provision violates the Free Speech Clause of the First Amendment. Accordingly</w:t>
      </w:r>
      <w:r w:rsidR="00B80B7A">
        <w:t>, that a mark may “disparage . . . or bring</w:t>
      </w:r>
      <w:r>
        <w:br/>
      </w:r>
      <w:r w:rsidR="00B80B7A">
        <w:t xml:space="preserve"> . . . into contemp</w:t>
      </w:r>
      <w:r w:rsidR="00BE0ABF">
        <w:t>t,</w:t>
      </w:r>
      <w:r w:rsidR="00B80B7A">
        <w:t xml:space="preserve"> or disrepute” is no</w:t>
      </w:r>
      <w:r>
        <w:t xml:space="preserve"> longer</w:t>
      </w:r>
      <w:r w:rsidR="00B80B7A">
        <w:t xml:space="preserve"> a valid ground on which to refuse registration or cancel a registration.  </w:t>
      </w:r>
      <w:r w:rsidR="005818B2">
        <w:t>The portions of Trademark Manual of Examining Procedure</w:t>
      </w:r>
      <w:r w:rsidR="00307012">
        <w:t xml:space="preserve"> (TMEP)</w:t>
      </w:r>
      <w:r w:rsidR="005818B2">
        <w:t xml:space="preserve"> §1203 that relate specifically to examination under the disparagement provision no longer apply.  </w:t>
      </w:r>
      <w:r w:rsidR="00B80B7A">
        <w:t xml:space="preserve">Applications that </w:t>
      </w:r>
      <w:r w:rsidR="005818B2">
        <w:t xml:space="preserve">received an advisory refusal under the disparagement provision and were suspended </w:t>
      </w:r>
      <w:r w:rsidR="0001431D">
        <w:t>pursuant to Examination Guide 0</w:t>
      </w:r>
      <w:r w:rsidR="00307012">
        <w:t xml:space="preserve">1-16 </w:t>
      </w:r>
      <w:r w:rsidR="005818B2">
        <w:t xml:space="preserve">will be removed from suspension and examined </w:t>
      </w:r>
      <w:proofErr w:type="gramStart"/>
      <w:r w:rsidR="005818B2">
        <w:t>for</w:t>
      </w:r>
      <w:proofErr w:type="gramEnd"/>
      <w:r w:rsidR="005818B2">
        <w:t xml:space="preserve"> any other requirements or refusals.  If an application was previously abandoned after being refused registration under the disparagement provision, </w:t>
      </w:r>
      <w:r w:rsidR="00BE0ABF">
        <w:t xml:space="preserve">and </w:t>
      </w:r>
      <w:r w:rsidR="0040752B">
        <w:t>is beyond the deadline for filing a petition to revive, a new application may be filed.</w:t>
      </w:r>
      <w:bookmarkStart w:id="0" w:name="_GoBack"/>
      <w:bookmarkEnd w:id="0"/>
      <w:r w:rsidR="005818B2">
        <w:t xml:space="preserve">  </w:t>
      </w:r>
    </w:p>
    <w:p w:rsidR="00307012" w:rsidRDefault="00307012" w:rsidP="000A092B">
      <w:pPr>
        <w:ind w:firstLine="0"/>
      </w:pPr>
      <w:r>
        <w:t xml:space="preserve">Because the constitutionality of the </w:t>
      </w:r>
      <w:proofErr w:type="spellStart"/>
      <w:r>
        <w:t>scandalousness</w:t>
      </w:r>
      <w:proofErr w:type="spellEnd"/>
      <w:r>
        <w:t xml:space="preserve"> provision </w:t>
      </w:r>
      <w:r w:rsidR="001020BD">
        <w:t xml:space="preserve">remains pending before the Federal Circuit in </w:t>
      </w:r>
      <w:r w:rsidR="001020BD" w:rsidRPr="001020BD">
        <w:rPr>
          <w:i/>
        </w:rPr>
        <w:t>Brunetti</w:t>
      </w:r>
      <w:r w:rsidR="001020BD">
        <w:t xml:space="preserve">, </w:t>
      </w:r>
      <w:r>
        <w:t>t</w:t>
      </w:r>
      <w:r w:rsidRPr="00307012">
        <w:t xml:space="preserve">he USPTO continues to examine applications for compliance with </w:t>
      </w:r>
      <w:r>
        <w:t xml:space="preserve">that </w:t>
      </w:r>
      <w:r w:rsidRPr="00307012">
        <w:t xml:space="preserve">provision according to the existing guidance in the </w:t>
      </w:r>
      <w:r>
        <w:t>TMEP and Examination Guide 01-16</w:t>
      </w:r>
      <w:r w:rsidRPr="00307012">
        <w:t xml:space="preserve">.  </w:t>
      </w:r>
      <w:r>
        <w:t xml:space="preserve">Any suspension of an application based on the </w:t>
      </w:r>
      <w:proofErr w:type="spellStart"/>
      <w:r>
        <w:t>scandalousness</w:t>
      </w:r>
      <w:proofErr w:type="spellEnd"/>
      <w:r>
        <w:t xml:space="preserve"> provision of Section 2(a) will remain in place until the Federal Circuit issues a decision in </w:t>
      </w:r>
      <w:r>
        <w:rPr>
          <w:i/>
        </w:rPr>
        <w:t>Brunetti</w:t>
      </w:r>
      <w:r>
        <w:t>, after which the USPTO will re-evaluate the need for further suspension.</w:t>
      </w:r>
    </w:p>
    <w:sectPr w:rsidR="00307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346E7"/>
    <w:multiLevelType w:val="multilevel"/>
    <w:tmpl w:val="1BF6105C"/>
    <w:lvl w:ilvl="0">
      <w:start w:val="1"/>
      <w:numFmt w:val="upperRoman"/>
      <w:pStyle w:val="Heading1"/>
      <w:lvlText w:val="%1."/>
      <w:lvlJc w:val="center"/>
      <w:pPr>
        <w:tabs>
          <w:tab w:val="num" w:pos="72"/>
        </w:tabs>
        <w:ind w:left="-288" w:firstLine="288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700"/>
        </w:tabs>
        <w:ind w:left="23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13"/>
    <w:rsid w:val="0001431D"/>
    <w:rsid w:val="000A092B"/>
    <w:rsid w:val="001020BD"/>
    <w:rsid w:val="00265D66"/>
    <w:rsid w:val="002F0852"/>
    <w:rsid w:val="00307012"/>
    <w:rsid w:val="003B371B"/>
    <w:rsid w:val="0040752B"/>
    <w:rsid w:val="00471730"/>
    <w:rsid w:val="004B309D"/>
    <w:rsid w:val="005818B2"/>
    <w:rsid w:val="00827CD4"/>
    <w:rsid w:val="0083492D"/>
    <w:rsid w:val="008D3B9B"/>
    <w:rsid w:val="00914357"/>
    <w:rsid w:val="00954870"/>
    <w:rsid w:val="009F7135"/>
    <w:rsid w:val="00A95F5E"/>
    <w:rsid w:val="00B12CD9"/>
    <w:rsid w:val="00B80B7A"/>
    <w:rsid w:val="00BE0ABF"/>
    <w:rsid w:val="00CA4A00"/>
    <w:rsid w:val="00E2304F"/>
    <w:rsid w:val="00F82701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E73B-2D5F-4151-9F3B-13382A78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35"/>
    <w:pPr>
      <w:spacing w:after="24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FirstIndent2"/>
    <w:link w:val="Heading1Char"/>
    <w:qFormat/>
    <w:rsid w:val="00CA4A00"/>
    <w:pPr>
      <w:numPr>
        <w:numId w:val="4"/>
      </w:numPr>
      <w:tabs>
        <w:tab w:val="left" w:pos="720"/>
      </w:tabs>
      <w:spacing w:after="0" w:line="480" w:lineRule="auto"/>
      <w:outlineLvl w:val="0"/>
    </w:pPr>
    <w:rPr>
      <w:rFonts w:eastAsia="Times New Roman" w:cs="Arial"/>
      <w:b/>
      <w:bCs/>
      <w:caps/>
      <w:color w:val="000000" w:themeColor="tex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A4A00"/>
    <w:pPr>
      <w:keepNext/>
      <w:numPr>
        <w:ilvl w:val="1"/>
        <w:numId w:val="4"/>
      </w:numPr>
      <w:tabs>
        <w:tab w:val="left" w:pos="1440"/>
      </w:tabs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A4A00"/>
    <w:pPr>
      <w:keepNext/>
      <w:numPr>
        <w:ilvl w:val="2"/>
        <w:numId w:val="4"/>
      </w:numPr>
      <w:outlineLvl w:val="2"/>
    </w:pPr>
    <w:rPr>
      <w:rFonts w:eastAsia="Times New Roman" w:cs="Arial"/>
      <w:b/>
      <w:bCs/>
      <w:sz w:val="28"/>
      <w:szCs w:val="26"/>
    </w:rPr>
  </w:style>
  <w:style w:type="paragraph" w:styleId="Heading4">
    <w:name w:val="heading 4"/>
    <w:basedOn w:val="Normal"/>
    <w:next w:val="BodyTextIndent2"/>
    <w:link w:val="Heading4Char"/>
    <w:autoRedefine/>
    <w:qFormat/>
    <w:rsid w:val="00CA4A00"/>
    <w:pPr>
      <w:keepNext/>
      <w:numPr>
        <w:ilvl w:val="3"/>
        <w:numId w:val="4"/>
      </w:numPr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4A00"/>
    <w:rPr>
      <w:rFonts w:ascii="Times New Roman" w:eastAsia="Times New Roman" w:hAnsi="Times New Roman" w:cs="Arial"/>
      <w:b/>
      <w:bCs/>
      <w:caps/>
      <w:color w:val="000000" w:themeColor="text1"/>
      <w:kern w:val="32"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4A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4A0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4A00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4A00"/>
  </w:style>
  <w:style w:type="character" w:customStyle="1" w:styleId="Heading2Char">
    <w:name w:val="Heading 2 Char"/>
    <w:basedOn w:val="DefaultParagraphFont"/>
    <w:link w:val="Heading2"/>
    <w:rsid w:val="00CA4A0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A4A00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CA4A0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4A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4A00"/>
  </w:style>
  <w:style w:type="paragraph" w:styleId="Title">
    <w:name w:val="Title"/>
    <w:basedOn w:val="Normal"/>
    <w:link w:val="TitleChar"/>
    <w:qFormat/>
    <w:rsid w:val="00F84013"/>
    <w:pPr>
      <w:spacing w:after="0"/>
      <w:ind w:firstLine="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84013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7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2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70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70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Solicitor's Office</dc:creator>
  <cp:keywords/>
  <dc:description/>
  <cp:lastModifiedBy>Chicoski, Jennifer</cp:lastModifiedBy>
  <cp:revision>3</cp:revision>
  <dcterms:created xsi:type="dcterms:W3CDTF">2017-06-24T16:49:00Z</dcterms:created>
  <dcterms:modified xsi:type="dcterms:W3CDTF">2017-06-24T17:25:00Z</dcterms:modified>
</cp:coreProperties>
</file>