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BF37A" w14:textId="65F2A01C" w:rsidR="00620E50" w:rsidRDefault="006C1621" w:rsidP="00246EC1">
      <w:pPr>
        <w:pStyle w:val="Title"/>
        <w:rPr>
          <w:sz w:val="48"/>
          <w:szCs w:val="48"/>
        </w:rPr>
      </w:pPr>
      <w:r>
        <w:rPr>
          <w:sz w:val="48"/>
          <w:szCs w:val="48"/>
        </w:rPr>
        <w:t>Setting and Adjusting Patent Fees</w:t>
      </w:r>
      <w:r w:rsidR="00A10601">
        <w:rPr>
          <w:sz w:val="48"/>
          <w:szCs w:val="48"/>
        </w:rPr>
        <w:t xml:space="preserve"> during FY </w:t>
      </w:r>
      <w:r w:rsidR="005B5C45">
        <w:rPr>
          <w:sz w:val="48"/>
          <w:szCs w:val="48"/>
        </w:rPr>
        <w:t xml:space="preserve">2020 </w:t>
      </w:r>
      <w:r w:rsidR="00620E50" w:rsidRPr="008A09A6">
        <w:rPr>
          <w:sz w:val="48"/>
          <w:szCs w:val="48"/>
        </w:rPr>
        <w:t xml:space="preserve">– </w:t>
      </w:r>
    </w:p>
    <w:p w14:paraId="0B2BF37B" w14:textId="77777777" w:rsidR="00620E50" w:rsidRDefault="00620E50" w:rsidP="00246EC1">
      <w:pPr>
        <w:pStyle w:val="Title"/>
        <w:rPr>
          <w:color w:val="17365D"/>
        </w:rPr>
      </w:pPr>
      <w:r>
        <w:rPr>
          <w:sz w:val="48"/>
          <w:szCs w:val="48"/>
        </w:rPr>
        <w:t xml:space="preserve">Aggregate Revenue Estimating </w:t>
      </w:r>
      <w:r w:rsidRPr="008A09A6">
        <w:rPr>
          <w:sz w:val="48"/>
          <w:szCs w:val="48"/>
        </w:rPr>
        <w:t>Methodology</w:t>
      </w:r>
    </w:p>
    <w:p w14:paraId="0B2BF37C" w14:textId="77777777" w:rsidR="00620E50" w:rsidRPr="009B4BE5" w:rsidRDefault="00620E50" w:rsidP="00246EC1">
      <w:pPr>
        <w:pStyle w:val="Title"/>
        <w:rPr>
          <w:rStyle w:val="BookTitle"/>
        </w:rPr>
      </w:pPr>
    </w:p>
    <w:p w14:paraId="0B2BF37D" w14:textId="75BD36C7" w:rsidR="00620E50" w:rsidRPr="00620E50" w:rsidRDefault="00C26C10" w:rsidP="005B60BE">
      <w:pPr>
        <w:spacing w:before="100" w:beforeAutospacing="1" w:after="100" w:afterAutospacing="1" w:line="48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This document provides an explanation of the figures and calculations underlying the fee estimates found in the aggregate revenue tables developed in support of the </w:t>
      </w:r>
      <w:r w:rsidR="00E83BA9">
        <w:rPr>
          <w:rFonts w:ascii="Times New Roman" w:eastAsia="Calibri" w:hAnsi="Times New Roman" w:cs="Times New Roman"/>
          <w:sz w:val="24"/>
          <w:szCs w:val="24"/>
          <w:lang w:eastAsia="en-US"/>
        </w:rPr>
        <w:t>Notice of Proposed</w:t>
      </w:r>
      <w:r w:rsidR="004378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Rulemaking</w:t>
      </w:r>
      <w:r w:rsidR="00E83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(NPRM)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 The complete set of tables, one for each of the four alternatives considered, is </w:t>
      </w:r>
      <w:r w:rsidRPr="00BF31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available at </w:t>
      </w:r>
      <w:hyperlink r:id="rId11" w:history="1">
        <w:r w:rsidRPr="00682202">
          <w:rPr>
            <w:rStyle w:val="Hyperlink"/>
            <w:rFonts w:ascii="Times New Roman" w:eastAsia="Calibri" w:hAnsi="Times New Roman" w:cs="Times New Roman"/>
            <w:sz w:val="24"/>
            <w:szCs w:val="24"/>
            <w:lang w:eastAsia="en-US"/>
          </w:rPr>
          <w:t>http://www.uspto.gov/about-us/performance-and-planning/fee-setting-and-adjusting</w:t>
        </w:r>
      </w:hyperlink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246E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B60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852D8">
        <w:rPr>
          <w:rFonts w:ascii="Times New Roman" w:eastAsia="Calibri" w:hAnsi="Times New Roman" w:cs="Times New Roman"/>
          <w:sz w:val="24"/>
          <w:szCs w:val="24"/>
          <w:lang w:eastAsia="en-US"/>
        </w:rPr>
        <w:t>This document has f</w:t>
      </w:r>
      <w:r w:rsidR="00A10601">
        <w:rPr>
          <w:rFonts w:ascii="Times New Roman" w:eastAsia="Calibri" w:hAnsi="Times New Roman" w:cs="Times New Roman"/>
          <w:sz w:val="24"/>
          <w:szCs w:val="24"/>
          <w:lang w:eastAsia="en-US"/>
        </w:rPr>
        <w:t>ive</w:t>
      </w:r>
      <w:r w:rsidR="00620E50" w:rsidRPr="00620E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sections:</w:t>
      </w:r>
    </w:p>
    <w:p w14:paraId="0D29BBE4" w14:textId="05330037" w:rsidR="002D5285" w:rsidRPr="00C26C10" w:rsidRDefault="00620E50" w:rsidP="005B60BE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</w:pPr>
      <w:r w:rsidRPr="00C26C10">
        <w:rPr>
          <w:b/>
        </w:rPr>
        <w:t>Background</w:t>
      </w:r>
      <w:r w:rsidRPr="000A67E0">
        <w:t xml:space="preserve"> </w:t>
      </w:r>
    </w:p>
    <w:p w14:paraId="0B2BF37F" w14:textId="4B5EF205" w:rsidR="00620E50" w:rsidRPr="000A67E0" w:rsidRDefault="005B5C45" w:rsidP="005B60BE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</w:pPr>
      <w:r>
        <w:rPr>
          <w:b/>
        </w:rPr>
        <w:t>Proposed</w:t>
      </w:r>
      <w:r w:rsidR="00620E50">
        <w:rPr>
          <w:b/>
        </w:rPr>
        <w:t xml:space="preserve"> Alternative</w:t>
      </w:r>
    </w:p>
    <w:p w14:paraId="0B2BF380" w14:textId="124A242E" w:rsidR="00620E50" w:rsidRPr="000A67E0" w:rsidRDefault="0073238C" w:rsidP="005B60BE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</w:pPr>
      <w:r>
        <w:rPr>
          <w:b/>
        </w:rPr>
        <w:t>Unit</w:t>
      </w:r>
      <w:r w:rsidR="00620E50">
        <w:rPr>
          <w:b/>
        </w:rPr>
        <w:t xml:space="preserve"> Cost Recovery</w:t>
      </w:r>
      <w:r>
        <w:rPr>
          <w:b/>
        </w:rPr>
        <w:t xml:space="preserve"> Alternative</w:t>
      </w:r>
    </w:p>
    <w:p w14:paraId="0B2BF381" w14:textId="42267EAA" w:rsidR="00620E50" w:rsidRDefault="006C1621" w:rsidP="005B60BE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</w:pPr>
      <w:r>
        <w:rPr>
          <w:b/>
        </w:rPr>
        <w:t>Across the Board Adjustment</w:t>
      </w:r>
      <w:r w:rsidR="0073238C">
        <w:rPr>
          <w:b/>
        </w:rPr>
        <w:t xml:space="preserve"> Alternative</w:t>
      </w:r>
    </w:p>
    <w:p w14:paraId="0B2BF383" w14:textId="449A7010" w:rsidR="00963C0B" w:rsidRPr="00963C0B" w:rsidRDefault="006C1621" w:rsidP="005B60BE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b/>
        </w:rPr>
      </w:pPr>
      <w:r>
        <w:rPr>
          <w:b/>
        </w:rPr>
        <w:t>Baseline (</w:t>
      </w:r>
      <w:r w:rsidR="00BB1899">
        <w:rPr>
          <w:b/>
        </w:rPr>
        <w:t>Current</w:t>
      </w:r>
      <w:r>
        <w:rPr>
          <w:b/>
        </w:rPr>
        <w:t xml:space="preserve"> Fee Schedule) </w:t>
      </w:r>
      <w:r w:rsidR="0073238C">
        <w:rPr>
          <w:b/>
        </w:rPr>
        <w:t>Alternative</w:t>
      </w:r>
      <w:r w:rsidR="00F15C5B">
        <w:t xml:space="preserve"> </w:t>
      </w:r>
    </w:p>
    <w:p w14:paraId="0B2BF384" w14:textId="631AD84B" w:rsidR="00F15C5B" w:rsidRDefault="00C26C10" w:rsidP="005B60BE">
      <w:pPr>
        <w:spacing w:before="100" w:beforeAutospacing="1" w:after="100" w:afterAutospacing="1" w:line="48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Section I p</w:t>
      </w:r>
      <w:r w:rsidRPr="00125575">
        <w:rPr>
          <w:rFonts w:ascii="Times New Roman" w:hAnsi="Times New Roman" w:cs="Times New Roman"/>
          <w:sz w:val="24"/>
          <w:szCs w:val="24"/>
        </w:rPr>
        <w:t xml:space="preserve">rovides background information </w:t>
      </w:r>
      <w:r w:rsidR="009852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and </w:t>
      </w:r>
      <w:r w:rsidR="009852D8" w:rsidRPr="00620E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additional detail </w:t>
      </w:r>
      <w:r w:rsidRPr="00125575">
        <w:rPr>
          <w:rFonts w:ascii="Times New Roman" w:hAnsi="Times New Roman" w:cs="Times New Roman"/>
          <w:sz w:val="24"/>
          <w:szCs w:val="24"/>
        </w:rPr>
        <w:t>on the revenue estimating methodology</w:t>
      </w:r>
      <w:r>
        <w:rPr>
          <w:rFonts w:ascii="Times New Roman" w:hAnsi="Times New Roman" w:cs="Times New Roman"/>
          <w:sz w:val="24"/>
          <w:szCs w:val="24"/>
        </w:rPr>
        <w:t xml:space="preserve"> that the Office uses to develop </w:t>
      </w:r>
      <w:r w:rsidR="009852D8">
        <w:rPr>
          <w:rFonts w:ascii="Times New Roman" w:hAnsi="Times New Roman" w:cs="Times New Roman"/>
          <w:sz w:val="24"/>
          <w:szCs w:val="24"/>
        </w:rPr>
        <w:t xml:space="preserve">aggregate </w:t>
      </w:r>
      <w:r>
        <w:rPr>
          <w:rFonts w:ascii="Times New Roman" w:hAnsi="Times New Roman" w:cs="Times New Roman"/>
          <w:sz w:val="24"/>
          <w:szCs w:val="24"/>
        </w:rPr>
        <w:t xml:space="preserve">fee estimates </w:t>
      </w:r>
      <w:r w:rsidR="009852D8">
        <w:rPr>
          <w:rFonts w:ascii="Times New Roman" w:eastAsia="Calibri" w:hAnsi="Times New Roman" w:cs="Times New Roman"/>
          <w:sz w:val="24"/>
          <w:szCs w:val="24"/>
          <w:lang w:eastAsia="en-US"/>
        </w:rPr>
        <w:t>for the four alternatives considered</w:t>
      </w:r>
      <w:r w:rsidR="009852D8" w:rsidRPr="00620E5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9852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852D8" w:rsidRPr="00620E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34224">
        <w:rPr>
          <w:rFonts w:ascii="Times New Roman" w:hAnsi="Times New Roman" w:cs="Times New Roman"/>
          <w:sz w:val="24"/>
          <w:szCs w:val="24"/>
        </w:rPr>
        <w:t xml:space="preserve">Sections II – V explain the approach for calculating the aggregate revenue estimates </w:t>
      </w:r>
      <w:r w:rsidR="009852D8">
        <w:rPr>
          <w:rFonts w:ascii="Times New Roman" w:hAnsi="Times New Roman" w:cs="Times New Roman"/>
          <w:sz w:val="24"/>
          <w:szCs w:val="24"/>
        </w:rPr>
        <w:t>for</w:t>
      </w:r>
      <w:r w:rsidRPr="00434224">
        <w:rPr>
          <w:rFonts w:ascii="Times New Roman" w:hAnsi="Times New Roman" w:cs="Times New Roman"/>
          <w:sz w:val="24"/>
          <w:szCs w:val="24"/>
        </w:rPr>
        <w:t xml:space="preserve"> each alternative.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20E50" w:rsidRPr="00620E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Questions related to the </w:t>
      </w:r>
      <w:r w:rsidR="00963C0B">
        <w:rPr>
          <w:rFonts w:ascii="Times New Roman" w:eastAsia="Calibri" w:hAnsi="Times New Roman" w:cs="Times New Roman"/>
          <w:sz w:val="24"/>
          <w:szCs w:val="24"/>
          <w:lang w:eastAsia="en-US"/>
        </w:rPr>
        <w:t>aggregate revenue estimating</w:t>
      </w:r>
      <w:r w:rsidR="00620E50" w:rsidRPr="00620E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methodologies discussed in the narrative are </w:t>
      </w:r>
      <w:r w:rsidR="00620E50" w:rsidRPr="000301A0">
        <w:rPr>
          <w:rFonts w:ascii="Times New Roman" w:eastAsia="Calibri" w:hAnsi="Times New Roman" w:cs="Times New Roman"/>
          <w:sz w:val="24"/>
          <w:szCs w:val="24"/>
          <w:lang w:eastAsia="en-US"/>
        </w:rPr>
        <w:t>welcome.  For further inf</w:t>
      </w:r>
      <w:r w:rsidR="0073238C" w:rsidRPr="000301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ormation contact </w:t>
      </w:r>
      <w:r w:rsidR="000301A0" w:rsidRPr="000301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Brendan Hourigan, Office of Planning and Budget, </w:t>
      </w:r>
      <w:r w:rsidR="0073238C" w:rsidRPr="000301A0">
        <w:rPr>
          <w:rFonts w:ascii="Times New Roman" w:eastAsia="Calibri" w:hAnsi="Times New Roman" w:cs="Times New Roman"/>
          <w:sz w:val="24"/>
          <w:szCs w:val="24"/>
          <w:lang w:eastAsia="en-US"/>
        </w:rPr>
        <w:t>by telephone at (571) 272-</w:t>
      </w:r>
      <w:r w:rsidR="000301A0" w:rsidRPr="000301A0">
        <w:rPr>
          <w:rFonts w:ascii="Times New Roman" w:eastAsia="Calibri" w:hAnsi="Times New Roman" w:cs="Times New Roman"/>
          <w:sz w:val="24"/>
          <w:szCs w:val="24"/>
          <w:lang w:eastAsia="en-US"/>
        </w:rPr>
        <w:t>8966</w:t>
      </w:r>
      <w:r w:rsidR="00620E50" w:rsidRPr="000301A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0B2BF385" w14:textId="6672B42A" w:rsidR="00ED7F76" w:rsidRPr="00F15C5B" w:rsidRDefault="00F15C5B" w:rsidP="005B60BE">
      <w:pPr>
        <w:rPr>
          <w:lang w:eastAsia="en-US"/>
        </w:rPr>
      </w:pPr>
      <w:r>
        <w:rPr>
          <w:lang w:eastAsia="en-US"/>
        </w:rPr>
        <w:br w:type="page"/>
      </w:r>
      <w:r w:rsidR="00963C0B" w:rsidRPr="00963C0B">
        <w:rPr>
          <w:rFonts w:ascii="Times New Roman" w:hAnsi="Times New Roman" w:cs="Times New Roman"/>
          <w:b/>
          <w:sz w:val="24"/>
          <w:szCs w:val="24"/>
        </w:rPr>
        <w:lastRenderedPageBreak/>
        <w:t>SECTION I: BACKGROUND</w:t>
      </w:r>
    </w:p>
    <w:p w14:paraId="0B2BF386" w14:textId="3BE4B0FE" w:rsidR="005A0CC3" w:rsidRPr="005A0CC3" w:rsidRDefault="005A0CC3" w:rsidP="005B60BE">
      <w:pPr>
        <w:spacing w:before="100" w:beforeAutospacing="1" w:after="100" w:afterAutospacing="1" w:line="48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A0CC3">
        <w:rPr>
          <w:rFonts w:ascii="Times New Roman" w:eastAsia="Calibri" w:hAnsi="Times New Roman" w:cs="Times New Roman"/>
          <w:sz w:val="24"/>
          <w:szCs w:val="24"/>
          <w:lang w:eastAsia="en-US"/>
        </w:rPr>
        <w:t>The</w:t>
      </w:r>
      <w:r w:rsidR="00C26C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aggregate revenue </w:t>
      </w:r>
      <w:r w:rsidRPr="005A0CC3">
        <w:rPr>
          <w:rFonts w:ascii="Times New Roman" w:eastAsia="Calibri" w:hAnsi="Times New Roman" w:cs="Times New Roman"/>
          <w:sz w:val="24"/>
          <w:szCs w:val="24"/>
          <w:lang w:eastAsia="en-US"/>
        </w:rPr>
        <w:t>tables provide</w:t>
      </w:r>
      <w:r w:rsidR="00471F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current and</w:t>
      </w:r>
      <w:r w:rsidR="00FA20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new</w:t>
      </w:r>
      <w:r w:rsidRPr="005A0C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fee rates, estimated workloads (requests for services) including any elasticity estimates, and </w:t>
      </w:r>
      <w:r w:rsidR="006F6D9B" w:rsidRPr="002F7E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projected </w:t>
      </w:r>
      <w:r w:rsidRPr="002F7EC9">
        <w:rPr>
          <w:rFonts w:ascii="Times New Roman" w:eastAsia="Calibri" w:hAnsi="Times New Roman" w:cs="Times New Roman"/>
          <w:sz w:val="24"/>
          <w:szCs w:val="24"/>
          <w:lang w:eastAsia="en-US"/>
        </w:rPr>
        <w:t>fee</w:t>
      </w:r>
      <w:r w:rsidRPr="005A0C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collections at the individual fee code lev</w:t>
      </w:r>
      <w:r w:rsidR="005B5C45">
        <w:rPr>
          <w:rFonts w:ascii="Times New Roman" w:eastAsia="Calibri" w:hAnsi="Times New Roman" w:cs="Times New Roman"/>
          <w:sz w:val="24"/>
          <w:szCs w:val="24"/>
          <w:lang w:eastAsia="en-US"/>
        </w:rPr>
        <w:t>el for each of the years FY 202</w:t>
      </w:r>
      <w:r w:rsidR="00017F6C">
        <w:rPr>
          <w:rFonts w:ascii="Times New Roman" w:eastAsia="Calibri" w:hAnsi="Times New Roman" w:cs="Times New Roman"/>
          <w:sz w:val="24"/>
          <w:szCs w:val="24"/>
          <w:lang w:eastAsia="en-US"/>
        </w:rPr>
        <w:t>0</w:t>
      </w:r>
      <w:r w:rsidR="00A66A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through FY 202</w:t>
      </w:r>
      <w:r w:rsidR="005B5C45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A106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for each of the four</w:t>
      </w:r>
      <w:r w:rsidR="000E0E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alternatives considered.  For a description of how individual fee rates were determined for each alternative, see </w:t>
      </w:r>
      <w:r w:rsidR="00C26C10" w:rsidRPr="00474E28">
        <w:rPr>
          <w:rFonts w:ascii="Times New Roman" w:eastAsia="Calibri" w:hAnsi="Times New Roman" w:cs="Times New Roman"/>
          <w:sz w:val="24"/>
          <w:szCs w:val="24"/>
          <w:lang w:eastAsia="en-US"/>
        </w:rPr>
        <w:t>Part</w:t>
      </w:r>
      <w:r w:rsidR="006F6D9B" w:rsidRPr="00474E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VII</w:t>
      </w:r>
      <w:r w:rsidR="00A053D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C26C10" w:rsidRPr="00474E28">
        <w:rPr>
          <w:rFonts w:ascii="Times New Roman" w:eastAsia="Calibri" w:hAnsi="Times New Roman" w:cs="Times New Roman"/>
          <w:sz w:val="24"/>
          <w:szCs w:val="24"/>
          <w:lang w:eastAsia="en-US"/>
        </w:rPr>
        <w:t>B</w:t>
      </w:r>
      <w:r w:rsidR="00A053DF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9852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E0E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Regulatory Flexibility </w:t>
      </w:r>
      <w:r w:rsidR="009852D8">
        <w:rPr>
          <w:rFonts w:ascii="Times New Roman" w:eastAsia="Calibri" w:hAnsi="Times New Roman" w:cs="Times New Roman"/>
          <w:sz w:val="24"/>
          <w:szCs w:val="24"/>
          <w:lang w:eastAsia="en-US"/>
        </w:rPr>
        <w:t>Act</w:t>
      </w:r>
      <w:r w:rsidR="00474E28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0E0E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in the </w:t>
      </w:r>
      <w:r w:rsidR="005B5C45">
        <w:rPr>
          <w:rFonts w:ascii="Times New Roman" w:eastAsia="Calibri" w:hAnsi="Times New Roman" w:cs="Times New Roman"/>
          <w:sz w:val="24"/>
          <w:szCs w:val="24"/>
          <w:lang w:eastAsia="en-US"/>
        </w:rPr>
        <w:t>NPRM</w:t>
      </w:r>
      <w:r w:rsidRPr="005A0CC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0439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For a description of estimating workloads (requests for services)</w:t>
      </w:r>
      <w:r w:rsidR="009852D8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0439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see </w:t>
      </w:r>
      <w:r w:rsidR="009852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Part </w:t>
      </w:r>
      <w:r w:rsidR="000439EC">
        <w:rPr>
          <w:rFonts w:ascii="Times New Roman" w:eastAsia="Calibri" w:hAnsi="Times New Roman" w:cs="Times New Roman"/>
          <w:sz w:val="24"/>
          <w:szCs w:val="24"/>
          <w:lang w:eastAsia="en-US"/>
        </w:rPr>
        <w:t>IV</w:t>
      </w:r>
      <w:r w:rsidR="00A053DF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9852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439EC">
        <w:rPr>
          <w:rFonts w:ascii="Times New Roman" w:eastAsia="Calibri" w:hAnsi="Times New Roman" w:cs="Times New Roman"/>
          <w:sz w:val="24"/>
          <w:szCs w:val="24"/>
          <w:lang w:eastAsia="en-US"/>
        </w:rPr>
        <w:t>Fee Setting Methodology</w:t>
      </w:r>
      <w:r w:rsidR="00474E28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0439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in the </w:t>
      </w:r>
      <w:r w:rsidR="005B5C45">
        <w:rPr>
          <w:rFonts w:ascii="Times New Roman" w:eastAsia="Calibri" w:hAnsi="Times New Roman" w:cs="Times New Roman"/>
          <w:sz w:val="24"/>
          <w:szCs w:val="24"/>
          <w:lang w:eastAsia="en-US"/>
        </w:rPr>
        <w:t>NPRM</w:t>
      </w:r>
      <w:r w:rsidR="000439E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0B2BF388" w14:textId="4F0DB558" w:rsidR="003677E7" w:rsidRDefault="003677E7" w:rsidP="00246EC1">
      <w:pPr>
        <w:rPr>
          <w:rFonts w:ascii="Times New Roman" w:hAnsi="Times New Roman" w:cs="Times New Roman"/>
          <w:b/>
          <w:sz w:val="24"/>
          <w:szCs w:val="24"/>
        </w:rPr>
      </w:pPr>
    </w:p>
    <w:p w14:paraId="0B2BF389" w14:textId="548AA5AA" w:rsidR="00963C0B" w:rsidRPr="00BF1B4C" w:rsidRDefault="00F15C5B" w:rsidP="005B60BE">
      <w:pPr>
        <w:rPr>
          <w:rFonts w:ascii="Times New Roman" w:hAnsi="Times New Roman" w:cs="Times New Roman"/>
          <w:b/>
          <w:sz w:val="24"/>
          <w:szCs w:val="24"/>
        </w:rPr>
      </w:pPr>
      <w:r w:rsidRPr="00BF1B4C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 w:rsidR="0053574E" w:rsidRPr="00BF1B4C">
        <w:rPr>
          <w:rFonts w:ascii="Times New Roman" w:hAnsi="Times New Roman" w:cs="Times New Roman"/>
          <w:b/>
          <w:sz w:val="24"/>
          <w:szCs w:val="24"/>
        </w:rPr>
        <w:t>II</w:t>
      </w:r>
      <w:r w:rsidR="00963C0B" w:rsidRPr="00BF1B4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B5C45">
        <w:rPr>
          <w:rFonts w:ascii="Times New Roman" w:hAnsi="Times New Roman" w:cs="Times New Roman"/>
          <w:b/>
          <w:sz w:val="24"/>
          <w:szCs w:val="24"/>
        </w:rPr>
        <w:t>PROPOSED</w:t>
      </w:r>
      <w:r w:rsidR="000F6E32" w:rsidRPr="00BF1B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3C0B" w:rsidRPr="00BF1B4C">
        <w:rPr>
          <w:rFonts w:ascii="Times New Roman" w:hAnsi="Times New Roman" w:cs="Times New Roman"/>
          <w:b/>
          <w:sz w:val="24"/>
          <w:szCs w:val="24"/>
        </w:rPr>
        <w:t>ALTERNATIVE</w:t>
      </w:r>
    </w:p>
    <w:p w14:paraId="0B2BF38A" w14:textId="34C60AC3" w:rsidR="00A5357B" w:rsidRPr="00474E28" w:rsidRDefault="00A50BC0" w:rsidP="005B60BE">
      <w:pPr>
        <w:spacing w:before="100" w:beforeAutospacing="1" w:after="100" w:afterAutospacing="1" w:line="48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The aggregate revenue table for the </w:t>
      </w:r>
      <w:r w:rsidR="00E83BA9">
        <w:rPr>
          <w:rFonts w:ascii="Times New Roman" w:eastAsia="Calibri" w:hAnsi="Times New Roman" w:cs="Times New Roman"/>
          <w:sz w:val="24"/>
          <w:szCs w:val="24"/>
          <w:lang w:eastAsia="en-US"/>
        </w:rPr>
        <w:t>proposed</w:t>
      </w:r>
      <w:r w:rsidR="00870B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alternative presents aggregate fee estimates based on the fee rates </w:t>
      </w:r>
      <w:r w:rsidR="00870B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established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in the </w:t>
      </w:r>
      <w:r w:rsidR="00E83BA9">
        <w:rPr>
          <w:rFonts w:ascii="Times New Roman" w:eastAsia="Calibri" w:hAnsi="Times New Roman" w:cs="Times New Roman"/>
          <w:sz w:val="24"/>
          <w:szCs w:val="24"/>
          <w:lang w:eastAsia="en-US"/>
        </w:rPr>
        <w:t>NPRM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 </w:t>
      </w:r>
      <w:r w:rsidR="00114298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>Columns A through G</w:t>
      </w:r>
      <w:r w:rsidR="00840802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are</w:t>
      </w:r>
      <w:r w:rsidR="009372BC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fee rates fr</w:t>
      </w:r>
      <w:r w:rsidR="005B5C45">
        <w:rPr>
          <w:rFonts w:ascii="Times New Roman" w:eastAsia="Calibri" w:hAnsi="Times New Roman" w:cs="Times New Roman"/>
          <w:sz w:val="24"/>
          <w:szCs w:val="24"/>
          <w:lang w:eastAsia="en-US"/>
        </w:rPr>
        <w:t>om FY 20</w:t>
      </w:r>
      <w:r w:rsidR="00017F6C">
        <w:rPr>
          <w:rFonts w:ascii="Times New Roman" w:eastAsia="Calibri" w:hAnsi="Times New Roman" w:cs="Times New Roman"/>
          <w:sz w:val="24"/>
          <w:szCs w:val="24"/>
          <w:lang w:eastAsia="en-US"/>
        </w:rPr>
        <w:t>19</w:t>
      </w:r>
      <w:r w:rsidR="00114298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to FY 202</w:t>
      </w:r>
      <w:r w:rsidR="005B5C45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6F6D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F6D9B" w:rsidRPr="00474E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based on the </w:t>
      </w:r>
      <w:r w:rsidR="00E83BA9">
        <w:rPr>
          <w:rFonts w:ascii="Times New Roman" w:eastAsia="Calibri" w:hAnsi="Times New Roman" w:cs="Times New Roman"/>
          <w:sz w:val="24"/>
          <w:szCs w:val="24"/>
          <w:lang w:eastAsia="en-US"/>
        </w:rPr>
        <w:t>NPRM</w:t>
      </w:r>
      <w:r w:rsidR="00840802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2F7E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40802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>Column</w:t>
      </w:r>
      <w:r w:rsidR="00DF567F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 w:rsidR="00840802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</w:t>
      </w:r>
      <w:r w:rsidR="00017F6C">
        <w:rPr>
          <w:rFonts w:ascii="Times New Roman" w:eastAsia="Calibri" w:hAnsi="Times New Roman" w:cs="Times New Roman"/>
          <w:sz w:val="24"/>
          <w:szCs w:val="24"/>
          <w:lang w:eastAsia="en-US"/>
        </w:rPr>
        <w:t>, B</w:t>
      </w:r>
      <w:r w:rsidR="00A053DF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840802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F567F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and </w:t>
      </w:r>
      <w:r w:rsidR="00017F6C">
        <w:rPr>
          <w:rFonts w:ascii="Times New Roman" w:eastAsia="Calibri" w:hAnsi="Times New Roman" w:cs="Times New Roman"/>
          <w:sz w:val="24"/>
          <w:szCs w:val="24"/>
          <w:lang w:eastAsia="en-US"/>
        </w:rPr>
        <w:t>C</w:t>
      </w:r>
      <w:r w:rsidR="00DF567F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show</w:t>
      </w:r>
      <w:r w:rsidR="00840802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current f</w:t>
      </w:r>
      <w:r w:rsidR="00DF567F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>ee rates</w:t>
      </w:r>
      <w:r w:rsidR="00840802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A053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40802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Column </w:t>
      </w:r>
      <w:r w:rsidR="00017F6C">
        <w:rPr>
          <w:rFonts w:ascii="Times New Roman" w:eastAsia="Calibri" w:hAnsi="Times New Roman" w:cs="Times New Roman"/>
          <w:sz w:val="24"/>
          <w:szCs w:val="24"/>
          <w:lang w:eastAsia="en-US"/>
        </w:rPr>
        <w:t>D</w:t>
      </w:r>
      <w:r w:rsidR="00840802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indicates fee</w:t>
      </w:r>
      <w:r w:rsidR="00BB18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B5C45">
        <w:rPr>
          <w:rFonts w:ascii="Times New Roman" w:eastAsia="Calibri" w:hAnsi="Times New Roman" w:cs="Times New Roman"/>
          <w:sz w:val="24"/>
          <w:szCs w:val="24"/>
          <w:lang w:eastAsia="en-US"/>
        </w:rPr>
        <w:t>rate</w:t>
      </w:r>
      <w:r w:rsidR="005B5C45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>s to</w:t>
      </w:r>
      <w:r w:rsidR="00963C0B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be implemented</w:t>
      </w:r>
      <w:r w:rsidR="00DF567F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on </w:t>
      </w:r>
      <w:r w:rsidR="005B5C45">
        <w:rPr>
          <w:rFonts w:ascii="Times New Roman" w:eastAsia="Calibri" w:hAnsi="Times New Roman" w:cs="Times New Roman"/>
          <w:sz w:val="24"/>
          <w:szCs w:val="24"/>
          <w:lang w:eastAsia="en-US"/>
        </w:rPr>
        <w:t>January</w:t>
      </w:r>
      <w:r w:rsidR="00BB18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637AE">
        <w:rPr>
          <w:rFonts w:ascii="Times New Roman" w:eastAsia="Calibri" w:hAnsi="Times New Roman" w:cs="Times New Roman"/>
          <w:sz w:val="24"/>
          <w:szCs w:val="24"/>
          <w:lang w:eastAsia="en-US"/>
        </w:rPr>
        <w:t>1, 20</w:t>
      </w:r>
      <w:r w:rsidR="005B5C45">
        <w:rPr>
          <w:rFonts w:ascii="Times New Roman" w:eastAsia="Calibri" w:hAnsi="Times New Roman" w:cs="Times New Roman"/>
          <w:sz w:val="24"/>
          <w:szCs w:val="24"/>
          <w:lang w:eastAsia="en-US"/>
        </w:rPr>
        <w:t>21</w:t>
      </w:r>
      <w:r w:rsidR="00CA5BE8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DF567F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T</w:t>
      </w:r>
      <w:r w:rsidR="001C3F84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>hese fees</w:t>
      </w:r>
      <w:r w:rsidR="00B46832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remain </w:t>
      </w:r>
      <w:r w:rsidR="003677E7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>the same</w:t>
      </w:r>
      <w:r w:rsidR="00B46832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46832" w:rsidRPr="00474E28">
        <w:rPr>
          <w:rFonts w:ascii="Times New Roman" w:eastAsia="Calibri" w:hAnsi="Times New Roman" w:cs="Times New Roman"/>
          <w:sz w:val="24"/>
          <w:szCs w:val="24"/>
          <w:lang w:eastAsia="en-US"/>
        </w:rPr>
        <w:t>through FY</w:t>
      </w:r>
      <w:r w:rsidR="00DF567F" w:rsidRPr="00474E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</w:t>
      </w:r>
      <w:r w:rsidR="005B5C45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CA5BE8" w:rsidRPr="00474E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F6D9B" w:rsidRPr="00474E28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="00CA5BE8" w:rsidRPr="00474E28">
        <w:rPr>
          <w:rFonts w:ascii="Times New Roman" w:eastAsia="Calibri" w:hAnsi="Times New Roman" w:cs="Times New Roman"/>
          <w:sz w:val="24"/>
          <w:szCs w:val="24"/>
          <w:lang w:eastAsia="en-US"/>
        </w:rPr>
        <w:t>c</w:t>
      </w:r>
      <w:r w:rsidR="00DF567F" w:rsidRPr="00474E28">
        <w:rPr>
          <w:rFonts w:ascii="Times New Roman" w:eastAsia="Calibri" w:hAnsi="Times New Roman" w:cs="Times New Roman"/>
          <w:sz w:val="24"/>
          <w:szCs w:val="24"/>
          <w:lang w:eastAsia="en-US"/>
        </w:rPr>
        <w:t>olumn G</w:t>
      </w:r>
      <w:r w:rsidR="006F6D9B" w:rsidRPr="00474E28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B46832" w:rsidRPr="00474E2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0B2BF38B" w14:textId="482B13AC" w:rsidR="001C3F84" w:rsidRPr="00BF1B4C" w:rsidRDefault="00DF567F" w:rsidP="005B60BE">
      <w:pPr>
        <w:spacing w:before="100" w:beforeAutospacing="1" w:after="100" w:afterAutospacing="1" w:line="48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>Columns H through N</w:t>
      </w:r>
      <w:r w:rsidR="00B46832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are</w:t>
      </w:r>
      <w:r w:rsidR="005721D7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workload</w:t>
      </w:r>
      <w:r w:rsidR="00BE04FF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projected from FY 20</w:t>
      </w:r>
      <w:r w:rsidR="005B5C45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017F6C">
        <w:rPr>
          <w:rFonts w:ascii="Times New Roman" w:eastAsia="Calibri" w:hAnsi="Times New Roman" w:cs="Times New Roman"/>
          <w:sz w:val="24"/>
          <w:szCs w:val="24"/>
          <w:lang w:eastAsia="en-US"/>
        </w:rPr>
        <w:t>0</w:t>
      </w:r>
      <w:r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to FY 202</w:t>
      </w:r>
      <w:r w:rsidR="005B5C45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B46832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 Each </w:t>
      </w:r>
      <w:r w:rsidR="005721D7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>column</w:t>
      </w:r>
      <w:r w:rsidR="00B46832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represent</w:t>
      </w:r>
      <w:r w:rsidR="005721D7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 w:rsidR="00B46832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the workload</w:t>
      </w:r>
      <w:r w:rsidR="00BE04FF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>s for each</w:t>
      </w:r>
      <w:r w:rsidR="00B46832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fiscal year</w:t>
      </w:r>
      <w:r w:rsidR="005721D7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unless it indicates a </w:t>
      </w:r>
      <w:r w:rsidR="00BE04FF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>specific</w:t>
      </w:r>
      <w:r w:rsidR="005721D7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perio</w:t>
      </w:r>
      <w:r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 on top.  For example, column </w:t>
      </w:r>
      <w:r w:rsidR="00017F6C">
        <w:rPr>
          <w:rFonts w:ascii="Times New Roman" w:eastAsia="Calibri" w:hAnsi="Times New Roman" w:cs="Times New Roman"/>
          <w:sz w:val="24"/>
          <w:szCs w:val="24"/>
          <w:lang w:eastAsia="en-US"/>
        </w:rPr>
        <w:t>I</w:t>
      </w:r>
      <w:r w:rsidR="005721D7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displays </w:t>
      </w:r>
      <w:r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>workloads from October 1, 20</w:t>
      </w:r>
      <w:r w:rsidR="005B5C45">
        <w:rPr>
          <w:rFonts w:ascii="Times New Roman" w:eastAsia="Calibri" w:hAnsi="Times New Roman" w:cs="Times New Roman"/>
          <w:sz w:val="24"/>
          <w:szCs w:val="24"/>
          <w:lang w:eastAsia="en-US"/>
        </w:rPr>
        <w:t>20</w:t>
      </w:r>
      <w:r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to </w:t>
      </w:r>
      <w:r w:rsidR="005B5C45">
        <w:rPr>
          <w:rFonts w:ascii="Times New Roman" w:eastAsia="Calibri" w:hAnsi="Times New Roman" w:cs="Times New Roman"/>
          <w:sz w:val="24"/>
          <w:szCs w:val="24"/>
          <w:lang w:eastAsia="en-US"/>
        </w:rPr>
        <w:t>December</w:t>
      </w:r>
      <w:r w:rsidR="00BB18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637AE">
        <w:rPr>
          <w:rFonts w:ascii="Times New Roman" w:eastAsia="Calibri" w:hAnsi="Times New Roman" w:cs="Times New Roman"/>
          <w:sz w:val="24"/>
          <w:szCs w:val="24"/>
          <w:lang w:eastAsia="en-US"/>
        </w:rPr>
        <w:t>31, 20</w:t>
      </w:r>
      <w:r w:rsidR="005B5C45">
        <w:rPr>
          <w:rFonts w:ascii="Times New Roman" w:eastAsia="Calibri" w:hAnsi="Times New Roman" w:cs="Times New Roman"/>
          <w:sz w:val="24"/>
          <w:szCs w:val="24"/>
          <w:lang w:eastAsia="en-US"/>
        </w:rPr>
        <w:t>20</w:t>
      </w:r>
      <w:r w:rsidR="003E1EBE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>, to show workloa</w:t>
      </w:r>
      <w:r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ds prior to the fee adjustments.  Likewise, column </w:t>
      </w:r>
      <w:r w:rsidR="00017F6C">
        <w:rPr>
          <w:rFonts w:ascii="Times New Roman" w:eastAsia="Calibri" w:hAnsi="Times New Roman" w:cs="Times New Roman"/>
          <w:sz w:val="24"/>
          <w:szCs w:val="24"/>
          <w:lang w:eastAsia="en-US"/>
        </w:rPr>
        <w:t>J</w:t>
      </w:r>
      <w:r w:rsidR="003E1EBE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exhibits the forecasted workloads after the </w:t>
      </w:r>
      <w:r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fee </w:t>
      </w:r>
      <w:r w:rsidRPr="003C67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adjustments on </w:t>
      </w:r>
      <w:r w:rsidR="005B5C45">
        <w:rPr>
          <w:rFonts w:ascii="Times New Roman" w:eastAsia="Calibri" w:hAnsi="Times New Roman" w:cs="Times New Roman"/>
          <w:sz w:val="24"/>
          <w:szCs w:val="24"/>
          <w:lang w:eastAsia="en-US"/>
        </w:rPr>
        <w:t>January</w:t>
      </w:r>
      <w:r w:rsidR="007637AE" w:rsidRPr="003C67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1, 20</w:t>
      </w:r>
      <w:r w:rsidR="005B5C45">
        <w:rPr>
          <w:rFonts w:ascii="Times New Roman" w:eastAsia="Calibri" w:hAnsi="Times New Roman" w:cs="Times New Roman"/>
          <w:sz w:val="24"/>
          <w:szCs w:val="24"/>
          <w:lang w:eastAsia="en-US"/>
        </w:rPr>
        <w:t>21</w:t>
      </w:r>
      <w:r w:rsidRPr="003C67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847347" w:rsidRPr="003C67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C67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These two columns, </w:t>
      </w:r>
      <w:r w:rsidR="00017F6C">
        <w:rPr>
          <w:rFonts w:ascii="Times New Roman" w:eastAsia="Calibri" w:hAnsi="Times New Roman" w:cs="Times New Roman"/>
          <w:sz w:val="24"/>
          <w:szCs w:val="24"/>
          <w:lang w:eastAsia="en-US"/>
        </w:rPr>
        <w:t>I</w:t>
      </w:r>
      <w:r w:rsidRPr="003C67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and </w:t>
      </w:r>
      <w:r w:rsidR="00017F6C">
        <w:rPr>
          <w:rFonts w:ascii="Times New Roman" w:eastAsia="Calibri" w:hAnsi="Times New Roman" w:cs="Times New Roman"/>
          <w:sz w:val="24"/>
          <w:szCs w:val="24"/>
          <w:lang w:eastAsia="en-US"/>
        </w:rPr>
        <w:t>J</w:t>
      </w:r>
      <w:r w:rsidR="003E1EBE" w:rsidRPr="003C67E3">
        <w:rPr>
          <w:rFonts w:ascii="Times New Roman" w:eastAsia="Calibri" w:hAnsi="Times New Roman" w:cs="Times New Roman"/>
          <w:sz w:val="24"/>
          <w:szCs w:val="24"/>
          <w:lang w:eastAsia="en-US"/>
        </w:rPr>
        <w:t>, are then added to calculate the aggregate workload</w:t>
      </w:r>
      <w:r w:rsidR="00D022EA" w:rsidRPr="003C67E3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 w:rsidRPr="003C67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for FY 20</w:t>
      </w:r>
      <w:r w:rsidR="005B5C45">
        <w:rPr>
          <w:rFonts w:ascii="Times New Roman" w:eastAsia="Calibri" w:hAnsi="Times New Roman" w:cs="Times New Roman"/>
          <w:sz w:val="24"/>
          <w:szCs w:val="24"/>
          <w:lang w:eastAsia="en-US"/>
        </w:rPr>
        <w:t>21</w:t>
      </w:r>
      <w:r w:rsidR="003E1EBE" w:rsidRPr="003C67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in column </w:t>
      </w:r>
      <w:r w:rsidR="00017F6C">
        <w:rPr>
          <w:rFonts w:ascii="Times New Roman" w:eastAsia="Calibri" w:hAnsi="Times New Roman" w:cs="Times New Roman"/>
          <w:sz w:val="24"/>
          <w:szCs w:val="24"/>
          <w:lang w:eastAsia="en-US"/>
        </w:rPr>
        <w:t>K</w:t>
      </w:r>
      <w:r w:rsidR="00F70AD4" w:rsidRPr="003C67E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E622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70AD4" w:rsidRPr="003C67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90C79" w:rsidRPr="003C67E3">
        <w:rPr>
          <w:rFonts w:ascii="Times New Roman" w:eastAsia="Calibri" w:hAnsi="Times New Roman" w:cs="Times New Roman"/>
          <w:sz w:val="24"/>
          <w:szCs w:val="24"/>
          <w:lang w:eastAsia="en-US"/>
        </w:rPr>
        <w:t>In the case of fees that have a variable fee rate</w:t>
      </w:r>
      <w:r w:rsidR="003C67E3" w:rsidRPr="003C67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053DF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="003C67E3" w:rsidRPr="003C67E3">
        <w:rPr>
          <w:rFonts w:ascii="Times New Roman" w:eastAsia="Calibri" w:hAnsi="Times New Roman" w:cs="Times New Roman"/>
          <w:sz w:val="24"/>
          <w:szCs w:val="24"/>
          <w:lang w:eastAsia="en-US"/>
        </w:rPr>
        <w:t>for example</w:t>
      </w:r>
      <w:r w:rsidR="003C67E3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3C67E3" w:rsidRPr="003C67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the fee to collect </w:t>
      </w:r>
      <w:r w:rsidR="003C67E3" w:rsidRPr="003C67E3">
        <w:rPr>
          <w:rFonts w:ascii="Times New Roman" w:hAnsi="Times New Roman" w:cs="Times New Roman"/>
          <w:sz w:val="24"/>
          <w:szCs w:val="24"/>
        </w:rPr>
        <w:t xml:space="preserve">payment for the costs of </w:t>
      </w:r>
      <w:r w:rsidR="003616BF">
        <w:rPr>
          <w:rFonts w:ascii="Times New Roman" w:hAnsi="Times New Roman" w:cs="Times New Roman"/>
          <w:sz w:val="24"/>
          <w:szCs w:val="24"/>
        </w:rPr>
        <w:t>certified copies of application files, reflected in fee code 9024</w:t>
      </w:r>
      <w:r w:rsidR="00A053DF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790C79" w:rsidRPr="003C67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values in colu</w:t>
      </w:r>
      <w:bookmarkStart w:id="0" w:name="_GoBack"/>
      <w:bookmarkEnd w:id="0"/>
      <w:r w:rsidR="00790C79" w:rsidRPr="003C67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mns H through N reflect the </w:t>
      </w:r>
      <w:r w:rsidR="00790C79" w:rsidRPr="003C67E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anticipated revenue associated with that service in aggregate dollars rather </w:t>
      </w:r>
      <w:r w:rsidR="00E622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than </w:t>
      </w:r>
      <w:r w:rsidR="00790C79" w:rsidRPr="003C67E3">
        <w:rPr>
          <w:rFonts w:ascii="Times New Roman" w:eastAsia="Calibri" w:hAnsi="Times New Roman" w:cs="Times New Roman"/>
          <w:sz w:val="24"/>
          <w:szCs w:val="24"/>
          <w:lang w:eastAsia="en-US"/>
        </w:rPr>
        <w:t>the number of individual</w:t>
      </w:r>
      <w:r w:rsidR="00790C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requests for service</w:t>
      </w:r>
      <w:r w:rsidR="00847347">
        <w:rPr>
          <w:rFonts w:ascii="Times New Roman" w:eastAsia="Calibri" w:hAnsi="Times New Roman" w:cs="Times New Roman"/>
          <w:sz w:val="24"/>
          <w:szCs w:val="24"/>
          <w:lang w:eastAsia="en-US"/>
        </w:rPr>
        <w:t>, as these columns are used for fees with fixed fee rates</w:t>
      </w:r>
      <w:r w:rsidR="00790C7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0B2BF38D" w14:textId="452561EE" w:rsidR="003677E7" w:rsidRDefault="00DF567F" w:rsidP="005B60BE">
      <w:pPr>
        <w:spacing w:before="100" w:beforeAutospacing="1" w:after="100" w:afterAutospacing="1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>Columns O through U</w:t>
      </w:r>
      <w:r w:rsidR="00BA34D8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are</w:t>
      </w:r>
      <w:r w:rsidR="006F6D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F6D9B" w:rsidRPr="00474E28">
        <w:rPr>
          <w:rFonts w:ascii="Times New Roman" w:eastAsia="Calibri" w:hAnsi="Times New Roman" w:cs="Times New Roman"/>
          <w:sz w:val="24"/>
          <w:szCs w:val="24"/>
          <w:lang w:eastAsia="en-US"/>
        </w:rPr>
        <w:t>projected</w:t>
      </w:r>
      <w:r w:rsidR="00BA34D8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A0CC3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revenues </w:t>
      </w:r>
      <w:r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>from FY 20</w:t>
      </w:r>
      <w:r w:rsidR="005B5C45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017F6C">
        <w:rPr>
          <w:rFonts w:ascii="Times New Roman" w:eastAsia="Calibri" w:hAnsi="Times New Roman" w:cs="Times New Roman"/>
          <w:sz w:val="24"/>
          <w:szCs w:val="24"/>
          <w:lang w:eastAsia="en-US"/>
        </w:rPr>
        <w:t>0</w:t>
      </w:r>
      <w:r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to FY 202</w:t>
      </w:r>
      <w:r w:rsidR="005B5C45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BE04FF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 </w:t>
      </w:r>
      <w:r w:rsidR="00627506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Each column </w:t>
      </w:r>
      <w:r w:rsidR="00BA34D8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>denotes</w:t>
      </w:r>
      <w:r w:rsidR="00627506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the aggregate </w:t>
      </w:r>
      <w:r w:rsidR="00BA34D8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>fee collections</w:t>
      </w:r>
      <w:r w:rsidR="00627506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for each fiscal y</w:t>
      </w:r>
      <w:r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ear, except for columns </w:t>
      </w:r>
      <w:r w:rsidR="00017F6C">
        <w:rPr>
          <w:rFonts w:ascii="Times New Roman" w:eastAsia="Calibri" w:hAnsi="Times New Roman" w:cs="Times New Roman"/>
          <w:sz w:val="24"/>
          <w:szCs w:val="24"/>
          <w:lang w:eastAsia="en-US"/>
        </w:rPr>
        <w:t>P</w:t>
      </w:r>
      <w:r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and </w:t>
      </w:r>
      <w:r w:rsidR="00017F6C">
        <w:rPr>
          <w:rFonts w:ascii="Times New Roman" w:eastAsia="Calibri" w:hAnsi="Times New Roman" w:cs="Times New Roman"/>
          <w:sz w:val="24"/>
          <w:szCs w:val="24"/>
          <w:lang w:eastAsia="en-US"/>
        </w:rPr>
        <w:t>Q</w:t>
      </w:r>
      <w:r w:rsidR="00847347">
        <w:rPr>
          <w:rFonts w:ascii="Times New Roman" w:eastAsia="Calibri" w:hAnsi="Times New Roman" w:cs="Times New Roman"/>
          <w:sz w:val="24"/>
          <w:szCs w:val="24"/>
          <w:lang w:eastAsia="en-US"/>
        </w:rPr>
        <w:t>, which present partial year collection estimates</w:t>
      </w:r>
      <w:r w:rsidR="00A053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for FY 2021</w:t>
      </w:r>
      <w:r w:rsidR="00627506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 </w:t>
      </w:r>
      <w:r w:rsidR="00BA34D8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>Fee collections</w:t>
      </w:r>
      <w:r w:rsidR="00790C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are calculated by multiplying the</w:t>
      </w:r>
      <w:r w:rsidR="00BA34D8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fee rate column and workload column for each period </w:t>
      </w:r>
      <w:r w:rsidR="00790C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noted. </w:t>
      </w:r>
      <w:r w:rsidR="0084734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90C79">
        <w:rPr>
          <w:rFonts w:ascii="Times New Roman" w:eastAsia="Calibri" w:hAnsi="Times New Roman" w:cs="Times New Roman"/>
          <w:sz w:val="24"/>
          <w:szCs w:val="24"/>
          <w:lang w:eastAsia="en-US"/>
        </w:rPr>
        <w:t>For instance, column </w:t>
      </w:r>
      <w:r w:rsidR="00017F6C">
        <w:rPr>
          <w:rFonts w:ascii="Times New Roman" w:eastAsia="Calibri" w:hAnsi="Times New Roman" w:cs="Times New Roman"/>
          <w:sz w:val="24"/>
          <w:szCs w:val="24"/>
          <w:lang w:eastAsia="en-US"/>
        </w:rPr>
        <w:t>P</w:t>
      </w:r>
      <w:r w:rsidR="00BA34D8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>, which indicates fee</w:t>
      </w:r>
      <w:r w:rsidR="00E473B4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 w:rsidR="00BA34D8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col</w:t>
      </w:r>
      <w:r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lected between October </w:t>
      </w:r>
      <w:r w:rsidR="00471F92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>, 20</w:t>
      </w:r>
      <w:r w:rsidR="005B5C45">
        <w:rPr>
          <w:rFonts w:ascii="Times New Roman" w:eastAsia="Calibri" w:hAnsi="Times New Roman" w:cs="Times New Roman"/>
          <w:sz w:val="24"/>
          <w:szCs w:val="24"/>
          <w:lang w:eastAsia="en-US"/>
        </w:rPr>
        <w:t>20</w:t>
      </w:r>
      <w:r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and </w:t>
      </w:r>
      <w:r w:rsidR="005B5C45">
        <w:rPr>
          <w:rFonts w:ascii="Times New Roman" w:eastAsia="Calibri" w:hAnsi="Times New Roman" w:cs="Times New Roman"/>
          <w:sz w:val="24"/>
          <w:szCs w:val="24"/>
          <w:lang w:eastAsia="en-US"/>
        </w:rPr>
        <w:t>December</w:t>
      </w:r>
      <w:r w:rsidR="00BB18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31</w:t>
      </w:r>
      <w:r w:rsidR="007637AE">
        <w:rPr>
          <w:rFonts w:ascii="Times New Roman" w:eastAsia="Calibri" w:hAnsi="Times New Roman" w:cs="Times New Roman"/>
          <w:sz w:val="24"/>
          <w:szCs w:val="24"/>
          <w:lang w:eastAsia="en-US"/>
        </w:rPr>
        <w:t>, 20</w:t>
      </w:r>
      <w:r w:rsidR="005B5C45">
        <w:rPr>
          <w:rFonts w:ascii="Times New Roman" w:eastAsia="Calibri" w:hAnsi="Times New Roman" w:cs="Times New Roman"/>
          <w:sz w:val="24"/>
          <w:szCs w:val="24"/>
          <w:lang w:eastAsia="en-US"/>
        </w:rPr>
        <w:t>20</w:t>
      </w:r>
      <w:r w:rsidR="00BA34D8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>, is calculate</w:t>
      </w:r>
      <w:r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 by multiplying columns </w:t>
      </w:r>
      <w:r w:rsidR="00017F6C">
        <w:rPr>
          <w:rFonts w:ascii="Times New Roman" w:eastAsia="Calibri" w:hAnsi="Times New Roman" w:cs="Times New Roman"/>
          <w:sz w:val="24"/>
          <w:szCs w:val="24"/>
          <w:lang w:eastAsia="en-US"/>
        </w:rPr>
        <w:t>C</w:t>
      </w:r>
      <w:r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and </w:t>
      </w:r>
      <w:r w:rsidR="00017F6C">
        <w:rPr>
          <w:rFonts w:ascii="Times New Roman" w:eastAsia="Calibri" w:hAnsi="Times New Roman" w:cs="Times New Roman"/>
          <w:sz w:val="24"/>
          <w:szCs w:val="24"/>
          <w:lang w:eastAsia="en-US"/>
        </w:rPr>
        <w:t>I</w:t>
      </w:r>
      <w:r w:rsidR="00BA34D8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 </w:t>
      </w:r>
      <w:r w:rsidR="00E473B4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>Similarly,</w:t>
      </w:r>
      <w:r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column </w:t>
      </w:r>
      <w:r w:rsidR="00017F6C">
        <w:rPr>
          <w:rFonts w:ascii="Times New Roman" w:eastAsia="Calibri" w:hAnsi="Times New Roman" w:cs="Times New Roman"/>
          <w:sz w:val="24"/>
          <w:szCs w:val="24"/>
          <w:lang w:eastAsia="en-US"/>
        </w:rPr>
        <w:t>Q</w:t>
      </w:r>
      <w:r w:rsidR="00ED7F76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>, which shows</w:t>
      </w:r>
      <w:r w:rsidR="00E473B4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f</w:t>
      </w:r>
      <w:r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>ees collected after the</w:t>
      </w:r>
      <w:r w:rsidR="00C165E0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fee adjustments on </w:t>
      </w:r>
      <w:r w:rsidR="005B5C45">
        <w:rPr>
          <w:rFonts w:ascii="Times New Roman" w:eastAsia="Calibri" w:hAnsi="Times New Roman" w:cs="Times New Roman"/>
          <w:sz w:val="24"/>
          <w:szCs w:val="24"/>
          <w:lang w:eastAsia="en-US"/>
        </w:rPr>
        <w:t>January</w:t>
      </w:r>
      <w:r w:rsidR="00BB18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</w:t>
      </w:r>
      <w:r w:rsidR="007637AE">
        <w:rPr>
          <w:rFonts w:ascii="Times New Roman" w:eastAsia="Calibri" w:hAnsi="Times New Roman" w:cs="Times New Roman"/>
          <w:sz w:val="24"/>
          <w:szCs w:val="24"/>
          <w:lang w:eastAsia="en-US"/>
        </w:rPr>
        <w:t>, 20</w:t>
      </w:r>
      <w:r w:rsidR="005B5C45">
        <w:rPr>
          <w:rFonts w:ascii="Times New Roman" w:eastAsia="Calibri" w:hAnsi="Times New Roman" w:cs="Times New Roman"/>
          <w:sz w:val="24"/>
          <w:szCs w:val="24"/>
          <w:lang w:eastAsia="en-US"/>
        </w:rPr>
        <w:t>21</w:t>
      </w:r>
      <w:r w:rsidR="00E473B4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>, is calculated by multipl</w:t>
      </w:r>
      <w:r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ying columns </w:t>
      </w:r>
      <w:r w:rsidR="00017F6C">
        <w:rPr>
          <w:rFonts w:ascii="Times New Roman" w:eastAsia="Calibri" w:hAnsi="Times New Roman" w:cs="Times New Roman"/>
          <w:sz w:val="24"/>
          <w:szCs w:val="24"/>
          <w:lang w:eastAsia="en-US"/>
        </w:rPr>
        <w:t>D</w:t>
      </w:r>
      <w:r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and </w:t>
      </w:r>
      <w:r w:rsidR="00017F6C">
        <w:rPr>
          <w:rFonts w:ascii="Times New Roman" w:eastAsia="Calibri" w:hAnsi="Times New Roman" w:cs="Times New Roman"/>
          <w:sz w:val="24"/>
          <w:szCs w:val="24"/>
          <w:lang w:eastAsia="en-US"/>
        </w:rPr>
        <w:t>J</w:t>
      </w:r>
      <w:r w:rsidR="00E473B4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ED7F76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Columns </w:t>
      </w:r>
      <w:r w:rsidR="00017F6C">
        <w:rPr>
          <w:rFonts w:ascii="Times New Roman" w:eastAsia="Calibri" w:hAnsi="Times New Roman" w:cs="Times New Roman"/>
          <w:sz w:val="24"/>
          <w:szCs w:val="24"/>
          <w:lang w:eastAsia="en-US"/>
        </w:rPr>
        <w:t>P</w:t>
      </w:r>
      <w:r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and </w:t>
      </w:r>
      <w:r w:rsidR="00017F6C">
        <w:rPr>
          <w:rFonts w:ascii="Times New Roman" w:eastAsia="Calibri" w:hAnsi="Times New Roman" w:cs="Times New Roman"/>
          <w:sz w:val="24"/>
          <w:szCs w:val="24"/>
          <w:lang w:eastAsia="en-US"/>
        </w:rPr>
        <w:t>Q</w:t>
      </w:r>
      <w:r w:rsidR="00E473B4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are then added to get the aggre</w:t>
      </w:r>
      <w:r w:rsidR="005B5C45">
        <w:rPr>
          <w:rFonts w:ascii="Times New Roman" w:eastAsia="Calibri" w:hAnsi="Times New Roman" w:cs="Times New Roman"/>
          <w:sz w:val="24"/>
          <w:szCs w:val="24"/>
          <w:lang w:eastAsia="en-US"/>
        </w:rPr>
        <w:t>gate fee collections for FY 2021</w:t>
      </w:r>
      <w:r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in column </w:t>
      </w:r>
      <w:r w:rsidR="00017F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R.  Columns </w:t>
      </w:r>
      <w:r w:rsidR="00611DDA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>S, T</w:t>
      </w:r>
      <w:r w:rsidR="00A053DF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611DDA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and U</w:t>
      </w:r>
      <w:r w:rsidR="00927E64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are cal</w:t>
      </w:r>
      <w:r w:rsidR="00611DDA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culated by multiplying columns </w:t>
      </w:r>
      <w:r w:rsidR="00017F6C">
        <w:rPr>
          <w:rFonts w:ascii="Times New Roman" w:eastAsia="Calibri" w:hAnsi="Times New Roman" w:cs="Times New Roman"/>
          <w:sz w:val="24"/>
          <w:szCs w:val="24"/>
          <w:lang w:eastAsia="en-US"/>
        </w:rPr>
        <w:t>E</w:t>
      </w:r>
      <w:r w:rsidR="00611DDA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and </w:t>
      </w:r>
      <w:r w:rsidR="00017F6C">
        <w:rPr>
          <w:rFonts w:ascii="Times New Roman" w:eastAsia="Calibri" w:hAnsi="Times New Roman" w:cs="Times New Roman"/>
          <w:sz w:val="24"/>
          <w:szCs w:val="24"/>
          <w:lang w:eastAsia="en-US"/>
        </w:rPr>
        <w:t>L</w:t>
      </w:r>
      <w:r w:rsidR="00611DDA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>, F and M, and G and N</w:t>
      </w:r>
      <w:r w:rsidR="00927E64" w:rsidRPr="00BF1B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correspondingly.  </w:t>
      </w:r>
    </w:p>
    <w:p w14:paraId="552F60B0" w14:textId="312AE7DB" w:rsidR="00C26C10" w:rsidRPr="00BF1B4C" w:rsidRDefault="00C26C10" w:rsidP="005B60BE">
      <w:pPr>
        <w:spacing w:before="100" w:beforeAutospacing="1" w:after="100" w:afterAutospacing="1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B2BF38E" w14:textId="5C6B61FB" w:rsidR="003677E7" w:rsidRPr="00BF1B4C" w:rsidRDefault="00F15C5B" w:rsidP="00246EC1">
      <w:pPr>
        <w:rPr>
          <w:rFonts w:ascii="Times New Roman" w:hAnsi="Times New Roman" w:cs="Times New Roman"/>
          <w:b/>
          <w:sz w:val="24"/>
          <w:szCs w:val="24"/>
        </w:rPr>
      </w:pPr>
      <w:r w:rsidRPr="00BF1B4C">
        <w:rPr>
          <w:rFonts w:ascii="Times New Roman" w:hAnsi="Times New Roman" w:cs="Times New Roman"/>
          <w:b/>
          <w:sz w:val="24"/>
          <w:szCs w:val="24"/>
        </w:rPr>
        <w:t>SECTION III</w:t>
      </w:r>
      <w:r w:rsidR="003677E7" w:rsidRPr="00BF1B4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3574E" w:rsidRPr="00BF1B4C">
        <w:rPr>
          <w:rFonts w:ascii="Times New Roman" w:hAnsi="Times New Roman" w:cs="Times New Roman"/>
          <w:b/>
          <w:sz w:val="24"/>
          <w:szCs w:val="24"/>
        </w:rPr>
        <w:t>UNIT</w:t>
      </w:r>
      <w:r w:rsidR="003677E7" w:rsidRPr="00BF1B4C">
        <w:rPr>
          <w:rFonts w:ascii="Times New Roman" w:hAnsi="Times New Roman" w:cs="Times New Roman"/>
          <w:b/>
          <w:sz w:val="24"/>
          <w:szCs w:val="24"/>
        </w:rPr>
        <w:t xml:space="preserve"> COST RECOVERY</w:t>
      </w:r>
      <w:r w:rsidR="0053574E" w:rsidRPr="00BF1B4C">
        <w:rPr>
          <w:rFonts w:ascii="Times New Roman" w:hAnsi="Times New Roman" w:cs="Times New Roman"/>
          <w:b/>
          <w:sz w:val="24"/>
          <w:szCs w:val="24"/>
        </w:rPr>
        <w:t xml:space="preserve"> ALTERNATIVE</w:t>
      </w:r>
    </w:p>
    <w:p w14:paraId="564B8241" w14:textId="2684FDA8" w:rsidR="007304A8" w:rsidRPr="007304A8" w:rsidRDefault="007304A8" w:rsidP="005B60BE">
      <w:pPr>
        <w:spacing w:before="100" w:beforeAutospacing="1" w:after="100" w:afterAutospacing="1" w:line="48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Th</w:t>
      </w:r>
      <w:r w:rsidR="00CC20B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is alternative sets </w:t>
      </w:r>
      <w:r w:rsidRPr="007304A8">
        <w:rPr>
          <w:rFonts w:ascii="Times New Roman" w:hAnsi="Times New Roman" w:cs="Times New Roman"/>
          <w:sz w:val="24"/>
          <w:szCs w:val="24"/>
        </w:rPr>
        <w:t>most individual large entity fees at the historical cost of performing the activities related to the particular service in FY 201</w:t>
      </w:r>
      <w:r w:rsidR="005B5C45">
        <w:rPr>
          <w:rFonts w:ascii="Times New Roman" w:hAnsi="Times New Roman" w:cs="Times New Roman"/>
          <w:sz w:val="24"/>
          <w:szCs w:val="24"/>
        </w:rPr>
        <w:t>8</w:t>
      </w:r>
      <w:r w:rsidRPr="007304A8">
        <w:rPr>
          <w:rFonts w:ascii="Times New Roman" w:hAnsi="Times New Roman" w:cs="Times New Roman"/>
          <w:sz w:val="24"/>
          <w:szCs w:val="24"/>
        </w:rPr>
        <w:t xml:space="preserve">.  </w:t>
      </w:r>
      <w:r w:rsidR="00CC20B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This </w:t>
      </w:r>
      <w:r w:rsidR="00C440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alternative </w:t>
      </w:r>
      <w:r w:rsidR="00CC20B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is fully described in the </w:t>
      </w:r>
      <w:r w:rsidR="00E83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Initial </w:t>
      </w:r>
      <w:r w:rsidR="006C6275" w:rsidRPr="00474E28">
        <w:rPr>
          <w:rFonts w:ascii="Times New Roman" w:eastAsia="Calibri" w:hAnsi="Times New Roman" w:cs="Times New Roman"/>
          <w:sz w:val="24"/>
          <w:szCs w:val="24"/>
          <w:lang w:eastAsia="en-US"/>
        </w:rPr>
        <w:t>Regulatory Flexibility Analysis (</w:t>
      </w:r>
      <w:r w:rsidR="00E83BA9">
        <w:rPr>
          <w:rFonts w:ascii="Times New Roman" w:eastAsia="Calibri" w:hAnsi="Times New Roman" w:cs="Times New Roman"/>
          <w:sz w:val="24"/>
          <w:szCs w:val="24"/>
          <w:lang w:eastAsia="en-US"/>
        </w:rPr>
        <w:t>I</w:t>
      </w:r>
      <w:r w:rsidR="006C6275" w:rsidRPr="00474E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RFA), which is available in the </w:t>
      </w:r>
      <w:r w:rsidR="005B5C45">
        <w:rPr>
          <w:rFonts w:ascii="Times New Roman" w:eastAsia="Calibri" w:hAnsi="Times New Roman" w:cs="Times New Roman"/>
          <w:sz w:val="24"/>
          <w:szCs w:val="24"/>
          <w:lang w:eastAsia="en-US"/>
        </w:rPr>
        <w:t>NPRM</w:t>
      </w:r>
      <w:r w:rsidR="00776534" w:rsidRPr="00474E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C6275" w:rsidRPr="00474E28">
        <w:rPr>
          <w:rFonts w:ascii="Times New Roman" w:eastAsia="Calibri" w:hAnsi="Times New Roman" w:cs="Times New Roman"/>
          <w:sz w:val="24"/>
          <w:szCs w:val="24"/>
          <w:lang w:eastAsia="en-US"/>
        </w:rPr>
        <w:t>(see Part VII</w:t>
      </w:r>
      <w:r w:rsidR="00A053D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6C6275" w:rsidRPr="00474E28">
        <w:rPr>
          <w:rFonts w:ascii="Times New Roman" w:eastAsia="Calibri" w:hAnsi="Times New Roman" w:cs="Times New Roman"/>
          <w:sz w:val="24"/>
          <w:szCs w:val="24"/>
          <w:lang w:eastAsia="en-US"/>
        </w:rPr>
        <w:t>B</w:t>
      </w:r>
      <w:r w:rsidR="00474E28" w:rsidRPr="00474E28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6C6275" w:rsidRPr="00474E2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6C62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50BC0" w:rsidRPr="00A50B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74E28">
        <w:rPr>
          <w:rFonts w:ascii="Times New Roman" w:eastAsia="Calibri" w:hAnsi="Times New Roman" w:cs="Times New Roman"/>
          <w:sz w:val="24"/>
          <w:szCs w:val="24"/>
          <w:lang w:eastAsia="en-US"/>
        </w:rPr>
        <w:t>The t</w:t>
      </w:r>
      <w:r w:rsidR="00A50BC0">
        <w:rPr>
          <w:rFonts w:ascii="Times New Roman" w:eastAsia="Calibri" w:hAnsi="Times New Roman" w:cs="Times New Roman"/>
          <w:sz w:val="24"/>
          <w:szCs w:val="24"/>
          <w:lang w:eastAsia="en-US"/>
        </w:rPr>
        <w:t>able calculation</w:t>
      </w:r>
      <w:r w:rsidR="00474E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methodology </w:t>
      </w:r>
      <w:r w:rsidR="00A50B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for the Unit Cost Recovery table </w:t>
      </w:r>
      <w:r w:rsidR="00474E28">
        <w:rPr>
          <w:rFonts w:ascii="Times New Roman" w:eastAsia="Calibri" w:hAnsi="Times New Roman" w:cs="Times New Roman"/>
          <w:sz w:val="24"/>
          <w:szCs w:val="24"/>
          <w:lang w:eastAsia="en-US"/>
        </w:rPr>
        <w:t>is</w:t>
      </w:r>
      <w:r w:rsidR="00A50B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identical to </w:t>
      </w:r>
      <w:r w:rsidR="002F7E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that </w:t>
      </w:r>
      <w:r w:rsidR="00A50B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described in Section II for the </w:t>
      </w:r>
      <w:r w:rsidR="005B5C45">
        <w:rPr>
          <w:rFonts w:ascii="Times New Roman" w:eastAsia="Calibri" w:hAnsi="Times New Roman" w:cs="Times New Roman"/>
          <w:sz w:val="24"/>
          <w:szCs w:val="24"/>
          <w:lang w:eastAsia="en-US"/>
        </w:rPr>
        <w:t>Proposed</w:t>
      </w:r>
      <w:r w:rsidR="007765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50BC0">
        <w:rPr>
          <w:rFonts w:ascii="Times New Roman" w:eastAsia="Calibri" w:hAnsi="Times New Roman" w:cs="Times New Roman"/>
          <w:sz w:val="24"/>
          <w:szCs w:val="24"/>
          <w:lang w:eastAsia="en-US"/>
        </w:rPr>
        <w:t>Alternative.</w:t>
      </w:r>
    </w:p>
    <w:p w14:paraId="7AED95C3" w14:textId="77777777" w:rsidR="00C26C10" w:rsidRDefault="00C26C10" w:rsidP="00246EC1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B9CBFB4" w14:textId="77777777" w:rsidR="007811B0" w:rsidRDefault="007811B0" w:rsidP="005B60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B2BF393" w14:textId="39F9B4E0" w:rsidR="00F83268" w:rsidRPr="00BF1B4C" w:rsidRDefault="00F83268" w:rsidP="005B60BE">
      <w:pPr>
        <w:rPr>
          <w:rFonts w:ascii="Times New Roman" w:hAnsi="Times New Roman" w:cs="Times New Roman"/>
          <w:b/>
          <w:sz w:val="24"/>
          <w:szCs w:val="24"/>
        </w:rPr>
      </w:pPr>
      <w:r w:rsidRPr="00BF1B4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</w:t>
      </w:r>
      <w:r w:rsidR="00F15C5B" w:rsidRPr="00BF1B4C">
        <w:rPr>
          <w:rFonts w:ascii="Times New Roman" w:hAnsi="Times New Roman" w:cs="Times New Roman"/>
          <w:b/>
          <w:sz w:val="24"/>
          <w:szCs w:val="24"/>
        </w:rPr>
        <w:t>I</w:t>
      </w:r>
      <w:r w:rsidR="0053574E" w:rsidRPr="00BF1B4C">
        <w:rPr>
          <w:rFonts w:ascii="Times New Roman" w:hAnsi="Times New Roman" w:cs="Times New Roman"/>
          <w:b/>
          <w:sz w:val="24"/>
          <w:szCs w:val="24"/>
        </w:rPr>
        <w:t>V</w:t>
      </w:r>
      <w:r w:rsidRPr="00BF1B4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10601">
        <w:rPr>
          <w:rFonts w:ascii="Times New Roman" w:hAnsi="Times New Roman" w:cs="Times New Roman"/>
          <w:b/>
          <w:sz w:val="24"/>
          <w:szCs w:val="24"/>
        </w:rPr>
        <w:t>ACROSS THE BOARD ADJUSTMENT</w:t>
      </w:r>
      <w:r w:rsidR="0053574E" w:rsidRPr="00BF1B4C">
        <w:rPr>
          <w:rFonts w:ascii="Times New Roman" w:hAnsi="Times New Roman" w:cs="Times New Roman"/>
          <w:b/>
          <w:sz w:val="24"/>
          <w:szCs w:val="24"/>
        </w:rPr>
        <w:t xml:space="preserve"> ALTERNATIVE</w:t>
      </w:r>
    </w:p>
    <w:p w14:paraId="1AD2A879" w14:textId="348192B3" w:rsidR="00E245F4" w:rsidRPr="007304A8" w:rsidRDefault="00E245F4" w:rsidP="005B60BE">
      <w:pPr>
        <w:spacing w:before="100" w:beforeAutospacing="1" w:after="100" w:afterAutospacing="1" w:line="48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This alternative uses the </w:t>
      </w:r>
      <w:r w:rsidRPr="00E245F4">
        <w:rPr>
          <w:rFonts w:ascii="Times New Roman" w:eastAsia="Calibri" w:hAnsi="Times New Roman" w:cs="Times New Roman"/>
          <w:sz w:val="24"/>
          <w:szCs w:val="24"/>
          <w:lang w:eastAsia="en-US"/>
        </w:rPr>
        <w:t>Office’s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AIA</w:t>
      </w:r>
      <w:r w:rsidRPr="00E245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section 10 fee setting authority to apply an inflationary adjustment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of </w:t>
      </w:r>
      <w:r w:rsidR="00E83BA9">
        <w:rPr>
          <w:rFonts w:ascii="Times New Roman" w:eastAsia="Calibri" w:hAnsi="Times New Roman" w:cs="Times New Roman"/>
          <w:sz w:val="24"/>
          <w:szCs w:val="24"/>
          <w:lang w:eastAsia="en-US"/>
        </w:rPr>
        <w:t>10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percent to the Baseline.  </w:t>
      </w:r>
      <w:r w:rsidR="006C62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This alternative is fully described in the </w:t>
      </w:r>
      <w:r w:rsidR="00E83BA9">
        <w:rPr>
          <w:rFonts w:ascii="Times New Roman" w:eastAsia="Calibri" w:hAnsi="Times New Roman" w:cs="Times New Roman"/>
          <w:sz w:val="24"/>
          <w:szCs w:val="24"/>
          <w:lang w:eastAsia="en-US"/>
        </w:rPr>
        <w:t>I</w:t>
      </w:r>
      <w:r w:rsidR="006C62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RFA, which is available in the </w:t>
      </w:r>
      <w:r w:rsidR="00E83BA9">
        <w:rPr>
          <w:rFonts w:ascii="Times New Roman" w:eastAsia="Calibri" w:hAnsi="Times New Roman" w:cs="Times New Roman"/>
          <w:sz w:val="24"/>
          <w:szCs w:val="24"/>
          <w:lang w:eastAsia="en-US"/>
        </w:rPr>
        <w:t>NPRM</w:t>
      </w:r>
      <w:r w:rsidR="007765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C6275" w:rsidRPr="00474E28">
        <w:rPr>
          <w:rFonts w:ascii="Times New Roman" w:eastAsia="Calibri" w:hAnsi="Times New Roman" w:cs="Times New Roman"/>
          <w:sz w:val="24"/>
          <w:szCs w:val="24"/>
          <w:lang w:eastAsia="en-US"/>
        </w:rPr>
        <w:t>(see Part VII</w:t>
      </w:r>
      <w:r w:rsidR="00A053D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6C6275" w:rsidRPr="00474E28">
        <w:rPr>
          <w:rFonts w:ascii="Times New Roman" w:eastAsia="Calibri" w:hAnsi="Times New Roman" w:cs="Times New Roman"/>
          <w:sz w:val="24"/>
          <w:szCs w:val="24"/>
          <w:lang w:eastAsia="en-US"/>
        </w:rPr>
        <w:t>B)</w:t>
      </w:r>
      <w:r w:rsidR="00E42380" w:rsidRPr="00474E2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E423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The</w:t>
      </w:r>
      <w:r w:rsidR="00474E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table calculation methodology </w:t>
      </w:r>
      <w:r w:rsidR="00C440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for the Across the Board Adjustment table </w:t>
      </w:r>
      <w:r w:rsidR="00474E28">
        <w:rPr>
          <w:rFonts w:ascii="Times New Roman" w:eastAsia="Calibri" w:hAnsi="Times New Roman" w:cs="Times New Roman"/>
          <w:sz w:val="24"/>
          <w:szCs w:val="24"/>
          <w:lang w:eastAsia="en-US"/>
        </w:rPr>
        <w:t>is</w:t>
      </w:r>
      <w:r w:rsidR="00C440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identical to </w:t>
      </w:r>
      <w:r w:rsidR="002F7E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that </w:t>
      </w:r>
      <w:r w:rsidR="00C440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described in Section II for </w:t>
      </w:r>
      <w:r w:rsidR="00E83BA9">
        <w:rPr>
          <w:rFonts w:ascii="Times New Roman" w:eastAsia="Calibri" w:hAnsi="Times New Roman" w:cs="Times New Roman"/>
          <w:sz w:val="24"/>
          <w:szCs w:val="24"/>
          <w:lang w:eastAsia="en-US"/>
        </w:rPr>
        <w:t>Proposed</w:t>
      </w:r>
      <w:r w:rsidR="007765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7EC9">
        <w:rPr>
          <w:rFonts w:ascii="Times New Roman" w:eastAsia="Calibri" w:hAnsi="Times New Roman" w:cs="Times New Roman"/>
          <w:sz w:val="24"/>
          <w:szCs w:val="24"/>
          <w:lang w:eastAsia="en-US"/>
        </w:rPr>
        <w:t>Alternative.</w:t>
      </w:r>
    </w:p>
    <w:p w14:paraId="31DA52E2" w14:textId="08C09B0E" w:rsidR="000E0EC3" w:rsidRPr="00BF1B4C" w:rsidRDefault="000E0EC3" w:rsidP="005B60BE">
      <w:pPr>
        <w:spacing w:before="100" w:beforeAutospacing="1" w:after="100" w:afterAutospacing="1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B2BF39D" w14:textId="78167F01" w:rsidR="005A0CC3" w:rsidRPr="00BF1B4C" w:rsidRDefault="005A0CC3" w:rsidP="00246EC1">
      <w:pPr>
        <w:rPr>
          <w:rFonts w:ascii="Times New Roman" w:hAnsi="Times New Roman" w:cs="Times New Roman"/>
          <w:b/>
          <w:sz w:val="24"/>
          <w:szCs w:val="24"/>
        </w:rPr>
      </w:pPr>
      <w:r w:rsidRPr="00BF1B4C">
        <w:rPr>
          <w:rFonts w:ascii="Times New Roman" w:hAnsi="Times New Roman" w:cs="Times New Roman"/>
          <w:b/>
          <w:sz w:val="24"/>
          <w:szCs w:val="24"/>
        </w:rPr>
        <w:t xml:space="preserve">SECTION V: </w:t>
      </w:r>
      <w:r w:rsidR="00C26C10" w:rsidRPr="00C26C10">
        <w:rPr>
          <w:rFonts w:ascii="Times New Roman" w:hAnsi="Times New Roman" w:cs="Times New Roman"/>
          <w:b/>
          <w:sz w:val="24"/>
          <w:szCs w:val="24"/>
        </w:rPr>
        <w:t>BASELINE (CURRENT FEE SCHEDULE)</w:t>
      </w:r>
    </w:p>
    <w:p w14:paraId="1FB19F14" w14:textId="513396F0" w:rsidR="000E0EC3" w:rsidRPr="00BF1B4C" w:rsidRDefault="00771381" w:rsidP="005B60BE">
      <w:pPr>
        <w:spacing w:before="100" w:beforeAutospacing="1" w:after="100" w:afterAutospacing="1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This alternative uses </w:t>
      </w:r>
      <w:r w:rsidR="00C440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fee </w:t>
      </w:r>
      <w:r w:rsidR="004342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rates in </w:t>
      </w:r>
      <w:r w:rsidR="00434224" w:rsidRPr="00434224">
        <w:rPr>
          <w:rFonts w:ascii="Times New Roman" w:eastAsia="Calibri" w:hAnsi="Times New Roman" w:cs="Times New Roman"/>
          <w:sz w:val="24"/>
          <w:szCs w:val="24"/>
          <w:lang w:eastAsia="en-US"/>
        </w:rPr>
        <w:t>the current patent fee schedule that became</w:t>
      </w:r>
      <w:r w:rsidR="003D02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effective on </w:t>
      </w:r>
      <w:r w:rsidR="00E83BA9" w:rsidRPr="00E83BA9">
        <w:rPr>
          <w:rFonts w:ascii="Times New Roman" w:eastAsia="Calibri" w:hAnsi="Times New Roman" w:cs="Times New Roman"/>
          <w:sz w:val="24"/>
          <w:szCs w:val="24"/>
          <w:lang w:eastAsia="en-US"/>
        </w:rPr>
        <w:t>January 16, 2018 (Last Revised on January 1, 2019)</w:t>
      </w:r>
      <w:r w:rsidR="00434224" w:rsidRPr="004342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 </w:t>
      </w:r>
      <w:r w:rsidR="006C62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The Baseline is fully described in the </w:t>
      </w:r>
      <w:r w:rsidR="00E83BA9">
        <w:rPr>
          <w:rFonts w:ascii="Times New Roman" w:eastAsia="Calibri" w:hAnsi="Times New Roman" w:cs="Times New Roman"/>
          <w:sz w:val="24"/>
          <w:szCs w:val="24"/>
          <w:lang w:eastAsia="en-US"/>
        </w:rPr>
        <w:t>I</w:t>
      </w:r>
      <w:r w:rsidR="006C62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RFA, which is available in the </w:t>
      </w:r>
      <w:r w:rsidR="00E83BA9">
        <w:rPr>
          <w:rFonts w:ascii="Times New Roman" w:eastAsia="Calibri" w:hAnsi="Times New Roman" w:cs="Times New Roman"/>
          <w:sz w:val="24"/>
          <w:szCs w:val="24"/>
          <w:lang w:eastAsia="en-US"/>
        </w:rPr>
        <w:t>NPRM</w:t>
      </w:r>
      <w:r w:rsidR="007765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C6275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="006C6275" w:rsidRPr="00474E28">
        <w:rPr>
          <w:rFonts w:ascii="Times New Roman" w:eastAsia="Calibri" w:hAnsi="Times New Roman" w:cs="Times New Roman"/>
          <w:sz w:val="24"/>
          <w:szCs w:val="24"/>
          <w:lang w:eastAsia="en-US"/>
        </w:rPr>
        <w:t>see Part VII</w:t>
      </w:r>
      <w:r w:rsidR="00A053D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6C6275">
        <w:rPr>
          <w:rFonts w:ascii="Times New Roman" w:eastAsia="Calibri" w:hAnsi="Times New Roman" w:cs="Times New Roman"/>
          <w:sz w:val="24"/>
          <w:szCs w:val="24"/>
          <w:lang w:eastAsia="en-US"/>
        </w:rPr>
        <w:t>B)</w:t>
      </w:r>
      <w:r w:rsidR="00246EC1" w:rsidRPr="005A0CC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246E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The</w:t>
      </w:r>
      <w:r w:rsidR="00474E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table calculation methodology </w:t>
      </w:r>
      <w:r w:rsidR="00C440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for the Baseline (Current Fee Schedule) </w:t>
      </w:r>
      <w:r w:rsidR="00474E28">
        <w:rPr>
          <w:rFonts w:ascii="Times New Roman" w:eastAsia="Calibri" w:hAnsi="Times New Roman" w:cs="Times New Roman"/>
          <w:sz w:val="24"/>
          <w:szCs w:val="24"/>
          <w:lang w:eastAsia="en-US"/>
        </w:rPr>
        <w:t>is</w:t>
      </w:r>
      <w:r w:rsidR="00C440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identical to </w:t>
      </w:r>
      <w:r w:rsidR="002F7EC9">
        <w:rPr>
          <w:rFonts w:ascii="Times New Roman" w:eastAsia="Calibri" w:hAnsi="Times New Roman" w:cs="Times New Roman"/>
          <w:sz w:val="24"/>
          <w:szCs w:val="24"/>
          <w:lang w:eastAsia="en-US"/>
        </w:rPr>
        <w:t>that</w:t>
      </w:r>
      <w:r w:rsidR="00C440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described in Section II for the </w:t>
      </w:r>
      <w:r w:rsidR="00E83BA9">
        <w:rPr>
          <w:rFonts w:ascii="Times New Roman" w:eastAsia="Calibri" w:hAnsi="Times New Roman" w:cs="Times New Roman"/>
          <w:sz w:val="24"/>
          <w:szCs w:val="24"/>
          <w:lang w:eastAsia="en-US"/>
        </w:rPr>
        <w:t>Proposed</w:t>
      </w:r>
      <w:r w:rsidR="007765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440FD">
        <w:rPr>
          <w:rFonts w:ascii="Times New Roman" w:eastAsia="Calibri" w:hAnsi="Times New Roman" w:cs="Times New Roman"/>
          <w:sz w:val="24"/>
          <w:szCs w:val="24"/>
          <w:lang w:eastAsia="en-US"/>
        </w:rPr>
        <w:t>Alternative.</w:t>
      </w:r>
    </w:p>
    <w:sectPr w:rsidR="000E0EC3" w:rsidRPr="00BF1B4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F1A6B" w14:textId="77777777" w:rsidR="00691DBE" w:rsidRDefault="00691DBE" w:rsidP="00F15C5B">
      <w:pPr>
        <w:spacing w:after="0" w:line="240" w:lineRule="auto"/>
      </w:pPr>
      <w:r>
        <w:separator/>
      </w:r>
    </w:p>
  </w:endnote>
  <w:endnote w:type="continuationSeparator" w:id="0">
    <w:p w14:paraId="7DE0079C" w14:textId="77777777" w:rsidR="00691DBE" w:rsidRDefault="00691DBE" w:rsidP="00F15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BF3A8" w14:textId="14A18B9E" w:rsidR="00F15C5B" w:rsidRDefault="00F15C5B" w:rsidP="00F15C5B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616BF">
      <w:rPr>
        <w:noProof/>
      </w:rPr>
      <w:t>2</w:t>
    </w:r>
    <w:r>
      <w:rPr>
        <w:noProof/>
      </w:rPr>
      <w:fldChar w:fldCharType="end"/>
    </w:r>
    <w:r>
      <w:t xml:space="preserve"> | </w:t>
    </w:r>
    <w:r>
      <w:rPr>
        <w:color w:val="808080"/>
        <w:spacing w:val="60"/>
      </w:rPr>
      <w:t>Page</w:t>
    </w:r>
  </w:p>
  <w:p w14:paraId="0B2BF3A9" w14:textId="77777777" w:rsidR="00F15C5B" w:rsidRDefault="00F15C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A6A23" w14:textId="77777777" w:rsidR="00691DBE" w:rsidRDefault="00691DBE" w:rsidP="00F15C5B">
      <w:pPr>
        <w:spacing w:after="0" w:line="240" w:lineRule="auto"/>
      </w:pPr>
      <w:r>
        <w:separator/>
      </w:r>
    </w:p>
  </w:footnote>
  <w:footnote w:type="continuationSeparator" w:id="0">
    <w:p w14:paraId="05B457E1" w14:textId="77777777" w:rsidR="00691DBE" w:rsidRDefault="00691DBE" w:rsidP="00F15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37170"/>
    <w:multiLevelType w:val="hybridMultilevel"/>
    <w:tmpl w:val="4B440256"/>
    <w:lvl w:ilvl="0" w:tplc="20825FC8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BC"/>
    <w:rsid w:val="00017F6C"/>
    <w:rsid w:val="000274BD"/>
    <w:rsid w:val="000301A0"/>
    <w:rsid w:val="000439EC"/>
    <w:rsid w:val="000A3C7E"/>
    <w:rsid w:val="000A64AA"/>
    <w:rsid w:val="000B4883"/>
    <w:rsid w:val="000D36B6"/>
    <w:rsid w:val="000E0EC3"/>
    <w:rsid w:val="000F6E32"/>
    <w:rsid w:val="00114298"/>
    <w:rsid w:val="00125575"/>
    <w:rsid w:val="001C3F84"/>
    <w:rsid w:val="00246EC1"/>
    <w:rsid w:val="002632E1"/>
    <w:rsid w:val="002D5285"/>
    <w:rsid w:val="002F7EC9"/>
    <w:rsid w:val="00331D39"/>
    <w:rsid w:val="00341D57"/>
    <w:rsid w:val="003616BF"/>
    <w:rsid w:val="003677E7"/>
    <w:rsid w:val="003A6D78"/>
    <w:rsid w:val="003C67E3"/>
    <w:rsid w:val="003D021E"/>
    <w:rsid w:val="003E1EBE"/>
    <w:rsid w:val="004203F2"/>
    <w:rsid w:val="00434224"/>
    <w:rsid w:val="004378B7"/>
    <w:rsid w:val="00471F92"/>
    <w:rsid w:val="00474E28"/>
    <w:rsid w:val="00481C83"/>
    <w:rsid w:val="004A1D0A"/>
    <w:rsid w:val="004A7B19"/>
    <w:rsid w:val="0053574E"/>
    <w:rsid w:val="005721D7"/>
    <w:rsid w:val="005A0CC3"/>
    <w:rsid w:val="005B5C45"/>
    <w:rsid w:val="005B60BE"/>
    <w:rsid w:val="00610047"/>
    <w:rsid w:val="00611DDA"/>
    <w:rsid w:val="00620E50"/>
    <w:rsid w:val="00627506"/>
    <w:rsid w:val="00691DBE"/>
    <w:rsid w:val="006C1621"/>
    <w:rsid w:val="006C6275"/>
    <w:rsid w:val="006F6D9B"/>
    <w:rsid w:val="007147B0"/>
    <w:rsid w:val="007304A8"/>
    <w:rsid w:val="0073238C"/>
    <w:rsid w:val="00744F72"/>
    <w:rsid w:val="007637AE"/>
    <w:rsid w:val="00771381"/>
    <w:rsid w:val="00776534"/>
    <w:rsid w:val="007811B0"/>
    <w:rsid w:val="007844A4"/>
    <w:rsid w:val="00790C79"/>
    <w:rsid w:val="007A5C09"/>
    <w:rsid w:val="007A6EAF"/>
    <w:rsid w:val="00840802"/>
    <w:rsid w:val="00847347"/>
    <w:rsid w:val="00870B1B"/>
    <w:rsid w:val="008720A6"/>
    <w:rsid w:val="008D1918"/>
    <w:rsid w:val="00927E64"/>
    <w:rsid w:val="009372BC"/>
    <w:rsid w:val="00963C0B"/>
    <w:rsid w:val="009852D8"/>
    <w:rsid w:val="009A1AF3"/>
    <w:rsid w:val="009B16ED"/>
    <w:rsid w:val="009E7907"/>
    <w:rsid w:val="00A053DF"/>
    <w:rsid w:val="00A10601"/>
    <w:rsid w:val="00A50BC0"/>
    <w:rsid w:val="00A5357B"/>
    <w:rsid w:val="00A61EA0"/>
    <w:rsid w:val="00A66A8D"/>
    <w:rsid w:val="00B300D4"/>
    <w:rsid w:val="00B46832"/>
    <w:rsid w:val="00B64A70"/>
    <w:rsid w:val="00BA34D8"/>
    <w:rsid w:val="00BB1899"/>
    <w:rsid w:val="00BB2080"/>
    <w:rsid w:val="00BE04FF"/>
    <w:rsid w:val="00BF1B4C"/>
    <w:rsid w:val="00BF310A"/>
    <w:rsid w:val="00C165E0"/>
    <w:rsid w:val="00C26C10"/>
    <w:rsid w:val="00C440FD"/>
    <w:rsid w:val="00CA5BE8"/>
    <w:rsid w:val="00CC20B0"/>
    <w:rsid w:val="00D022EA"/>
    <w:rsid w:val="00D75CF5"/>
    <w:rsid w:val="00DD4123"/>
    <w:rsid w:val="00DF567F"/>
    <w:rsid w:val="00E245F4"/>
    <w:rsid w:val="00E42380"/>
    <w:rsid w:val="00E473B4"/>
    <w:rsid w:val="00E564EF"/>
    <w:rsid w:val="00E622FC"/>
    <w:rsid w:val="00E83BA9"/>
    <w:rsid w:val="00ED7F76"/>
    <w:rsid w:val="00F15C5B"/>
    <w:rsid w:val="00F70AD4"/>
    <w:rsid w:val="00F83268"/>
    <w:rsid w:val="00FA20BF"/>
    <w:rsid w:val="00FB6AC8"/>
    <w:rsid w:val="00FC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BF379"/>
  <w15:docId w15:val="{4D4FF876-71A3-4A2B-83EC-57ABE800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620E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620E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BookTitle">
    <w:name w:val="Book Title"/>
    <w:basedOn w:val="DefaultParagraphFont"/>
    <w:uiPriority w:val="33"/>
    <w:qFormat/>
    <w:rsid w:val="00620E50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620E5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15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C5B"/>
  </w:style>
  <w:style w:type="paragraph" w:styleId="Footer">
    <w:name w:val="footer"/>
    <w:basedOn w:val="Normal"/>
    <w:link w:val="FooterChar"/>
    <w:uiPriority w:val="99"/>
    <w:unhideWhenUsed/>
    <w:rsid w:val="00F15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C5B"/>
  </w:style>
  <w:style w:type="paragraph" w:styleId="BalloonText">
    <w:name w:val="Balloon Text"/>
    <w:basedOn w:val="Normal"/>
    <w:link w:val="BalloonTextChar"/>
    <w:uiPriority w:val="99"/>
    <w:semiHidden/>
    <w:unhideWhenUsed/>
    <w:rsid w:val="0053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7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F6D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6D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D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D9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26C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8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spto.gov/about-us/performance-and-planning/fee-setting-and-adjustin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E7AE8746BF34D95974859DFD97FD3" ma:contentTypeVersion="13" ma:contentTypeDescription="Create a new document." ma:contentTypeScope="" ma:versionID="a942772f70efacf34d0082af35da1300">
  <xsd:schema xmlns:xsd="http://www.w3.org/2001/XMLSchema" xmlns:xs="http://www.w3.org/2001/XMLSchema" xmlns:p="http://schemas.microsoft.com/office/2006/metadata/properties" xmlns:ns2="389d3fd6-467d-4ff9-a3a7-974ffc29e0b3" xmlns:ns3="338168c6-3a3e-4a06-905e-8185aa796050" targetNamespace="http://schemas.microsoft.com/office/2006/metadata/properties" ma:root="true" ma:fieldsID="737cc2c99afd7104e4594642bd84578e" ns2:_="" ns3:_="">
    <xsd:import namespace="389d3fd6-467d-4ff9-a3a7-974ffc29e0b3"/>
    <xsd:import namespace="338168c6-3a3e-4a06-905e-8185aa7960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d3fd6-467d-4ff9-a3a7-974ffc29e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8c6-3a3e-4a06-905e-8185aa7960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C0C22-5B66-44EB-B445-07F5F52B43F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346136C-AE57-4C0D-87E4-4877C8D5B6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96F539-1F78-4868-BDE1-D2CB445E1E9B}"/>
</file>

<file path=customXml/itemProps4.xml><?xml version="1.0" encoding="utf-8"?>
<ds:datastoreItem xmlns:ds="http://schemas.openxmlformats.org/officeDocument/2006/customXml" ds:itemID="{38089A4A-D5DC-4E85-96B2-C3A92FAB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Patent and Trademark Office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Ailes, Lauren</dc:creator>
  <cp:lastModifiedBy>Ailes, Lauren</cp:lastModifiedBy>
  <cp:revision>3</cp:revision>
  <cp:lastPrinted>2016-03-03T22:14:00Z</cp:lastPrinted>
  <dcterms:created xsi:type="dcterms:W3CDTF">2019-03-20T14:36:00Z</dcterms:created>
  <dcterms:modified xsi:type="dcterms:W3CDTF">2019-03-26T16:55:00Z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0x010100790E7AE8746BF34D95974859DFD97FD3</vt:lpwstr>
  </property>
</Properties>
</file>