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A2BA6B" w14:textId="77777777" w:rsidR="002027C6" w:rsidRPr="00FA6E64" w:rsidRDefault="00FA6E64" w:rsidP="00FA6E64">
      <w:pPr>
        <w:pStyle w:val="Title"/>
      </w:pPr>
      <w:r>
        <w:t xml:space="preserve">TMEP </w:t>
      </w:r>
      <w:r w:rsidR="00AE596B" w:rsidRPr="00FA6E64">
        <w:t xml:space="preserve">HIGHLIGHTS </w:t>
      </w:r>
      <w:r w:rsidR="002027C6" w:rsidRPr="00FA6E64">
        <w:t>–</w:t>
      </w:r>
      <w:r w:rsidR="002961F3">
        <w:t xml:space="preserve"> APRIL 201</w:t>
      </w:r>
      <w:r w:rsidR="004516EB">
        <w:t>6</w:t>
      </w:r>
    </w:p>
    <w:p w14:paraId="6CD66C9E" w14:textId="77777777" w:rsidR="002027C6" w:rsidRPr="006245EE" w:rsidRDefault="002027C6" w:rsidP="00B76D17">
      <w:pPr>
        <w:rPr>
          <w:szCs w:val="22"/>
        </w:rPr>
      </w:pPr>
    </w:p>
    <w:p w14:paraId="7911C9C1" w14:textId="77777777" w:rsidR="002027C6" w:rsidRPr="00A91C44" w:rsidRDefault="002027C6" w:rsidP="00FE686B">
      <w:r w:rsidRPr="00A91C44">
        <w:t xml:space="preserve">This outline highlights </w:t>
      </w:r>
      <w:r w:rsidR="00FA6E64">
        <w:t xml:space="preserve">some of the </w:t>
      </w:r>
      <w:r w:rsidR="00BB5AB6">
        <w:t xml:space="preserve">clarifications and </w:t>
      </w:r>
      <w:r w:rsidRPr="00A91C44">
        <w:t xml:space="preserve">changes </w:t>
      </w:r>
      <w:r w:rsidR="00AE596B">
        <w:t>se</w:t>
      </w:r>
      <w:r w:rsidR="00F1090A">
        <w:t xml:space="preserve">t forth in the </w:t>
      </w:r>
      <w:r w:rsidR="002961F3">
        <w:t>April 201</w:t>
      </w:r>
      <w:r w:rsidR="004516EB">
        <w:t>6</w:t>
      </w:r>
      <w:r w:rsidR="002961F3">
        <w:t xml:space="preserve"> version of the TMEP</w:t>
      </w:r>
      <w:r w:rsidR="00C50783">
        <w:t xml:space="preserve">. </w:t>
      </w:r>
      <w:r w:rsidR="00866A17">
        <w:t xml:space="preserve"> </w:t>
      </w:r>
      <w:r w:rsidRPr="00A91C44">
        <w:t xml:space="preserve">For a more complete listing, see </w:t>
      </w:r>
      <w:r w:rsidR="008417DD" w:rsidRPr="00A91C44">
        <w:t>the</w:t>
      </w:r>
      <w:r w:rsidR="00160D04" w:rsidRPr="00A91C44">
        <w:t xml:space="preserve"> </w:t>
      </w:r>
      <w:r w:rsidR="008417DD" w:rsidRPr="00A91C44">
        <w:t>“</w:t>
      </w:r>
      <w:r w:rsidR="002961F3">
        <w:t xml:space="preserve">Index to </w:t>
      </w:r>
      <w:r w:rsidR="00F1090A">
        <w:t xml:space="preserve">Changes </w:t>
      </w:r>
      <w:r w:rsidR="002961F3">
        <w:t>in</w:t>
      </w:r>
      <w:r w:rsidR="00F1090A">
        <w:t xml:space="preserve"> TMEP</w:t>
      </w:r>
      <w:r w:rsidR="002961F3">
        <w:t xml:space="preserve"> April 201</w:t>
      </w:r>
      <w:r w:rsidR="004516EB">
        <w:t>6</w:t>
      </w:r>
      <w:r w:rsidR="008417DD" w:rsidRPr="00A91C44">
        <w:t xml:space="preserve">” document, which is posted as part of the TMEP. </w:t>
      </w:r>
    </w:p>
    <w:p w14:paraId="3A75E1BB" w14:textId="77777777" w:rsidR="00CC2628" w:rsidRDefault="00186A91" w:rsidP="00B76D17">
      <w:pPr>
        <w:rPr>
          <w:szCs w:val="22"/>
        </w:rPr>
      </w:pPr>
      <w:r>
        <w:rPr>
          <w:szCs w:val="22"/>
        </w:rPr>
        <w:t>_____________________________________________________________</w:t>
      </w:r>
    </w:p>
    <w:p w14:paraId="57619D12" w14:textId="77777777" w:rsidR="00BD297D" w:rsidRDefault="00BD297D" w:rsidP="00B76D17">
      <w:pPr>
        <w:rPr>
          <w:szCs w:val="22"/>
        </w:rPr>
      </w:pPr>
    </w:p>
    <w:p w14:paraId="0D6B409D" w14:textId="1846E93B" w:rsidR="00B06EF6" w:rsidRPr="00B06EF6" w:rsidRDefault="00B06EF6" w:rsidP="00B76D17">
      <w:pPr>
        <w:rPr>
          <w:b/>
          <w:szCs w:val="22"/>
        </w:rPr>
      </w:pPr>
      <w:r w:rsidRPr="00B06EF6">
        <w:rPr>
          <w:b/>
          <w:szCs w:val="22"/>
        </w:rPr>
        <w:t>ACTION AFTER FINAL</w:t>
      </w:r>
    </w:p>
    <w:p w14:paraId="39C01087" w14:textId="77777777" w:rsidR="00B06EF6" w:rsidRDefault="00B06EF6" w:rsidP="00B76D17">
      <w:pPr>
        <w:rPr>
          <w:szCs w:val="22"/>
        </w:rPr>
      </w:pPr>
    </w:p>
    <w:p w14:paraId="736E3C45" w14:textId="670B19FA" w:rsidR="00B06EF6" w:rsidRDefault="00B06EF6" w:rsidP="00B76D17">
      <w:pPr>
        <w:rPr>
          <w:szCs w:val="22"/>
        </w:rPr>
      </w:pPr>
      <w:r w:rsidRPr="00B06EF6">
        <w:rPr>
          <w:b/>
          <w:i/>
          <w:szCs w:val="22"/>
        </w:rPr>
        <w:t>Proper Response to Final Action</w:t>
      </w:r>
      <w:r>
        <w:rPr>
          <w:szCs w:val="22"/>
        </w:rPr>
        <w:t xml:space="preserve"> (TMEP §715.01)</w:t>
      </w:r>
    </w:p>
    <w:p w14:paraId="669A8F57" w14:textId="77777777" w:rsidR="00B06EF6" w:rsidRDefault="00B06EF6" w:rsidP="00B76D17">
      <w:pPr>
        <w:rPr>
          <w:szCs w:val="22"/>
        </w:rPr>
      </w:pPr>
    </w:p>
    <w:p w14:paraId="04636E28" w14:textId="7CE1EBF1" w:rsidR="00B06EF6" w:rsidRPr="00B06EF6" w:rsidRDefault="00B06EF6" w:rsidP="00B06EF6">
      <w:pPr>
        <w:pStyle w:val="ListParagraph"/>
        <w:numPr>
          <w:ilvl w:val="0"/>
          <w:numId w:val="47"/>
        </w:numPr>
        <w:rPr>
          <w:szCs w:val="22"/>
          <w:lang w:val="en"/>
        </w:rPr>
      </w:pPr>
      <w:r w:rsidRPr="00B06EF6">
        <w:rPr>
          <w:szCs w:val="22"/>
          <w:lang w:val="en"/>
        </w:rPr>
        <w:t xml:space="preserve">An applicant may respond to a final action by timely filing (1) a notice of appeal to the Trademark Trial and Appeal Board; (2) a </w:t>
      </w:r>
      <w:r w:rsidRPr="00B06EF6">
        <w:rPr>
          <w:szCs w:val="22"/>
        </w:rPr>
        <w:t xml:space="preserve">request for reconsideration that seeks to overcome any substantive refusals to register and comply with any outstanding requirements; </w:t>
      </w:r>
      <w:r w:rsidRPr="00B06EF6">
        <w:rPr>
          <w:szCs w:val="22"/>
          <w:lang w:val="en"/>
        </w:rPr>
        <w:t>or (3) a petition to the Director under Trademark Rule 2.146 to review a requirement, if the subject matter of the requirement is procedural and thus appropriate for petition.  37 C.F.R. §2.63(b</w:t>
      </w:r>
      <w:proofErr w:type="gramStart"/>
      <w:r w:rsidRPr="00B06EF6">
        <w:rPr>
          <w:szCs w:val="22"/>
          <w:lang w:val="en"/>
        </w:rPr>
        <w:t>)(</w:t>
      </w:r>
      <w:proofErr w:type="gramEnd"/>
      <w:r w:rsidRPr="00B06EF6">
        <w:rPr>
          <w:szCs w:val="22"/>
          <w:lang w:val="en"/>
        </w:rPr>
        <w:t>1)-(2).</w:t>
      </w:r>
    </w:p>
    <w:p w14:paraId="28C57256" w14:textId="5A5703D8" w:rsidR="00B06EF6" w:rsidRDefault="00B06EF6" w:rsidP="00B76D17">
      <w:pPr>
        <w:rPr>
          <w:szCs w:val="22"/>
        </w:rPr>
      </w:pPr>
      <w:r w:rsidRPr="00B06EF6">
        <w:rPr>
          <w:szCs w:val="22"/>
        </w:rPr>
        <w:t>_____________________________________________________________</w:t>
      </w:r>
    </w:p>
    <w:p w14:paraId="067DBC7B" w14:textId="77777777" w:rsidR="00435942" w:rsidRDefault="00435942" w:rsidP="00B76D17">
      <w:pPr>
        <w:rPr>
          <w:szCs w:val="22"/>
        </w:rPr>
      </w:pPr>
    </w:p>
    <w:p w14:paraId="762F2F41" w14:textId="16C438A7" w:rsidR="00435942" w:rsidRDefault="00435942" w:rsidP="00435942">
      <w:pPr>
        <w:rPr>
          <w:b/>
          <w:szCs w:val="22"/>
        </w:rPr>
      </w:pPr>
      <w:r>
        <w:rPr>
          <w:b/>
          <w:szCs w:val="22"/>
        </w:rPr>
        <w:t>INCAPABLE MATTER</w:t>
      </w:r>
    </w:p>
    <w:p w14:paraId="0D4E7AA8" w14:textId="77777777" w:rsidR="00435942" w:rsidRDefault="00435942" w:rsidP="00435942">
      <w:pPr>
        <w:rPr>
          <w:b/>
          <w:szCs w:val="22"/>
        </w:rPr>
      </w:pPr>
    </w:p>
    <w:p w14:paraId="4F5E7E58" w14:textId="48157097" w:rsidR="00A9168B" w:rsidRPr="00994F1C" w:rsidRDefault="00A9168B" w:rsidP="00435942">
      <w:pPr>
        <w:rPr>
          <w:szCs w:val="22"/>
        </w:rPr>
      </w:pPr>
      <w:r>
        <w:rPr>
          <w:b/>
          <w:i/>
          <w:szCs w:val="22"/>
        </w:rPr>
        <w:t xml:space="preserve">Statutory Basis for Refusal of Generic Matter on the Principal Register </w:t>
      </w:r>
      <w:r>
        <w:rPr>
          <w:szCs w:val="22"/>
        </w:rPr>
        <w:t>(TMEP §§1209.01(c), 1209.02(a</w:t>
      </w:r>
      <w:proofErr w:type="gramStart"/>
      <w:r>
        <w:rPr>
          <w:szCs w:val="22"/>
        </w:rPr>
        <w:t>)(</w:t>
      </w:r>
      <w:proofErr w:type="gramEnd"/>
      <w:r>
        <w:rPr>
          <w:szCs w:val="22"/>
        </w:rPr>
        <w:t>ii))</w:t>
      </w:r>
    </w:p>
    <w:p w14:paraId="7721CC95" w14:textId="77777777" w:rsidR="00A9168B" w:rsidRDefault="00A9168B" w:rsidP="00435942">
      <w:pPr>
        <w:rPr>
          <w:b/>
          <w:i/>
          <w:szCs w:val="22"/>
        </w:rPr>
      </w:pPr>
    </w:p>
    <w:p w14:paraId="13670FD6" w14:textId="34EC65A3" w:rsidR="00A9168B" w:rsidRPr="00994F1C" w:rsidRDefault="00A9168B" w:rsidP="00994F1C">
      <w:pPr>
        <w:pStyle w:val="ListParagraph"/>
        <w:numPr>
          <w:ilvl w:val="0"/>
          <w:numId w:val="47"/>
        </w:numPr>
        <w:rPr>
          <w:b/>
          <w:i/>
          <w:szCs w:val="22"/>
        </w:rPr>
      </w:pPr>
      <w:r w:rsidRPr="008C745A">
        <w:rPr>
          <w:szCs w:val="22"/>
          <w:lang w:val="en"/>
        </w:rPr>
        <w:t xml:space="preserve">Generic terms are refused registration </w:t>
      </w:r>
      <w:r w:rsidRPr="008C745A">
        <w:rPr>
          <w:szCs w:val="22"/>
        </w:rPr>
        <w:t xml:space="preserve">on the Principal Register </w:t>
      </w:r>
      <w:r w:rsidRPr="009B4717">
        <w:rPr>
          <w:szCs w:val="22"/>
        </w:rPr>
        <w:t>under</w:t>
      </w:r>
      <w:r w:rsidRPr="009B4717">
        <w:rPr>
          <w:szCs w:val="22"/>
          <w:lang w:val="en"/>
        </w:rPr>
        <w:t xml:space="preserve"> Trademark Act §§1, 2, and 45</w:t>
      </w:r>
      <w:r w:rsidRPr="000951F6">
        <w:rPr>
          <w:szCs w:val="22"/>
          <w:lang w:val="en"/>
        </w:rPr>
        <w:t xml:space="preserve">, for trademarks, and §§1, 2, 3, and 45, for service marks.  </w:t>
      </w:r>
      <w:r w:rsidRPr="000951F6">
        <w:rPr>
          <w:i/>
          <w:szCs w:val="22"/>
          <w:lang w:val="en"/>
        </w:rPr>
        <w:t>See</w:t>
      </w:r>
      <w:r w:rsidRPr="000951F6">
        <w:rPr>
          <w:szCs w:val="22"/>
          <w:lang w:val="en"/>
        </w:rPr>
        <w:t xml:space="preserve"> 15 U</w:t>
      </w:r>
      <w:r>
        <w:rPr>
          <w:szCs w:val="22"/>
          <w:lang w:val="en"/>
        </w:rPr>
        <w:t>.</w:t>
      </w:r>
      <w:r w:rsidR="009B4717">
        <w:rPr>
          <w:szCs w:val="22"/>
          <w:lang w:val="en"/>
        </w:rPr>
        <w:t xml:space="preserve">S.C. §§1051, 1052, 1053, 1127.  </w:t>
      </w:r>
      <w:r>
        <w:rPr>
          <w:szCs w:val="22"/>
          <w:lang w:val="en"/>
        </w:rPr>
        <w:t xml:space="preserve">Previously, the TMEP </w:t>
      </w:r>
      <w:r w:rsidR="008C745A">
        <w:rPr>
          <w:szCs w:val="22"/>
          <w:lang w:val="en"/>
        </w:rPr>
        <w:t>set forth</w:t>
      </w:r>
      <w:r>
        <w:rPr>
          <w:szCs w:val="22"/>
          <w:lang w:val="en"/>
        </w:rPr>
        <w:t xml:space="preserve"> </w:t>
      </w:r>
      <w:r w:rsidR="008C745A">
        <w:rPr>
          <w:szCs w:val="22"/>
          <w:lang w:val="en"/>
        </w:rPr>
        <w:t xml:space="preserve">the statutory basis for refusal of </w:t>
      </w:r>
      <w:r>
        <w:rPr>
          <w:szCs w:val="22"/>
          <w:lang w:val="en"/>
        </w:rPr>
        <w:t xml:space="preserve">generic terms on the Principal Register </w:t>
      </w:r>
      <w:r w:rsidR="008C745A">
        <w:rPr>
          <w:szCs w:val="22"/>
          <w:lang w:val="en"/>
        </w:rPr>
        <w:t>as</w:t>
      </w:r>
      <w:r>
        <w:rPr>
          <w:szCs w:val="22"/>
          <w:lang w:val="en"/>
        </w:rPr>
        <w:t xml:space="preserve"> </w:t>
      </w:r>
      <w:r w:rsidR="008C745A">
        <w:rPr>
          <w:szCs w:val="22"/>
          <w:lang w:val="en"/>
        </w:rPr>
        <w:t xml:space="preserve">just </w:t>
      </w:r>
      <w:r>
        <w:rPr>
          <w:szCs w:val="22"/>
          <w:lang w:val="en"/>
        </w:rPr>
        <w:t>§2(e</w:t>
      </w:r>
      <w:proofErr w:type="gramStart"/>
      <w:r>
        <w:rPr>
          <w:szCs w:val="22"/>
          <w:lang w:val="en"/>
        </w:rPr>
        <w:t>)(</w:t>
      </w:r>
      <w:proofErr w:type="gramEnd"/>
      <w:r>
        <w:rPr>
          <w:szCs w:val="22"/>
          <w:lang w:val="en"/>
        </w:rPr>
        <w:t xml:space="preserve">1).  </w:t>
      </w:r>
    </w:p>
    <w:p w14:paraId="6669C02D" w14:textId="70D53319" w:rsidR="00A9168B" w:rsidRPr="008C745A" w:rsidRDefault="00A9168B" w:rsidP="00994F1C">
      <w:pPr>
        <w:pStyle w:val="ListParagraph"/>
        <w:rPr>
          <w:b/>
          <w:i/>
          <w:szCs w:val="22"/>
        </w:rPr>
      </w:pPr>
    </w:p>
    <w:p w14:paraId="59D443D2" w14:textId="187A5742" w:rsidR="00435942" w:rsidRPr="00994F1C" w:rsidRDefault="00435942" w:rsidP="00435942">
      <w:pPr>
        <w:rPr>
          <w:szCs w:val="22"/>
        </w:rPr>
      </w:pPr>
      <w:r>
        <w:rPr>
          <w:b/>
          <w:i/>
          <w:szCs w:val="22"/>
        </w:rPr>
        <w:t xml:space="preserve">Statutory Basis for Refusal of Incapable Matter on the Supplemental Register </w:t>
      </w:r>
      <w:r>
        <w:rPr>
          <w:szCs w:val="22"/>
        </w:rPr>
        <w:t>(TMEP §§1202.02(a</w:t>
      </w:r>
      <w:proofErr w:type="gramStart"/>
      <w:r>
        <w:rPr>
          <w:szCs w:val="22"/>
        </w:rPr>
        <w:t>)(</w:t>
      </w:r>
      <w:proofErr w:type="gramEnd"/>
      <w:r>
        <w:rPr>
          <w:szCs w:val="22"/>
        </w:rPr>
        <w:t>iii)(A), 1202.02(b)(</w:t>
      </w:r>
      <w:proofErr w:type="spellStart"/>
      <w:r>
        <w:rPr>
          <w:szCs w:val="22"/>
        </w:rPr>
        <w:t>i</w:t>
      </w:r>
      <w:proofErr w:type="spellEnd"/>
      <w:r>
        <w:rPr>
          <w:szCs w:val="22"/>
        </w:rPr>
        <w:t>),</w:t>
      </w:r>
      <w:r w:rsidR="00A9168B">
        <w:rPr>
          <w:szCs w:val="22"/>
        </w:rPr>
        <w:t xml:space="preserve"> </w:t>
      </w:r>
      <w:r w:rsidR="008C745A">
        <w:rPr>
          <w:szCs w:val="22"/>
        </w:rPr>
        <w:t xml:space="preserve">1209.01(c), </w:t>
      </w:r>
      <w:r w:rsidR="00A9168B">
        <w:rPr>
          <w:szCs w:val="22"/>
        </w:rPr>
        <w:t>1209.02(a)(</w:t>
      </w:r>
      <w:proofErr w:type="spellStart"/>
      <w:r w:rsidR="00A9168B">
        <w:rPr>
          <w:szCs w:val="22"/>
        </w:rPr>
        <w:t>i</w:t>
      </w:r>
      <w:proofErr w:type="spellEnd"/>
      <w:r w:rsidR="00A9168B">
        <w:rPr>
          <w:szCs w:val="22"/>
        </w:rPr>
        <w:t>))</w:t>
      </w:r>
    </w:p>
    <w:p w14:paraId="336A9E98" w14:textId="77777777" w:rsidR="00435942" w:rsidRPr="00994F1C" w:rsidRDefault="00435942" w:rsidP="00435942">
      <w:pPr>
        <w:rPr>
          <w:b/>
          <w:i/>
          <w:szCs w:val="22"/>
        </w:rPr>
      </w:pPr>
    </w:p>
    <w:p w14:paraId="00BE2C4C" w14:textId="2DEA854C" w:rsidR="00435942" w:rsidRPr="00994F1C" w:rsidRDefault="00435942" w:rsidP="00994F1C">
      <w:pPr>
        <w:pStyle w:val="ListParagraph"/>
        <w:numPr>
          <w:ilvl w:val="0"/>
          <w:numId w:val="47"/>
        </w:numPr>
        <w:rPr>
          <w:b/>
          <w:szCs w:val="22"/>
        </w:rPr>
      </w:pPr>
      <w:r>
        <w:rPr>
          <w:szCs w:val="22"/>
        </w:rPr>
        <w:t xml:space="preserve">The statutory authority to be cited for refusing incapable matter on the Supplemental Register is Trademark Act §§23(c) and 45, 15 U.S.C. §§1091(c), 1127.  </w:t>
      </w:r>
      <w:r w:rsidR="008C745A" w:rsidRPr="00D86294">
        <w:rPr>
          <w:szCs w:val="22"/>
          <w:lang w:val="en"/>
        </w:rPr>
        <w:t xml:space="preserve">Previously, the TMEP </w:t>
      </w:r>
      <w:r w:rsidR="008C745A">
        <w:rPr>
          <w:szCs w:val="22"/>
          <w:lang w:val="en"/>
        </w:rPr>
        <w:t xml:space="preserve">set forth the statutory basis for refusal of incapable matter on the Supplemental Register as just </w:t>
      </w:r>
      <w:r w:rsidR="00A9168B">
        <w:rPr>
          <w:szCs w:val="22"/>
          <w:lang w:val="en"/>
        </w:rPr>
        <w:t xml:space="preserve">§23.  </w:t>
      </w:r>
    </w:p>
    <w:p w14:paraId="17A76E97" w14:textId="77777777" w:rsidR="00435942" w:rsidRDefault="00435942" w:rsidP="00435942">
      <w:pPr>
        <w:rPr>
          <w:szCs w:val="22"/>
        </w:rPr>
      </w:pPr>
      <w:r w:rsidRPr="00B06EF6">
        <w:rPr>
          <w:szCs w:val="22"/>
        </w:rPr>
        <w:t>_____________________________________________________________</w:t>
      </w:r>
    </w:p>
    <w:p w14:paraId="4E1B4880" w14:textId="77777777" w:rsidR="007B5F4D" w:rsidRDefault="007B5F4D" w:rsidP="00B76D17">
      <w:pPr>
        <w:rPr>
          <w:szCs w:val="22"/>
        </w:rPr>
      </w:pPr>
    </w:p>
    <w:p w14:paraId="56D3A915" w14:textId="77777777" w:rsidR="002D6FD4" w:rsidRDefault="004F2134" w:rsidP="002D6FD4">
      <w:pPr>
        <w:pStyle w:val="Heading1"/>
      </w:pPr>
      <w:r>
        <w:t>MARK DESCRIPTION</w:t>
      </w:r>
    </w:p>
    <w:p w14:paraId="110A79E7" w14:textId="77777777" w:rsidR="004F2134" w:rsidRPr="004F2134" w:rsidRDefault="004F2134" w:rsidP="004F2134"/>
    <w:p w14:paraId="59F33C47" w14:textId="77777777" w:rsidR="002D6FD4" w:rsidRPr="002D6FD4" w:rsidRDefault="002D6FD4" w:rsidP="002D6FD4">
      <w:r>
        <w:rPr>
          <w:b/>
          <w:i/>
        </w:rPr>
        <w:t xml:space="preserve">Mark Descriptions Must Not Include Third-Party Registered Trademarks Designating Type Fonts </w:t>
      </w:r>
      <w:r>
        <w:t>(TMEP §808.02)</w:t>
      </w:r>
    </w:p>
    <w:p w14:paraId="635C53D2" w14:textId="77777777" w:rsidR="002D6FD4" w:rsidRDefault="002D6FD4" w:rsidP="002D6FD4">
      <w:pPr>
        <w:rPr>
          <w:b/>
          <w:i/>
        </w:rPr>
      </w:pPr>
    </w:p>
    <w:p w14:paraId="68088BEF" w14:textId="428C1864" w:rsidR="002D6FD4" w:rsidRDefault="002D6FD4" w:rsidP="002D6FD4">
      <w:pPr>
        <w:pStyle w:val="ListParagraph"/>
        <w:numPr>
          <w:ilvl w:val="0"/>
          <w:numId w:val="32"/>
        </w:numPr>
      </w:pPr>
      <w:r>
        <w:rPr>
          <w:lang w:val="en"/>
        </w:rPr>
        <w:lastRenderedPageBreak/>
        <w:t>The</w:t>
      </w:r>
      <w:r w:rsidRPr="002D6FD4">
        <w:rPr>
          <w:lang w:val="en"/>
        </w:rPr>
        <w:t xml:space="preserve"> prohibition </w:t>
      </w:r>
      <w:r w:rsidR="00BE556E">
        <w:rPr>
          <w:lang w:val="en"/>
        </w:rPr>
        <w:t>of</w:t>
      </w:r>
      <w:r w:rsidRPr="002D6FD4">
        <w:rPr>
          <w:lang w:val="en"/>
        </w:rPr>
        <w:t xml:space="preserve"> </w:t>
      </w:r>
      <w:r w:rsidR="00BE556E">
        <w:rPr>
          <w:lang w:val="en"/>
        </w:rPr>
        <w:t xml:space="preserve">the </w:t>
      </w:r>
      <w:r w:rsidRPr="002D6FD4">
        <w:rPr>
          <w:lang w:val="en"/>
        </w:rPr>
        <w:t xml:space="preserve">use of third-party registered marks in </w:t>
      </w:r>
      <w:r>
        <w:rPr>
          <w:lang w:val="en"/>
        </w:rPr>
        <w:t xml:space="preserve">mark </w:t>
      </w:r>
      <w:r w:rsidRPr="002D6FD4">
        <w:rPr>
          <w:lang w:val="en"/>
        </w:rPr>
        <w:t>descriptions includes the</w:t>
      </w:r>
      <w:r w:rsidRPr="002D6FD4">
        <w:t xml:space="preserve"> use of registered trademarks that designate type fonts, such as ARIAL (U.S. Registration No. 2270853) or TIMES NEW ROMAN (U.S. Registration No. 1340165).  The use of these type font designations in a description is not critical to an understanding of the mark, and therefore unnecessary for an accurate and complete description.</w:t>
      </w:r>
    </w:p>
    <w:p w14:paraId="2AED3833" w14:textId="77777777" w:rsidR="002D6FD4" w:rsidRDefault="002D6FD4" w:rsidP="002D6FD4"/>
    <w:p w14:paraId="6991D757" w14:textId="77777777" w:rsidR="002D6FD4" w:rsidRDefault="002D6FD4" w:rsidP="002D6FD4">
      <w:r>
        <w:rPr>
          <w:b/>
          <w:i/>
        </w:rPr>
        <w:t xml:space="preserve">Mark Descriptions May Contain Registered Marks Designating Commercial Color Identification Systems </w:t>
      </w:r>
      <w:r>
        <w:t>(TMEP §808.02)</w:t>
      </w:r>
    </w:p>
    <w:p w14:paraId="1AFF0424" w14:textId="77777777" w:rsidR="002D6FD4" w:rsidRDefault="002D6FD4" w:rsidP="002D6FD4"/>
    <w:p w14:paraId="444EA342" w14:textId="1F851CA8" w:rsidR="002D6FD4" w:rsidRPr="002D6FD4" w:rsidRDefault="002D6FD4" w:rsidP="002D6FD4">
      <w:pPr>
        <w:pStyle w:val="ListParagraph"/>
        <w:numPr>
          <w:ilvl w:val="0"/>
          <w:numId w:val="32"/>
        </w:numPr>
      </w:pPr>
      <w:r>
        <w:t>R</w:t>
      </w:r>
      <w:r w:rsidRPr="002D6FD4">
        <w:t>egistered mar</w:t>
      </w:r>
      <w:r w:rsidR="00F653B4">
        <w:t>ks designating commercial color-</w:t>
      </w:r>
      <w:r w:rsidRPr="002D6FD4">
        <w:t>identification systems, such as PANTONE (e.g., U.S. Registration No. 1003494), may appear in connection with a color identifier in the description of the mark, because greater precision in identifying the color may be critical in accurately describing the mark and such third-party use is an intended use of commercial color identification system terminology.</w:t>
      </w:r>
    </w:p>
    <w:p w14:paraId="17D9EE13" w14:textId="77777777" w:rsidR="001109D0" w:rsidRDefault="001109D0" w:rsidP="001109D0">
      <w:r>
        <w:t>_____________________________________________________________</w:t>
      </w:r>
    </w:p>
    <w:p w14:paraId="1E8F133D" w14:textId="77777777" w:rsidR="001109D0" w:rsidRPr="002915DB" w:rsidRDefault="001109D0" w:rsidP="001109D0"/>
    <w:p w14:paraId="71E1D7CF" w14:textId="77777777" w:rsidR="001109D0" w:rsidRPr="00A135BD" w:rsidRDefault="001109D0" w:rsidP="001109D0">
      <w:pPr>
        <w:pStyle w:val="Heading1"/>
        <w:rPr>
          <w:caps/>
        </w:rPr>
      </w:pPr>
      <w:r>
        <w:rPr>
          <w:caps/>
        </w:rPr>
        <w:t>MARK DRAWINGS</w:t>
      </w:r>
    </w:p>
    <w:p w14:paraId="00211970" w14:textId="77777777" w:rsidR="001109D0" w:rsidRPr="00A135BD" w:rsidRDefault="001109D0" w:rsidP="001109D0">
      <w:pPr>
        <w:rPr>
          <w:caps/>
        </w:rPr>
      </w:pPr>
    </w:p>
    <w:p w14:paraId="10D98D45" w14:textId="77777777" w:rsidR="001109D0" w:rsidRDefault="001109D0" w:rsidP="001109D0">
      <w:pPr>
        <w:pStyle w:val="Heading2"/>
      </w:pPr>
      <w:r>
        <w:t xml:space="preserve">Standard Character Claims in §66(a) Applications </w:t>
      </w:r>
      <w:r w:rsidRPr="00A135BD">
        <w:rPr>
          <w:b w:val="0"/>
          <w:i w:val="0"/>
        </w:rPr>
        <w:t>(TMEP §</w:t>
      </w:r>
      <w:r>
        <w:rPr>
          <w:b w:val="0"/>
          <w:i w:val="0"/>
        </w:rPr>
        <w:t>807.03(h</w:t>
      </w:r>
      <w:r w:rsidRPr="00A135BD">
        <w:rPr>
          <w:b w:val="0"/>
          <w:i w:val="0"/>
        </w:rPr>
        <w:t>))</w:t>
      </w:r>
    </w:p>
    <w:p w14:paraId="050D50A9" w14:textId="77777777" w:rsidR="001109D0" w:rsidRDefault="001109D0" w:rsidP="001109D0"/>
    <w:p w14:paraId="3589B678" w14:textId="77777777" w:rsidR="00BE556E" w:rsidRPr="00BE556E" w:rsidRDefault="001109D0" w:rsidP="001109D0">
      <w:pPr>
        <w:pStyle w:val="ListParagraph"/>
        <w:numPr>
          <w:ilvl w:val="0"/>
          <w:numId w:val="42"/>
        </w:numPr>
      </w:pPr>
      <w:r w:rsidRPr="00BD297D">
        <w:rPr>
          <w:rFonts w:cs="Arial"/>
          <w:color w:val="333333"/>
          <w:lang w:val="en"/>
        </w:rPr>
        <w:t xml:space="preserve">The applicant may assert a standard character claim in a §66(a) application if the mark drawing complies with the USPTO’s requirements for a standard character drawing under 37 C.F.R. §2.52(a), and the mark in the </w:t>
      </w:r>
      <w:r w:rsidRPr="00BD297D">
        <w:rPr>
          <w:rFonts w:cs="Arial"/>
        </w:rPr>
        <w:t>basic application and/or registration that forms the basis for the international registration is the legal equivalent of a standard character mark under the laws of the country of the basic application and/or registration</w:t>
      </w:r>
      <w:r w:rsidRPr="00BD297D">
        <w:rPr>
          <w:rFonts w:cs="Arial"/>
          <w:color w:val="333333"/>
          <w:lang w:val="en"/>
        </w:rPr>
        <w:t>.  Although a mark in a §66(a) application may generally not be amended, submitting a standard character claim under these circumstances is not considered an amendment of the mark.</w:t>
      </w:r>
    </w:p>
    <w:p w14:paraId="6ADC14E7" w14:textId="7F29F4DA" w:rsidR="001109D0" w:rsidRPr="00BD297D" w:rsidRDefault="001109D0" w:rsidP="00BE556E">
      <w:pPr>
        <w:pStyle w:val="ListParagraph"/>
      </w:pPr>
      <w:r w:rsidRPr="00BD297D">
        <w:rPr>
          <w:rFonts w:cs="Arial"/>
          <w:color w:val="333333"/>
          <w:lang w:val="en"/>
        </w:rPr>
        <w:t xml:space="preserve">   </w:t>
      </w:r>
    </w:p>
    <w:p w14:paraId="25B4B85B" w14:textId="02258261" w:rsidR="007F7718" w:rsidRDefault="001109D0" w:rsidP="001109D0">
      <w:pPr>
        <w:pStyle w:val="ListParagraph"/>
        <w:numPr>
          <w:ilvl w:val="0"/>
          <w:numId w:val="42"/>
        </w:numPr>
      </w:pPr>
      <w:r>
        <w:t xml:space="preserve">When a </w:t>
      </w:r>
      <w:r w:rsidR="00BE556E">
        <w:t xml:space="preserve">mark in a </w:t>
      </w:r>
      <w:r>
        <w:t>§66(a)</w:t>
      </w:r>
      <w:r w:rsidR="00BE556E">
        <w:t xml:space="preserve"> application</w:t>
      </w:r>
      <w:r>
        <w:t xml:space="preserve"> appears to be in standard characters but does not include a standard character claim, and an Office action is otherwise necessary, </w:t>
      </w:r>
      <w:r>
        <w:rPr>
          <w:lang w:val="en"/>
        </w:rPr>
        <w:t>the</w:t>
      </w:r>
      <w:r w:rsidRPr="00BD297D">
        <w:rPr>
          <w:lang w:val="en"/>
        </w:rPr>
        <w:t xml:space="preserve"> examining attorney </w:t>
      </w:r>
      <w:r w:rsidR="002D6B3E">
        <w:rPr>
          <w:lang w:val="en"/>
        </w:rPr>
        <w:t>may</w:t>
      </w:r>
      <w:r w:rsidR="002D6B3E" w:rsidRPr="00BD297D">
        <w:rPr>
          <w:lang w:val="en"/>
        </w:rPr>
        <w:t xml:space="preserve"> </w:t>
      </w:r>
      <w:r w:rsidRPr="00BD297D">
        <w:rPr>
          <w:lang w:val="en"/>
        </w:rPr>
        <w:t>provide an advisory to</w:t>
      </w:r>
      <w:r w:rsidRPr="00BD297D">
        <w:t xml:space="preserve"> the </w:t>
      </w:r>
      <w:r w:rsidRPr="00BD297D">
        <w:rPr>
          <w:lang w:val="en"/>
        </w:rPr>
        <w:t>§66(a) applicant that the drawing of the mark meets the requirements for a standard character drawing under 37 C.F.R. §2.52(a), but there is no standard character clai</w:t>
      </w:r>
      <w:r>
        <w:rPr>
          <w:lang w:val="en"/>
        </w:rPr>
        <w:t>m in the U.S. application.  The</w:t>
      </w:r>
      <w:r w:rsidRPr="00BD297D">
        <w:rPr>
          <w:lang w:val="en"/>
        </w:rPr>
        <w:t xml:space="preserve"> advisory should include an explanation that a standard character claim may be added to the U.S. application if, under the laws of the country of the basic application and/or registration, the basic application and/or registration includes the legal equivalent of a standard character claim</w:t>
      </w:r>
      <w:r w:rsidRPr="00BD297D">
        <w:t xml:space="preserve">. </w:t>
      </w:r>
    </w:p>
    <w:p w14:paraId="2CB98C18" w14:textId="77777777" w:rsidR="007F7718" w:rsidRDefault="007F7718" w:rsidP="007F7718"/>
    <w:p w14:paraId="4BD1D0E2" w14:textId="77777777" w:rsidR="007F7718" w:rsidRDefault="007F7718" w:rsidP="007F7718">
      <w:r>
        <w:rPr>
          <w:b/>
          <w:i/>
        </w:rPr>
        <w:t>Single Application May Seek Registration of Only One Mark</w:t>
      </w:r>
      <w:r>
        <w:t xml:space="preserve"> (TMEP §1214.01)</w:t>
      </w:r>
    </w:p>
    <w:p w14:paraId="0BCD35A0" w14:textId="77777777" w:rsidR="007F7718" w:rsidRDefault="007F7718" w:rsidP="007F7718"/>
    <w:p w14:paraId="181AC615" w14:textId="3E4B517B" w:rsidR="001109D0" w:rsidRPr="00BE556E" w:rsidRDefault="007F7718" w:rsidP="007F7718">
      <w:pPr>
        <w:pStyle w:val="ListParagraph"/>
        <w:numPr>
          <w:ilvl w:val="0"/>
          <w:numId w:val="44"/>
        </w:numPr>
      </w:pPr>
      <w:r w:rsidRPr="007F7718">
        <w:rPr>
          <w:lang w:val="en"/>
        </w:rPr>
        <w:t>If an application seeks registration of a mark with a significant changeable or “phantom” element, the examining attorney must consider whether the element encompasses so many potential combinations that the mark drawing would not give adequate constructive notice to third parties as to the nature of the mark and</w:t>
      </w:r>
      <w:r w:rsidR="007C2A0C">
        <w:rPr>
          <w:lang w:val="en"/>
        </w:rPr>
        <w:t xml:space="preserve"> </w:t>
      </w:r>
      <w:r w:rsidRPr="007F7718">
        <w:rPr>
          <w:lang w:val="en"/>
        </w:rPr>
        <w:t>a thorough and effective search for conflicting marks is not possible.  If so, the examining attorney must refuse registration under §§1 and 45 of the Trademark Act, 15 U.S.C. §§1051 and 1127, on the ground that the application seeks registration of more than one mark.</w:t>
      </w:r>
    </w:p>
    <w:p w14:paraId="07A3588B" w14:textId="77777777" w:rsidR="00BE556E" w:rsidRPr="007F7718" w:rsidRDefault="00BE556E" w:rsidP="00BE556E">
      <w:pPr>
        <w:pStyle w:val="ListParagraph"/>
        <w:ind w:left="795"/>
      </w:pPr>
    </w:p>
    <w:p w14:paraId="64D5C815" w14:textId="34B9FC6D" w:rsidR="007F7718" w:rsidRPr="007F7718" w:rsidRDefault="007F7718" w:rsidP="007F7718">
      <w:pPr>
        <w:pStyle w:val="ListParagraph"/>
        <w:numPr>
          <w:ilvl w:val="0"/>
          <w:numId w:val="44"/>
        </w:numPr>
        <w:rPr>
          <w:lang w:val="en"/>
        </w:rPr>
      </w:pPr>
      <w:r w:rsidRPr="007F7718">
        <w:rPr>
          <w:lang w:val="en"/>
        </w:rPr>
        <w:t>On the other hand, a mark with a changeable element may be registrable if the element is limited in terms of the number of possible variations, such that the mark drawing provides adequate notice as to the nature of the mark and an effective §2(d) search is possible.</w:t>
      </w:r>
      <w:r w:rsidRPr="007F7718">
        <w:rPr>
          <w:rFonts w:ascii="Arial" w:eastAsiaTheme="minorHAnsi" w:hAnsi="Arial" w:cs="Arial"/>
          <w:color w:val="333333"/>
          <w:sz w:val="24"/>
          <w:szCs w:val="24"/>
          <w:lang w:val="en"/>
        </w:rPr>
        <w:t xml:space="preserve"> </w:t>
      </w:r>
      <w:r w:rsidRPr="007F7718">
        <w:rPr>
          <w:lang w:val="en"/>
        </w:rPr>
        <w:t>For example, a “phantom mark” refusal would not be n</w:t>
      </w:r>
      <w:r>
        <w:rPr>
          <w:lang w:val="en"/>
        </w:rPr>
        <w:t xml:space="preserve">ecessary for the </w:t>
      </w:r>
      <w:r w:rsidRPr="007F7718">
        <w:rPr>
          <w:lang w:val="en"/>
        </w:rPr>
        <w:t>mark</w:t>
      </w:r>
      <w:r>
        <w:rPr>
          <w:lang w:val="en"/>
        </w:rPr>
        <w:t xml:space="preserve"> </w:t>
      </w:r>
      <w:r w:rsidRPr="007F7718">
        <w:rPr>
          <w:lang w:val="en"/>
        </w:rPr>
        <w:t xml:space="preserve">T.MARKEY TRADEMARK EXHIBITION 2***, in which the asterisks represent elements that change to indicate different years.    </w:t>
      </w:r>
    </w:p>
    <w:p w14:paraId="562DC95A" w14:textId="77777777" w:rsidR="002D6FD4" w:rsidRDefault="002D6FD4" w:rsidP="002D6FD4">
      <w:r w:rsidRPr="008A23D1">
        <w:t>_____________________________________________________________</w:t>
      </w:r>
    </w:p>
    <w:p w14:paraId="3592649A" w14:textId="77777777" w:rsidR="002D6FD4" w:rsidRDefault="002D6FD4" w:rsidP="002D6FD4"/>
    <w:p w14:paraId="48AE70EB" w14:textId="77777777" w:rsidR="00B02E24" w:rsidRPr="00905F49" w:rsidRDefault="00942988" w:rsidP="00B02E24">
      <w:pPr>
        <w:pStyle w:val="Heading1"/>
      </w:pPr>
      <w:r>
        <w:t>DATES OF USE</w:t>
      </w:r>
    </w:p>
    <w:p w14:paraId="672ED24B" w14:textId="77777777" w:rsidR="00B02E24" w:rsidRDefault="00B02E24" w:rsidP="00B02E24">
      <w:pPr>
        <w:rPr>
          <w:b/>
          <w:highlight w:val="lightGray"/>
        </w:rPr>
      </w:pPr>
    </w:p>
    <w:p w14:paraId="0A4668CE" w14:textId="77777777" w:rsidR="00B02E24" w:rsidRPr="003C5ECE" w:rsidRDefault="00942988" w:rsidP="00B02E24">
      <w:r>
        <w:rPr>
          <w:rStyle w:val="Heading2Char"/>
        </w:rPr>
        <w:t xml:space="preserve">Dates of Use May Not Be After Signature Date </w:t>
      </w:r>
      <w:r w:rsidR="00B02E24" w:rsidRPr="003C5ECE">
        <w:t>(TMEP §</w:t>
      </w:r>
      <w:r>
        <w:t xml:space="preserve">§903.04, 903.06(a), </w:t>
      </w:r>
      <w:r w:rsidR="007A02E2">
        <w:t>1104.10(b</w:t>
      </w:r>
      <w:proofErr w:type="gramStart"/>
      <w:r w:rsidR="007A02E2">
        <w:t>)(</w:t>
      </w:r>
      <w:proofErr w:type="gramEnd"/>
      <w:r w:rsidR="007A02E2">
        <w:t xml:space="preserve">iv), </w:t>
      </w:r>
      <w:r>
        <w:t>1109.09(a)</w:t>
      </w:r>
      <w:r w:rsidR="00B02E24" w:rsidRPr="003C5ECE">
        <w:t>)</w:t>
      </w:r>
    </w:p>
    <w:p w14:paraId="4A2F6D58" w14:textId="77777777" w:rsidR="00B02E24" w:rsidRPr="00905F49" w:rsidRDefault="00B02E24" w:rsidP="00B02E24">
      <w:pPr>
        <w:rPr>
          <w:b/>
          <w:i/>
          <w:highlight w:val="lightGray"/>
        </w:rPr>
      </w:pPr>
    </w:p>
    <w:p w14:paraId="18829FE3" w14:textId="77777777" w:rsidR="00942988" w:rsidRPr="00942988" w:rsidRDefault="00942988" w:rsidP="00942988">
      <w:pPr>
        <w:pStyle w:val="ListParagraph"/>
        <w:numPr>
          <w:ilvl w:val="0"/>
          <w:numId w:val="32"/>
        </w:numPr>
      </w:pPr>
      <w:r w:rsidRPr="00942988">
        <w:rPr>
          <w:lang w:val="en"/>
        </w:rPr>
        <w:t>Because a §1(a)-based application</w:t>
      </w:r>
      <w:r w:rsidRPr="00942988">
        <w:rPr>
          <w:i/>
          <w:lang w:val="en"/>
        </w:rPr>
        <w:t xml:space="preserve"> </w:t>
      </w:r>
      <w:r w:rsidRPr="00942988">
        <w:rPr>
          <w:lang w:val="en"/>
        </w:rPr>
        <w:t xml:space="preserve">must properly allege </w:t>
      </w:r>
      <w:r w:rsidRPr="00942988">
        <w:rPr>
          <w:i/>
          <w:lang w:val="en"/>
        </w:rPr>
        <w:t>current</w:t>
      </w:r>
      <w:r w:rsidRPr="00942988">
        <w:rPr>
          <w:lang w:val="en"/>
        </w:rPr>
        <w:t xml:space="preserve"> use of the mark, an applicant must attest to dates of use in the application that are on or before the date the application was signed; an applicant may not allege use that has not yet occurred.  </w:t>
      </w:r>
    </w:p>
    <w:p w14:paraId="20887E07" w14:textId="77777777" w:rsidR="00BE556E" w:rsidRPr="00BE556E" w:rsidRDefault="00BE556E" w:rsidP="00BE556E">
      <w:pPr>
        <w:pStyle w:val="ListParagraph"/>
      </w:pPr>
    </w:p>
    <w:p w14:paraId="663C95EA" w14:textId="77777777" w:rsidR="00942988" w:rsidRPr="00942988" w:rsidRDefault="00942988" w:rsidP="00942988">
      <w:pPr>
        <w:pStyle w:val="ListParagraph"/>
        <w:numPr>
          <w:ilvl w:val="0"/>
          <w:numId w:val="32"/>
        </w:numPr>
      </w:pPr>
      <w:r w:rsidRPr="00942988">
        <w:rPr>
          <w:lang w:val="en"/>
        </w:rPr>
        <w:t>Likewise, the dates of use specified in an allegation of use under §1(c) or §1(d) must be on or before the date the alleg</w:t>
      </w:r>
      <w:r>
        <w:rPr>
          <w:lang w:val="en"/>
        </w:rPr>
        <w:t>ation of use was signed.</w:t>
      </w:r>
    </w:p>
    <w:p w14:paraId="3D5012AA" w14:textId="77777777" w:rsidR="00B02E24" w:rsidRDefault="00B02E24" w:rsidP="00942988">
      <w:r>
        <w:t>_____________________________________________________________</w:t>
      </w:r>
    </w:p>
    <w:p w14:paraId="43E8E9BC" w14:textId="77777777" w:rsidR="00B02E24" w:rsidRDefault="00B02E24" w:rsidP="00B02E24">
      <w:pPr>
        <w:pStyle w:val="Heading1"/>
      </w:pPr>
    </w:p>
    <w:p w14:paraId="083BB49E" w14:textId="2ADAB0C1" w:rsidR="002A2353" w:rsidRDefault="002A2353" w:rsidP="00B02E24">
      <w:pPr>
        <w:pStyle w:val="Heading1"/>
      </w:pPr>
      <w:r>
        <w:t>IDENTIFICATION OF GOODS/SERVICES</w:t>
      </w:r>
    </w:p>
    <w:p w14:paraId="659817A0" w14:textId="77777777" w:rsidR="002A2353" w:rsidRDefault="002A2353" w:rsidP="002A2353"/>
    <w:p w14:paraId="75508A21" w14:textId="7ED88B14" w:rsidR="00873401" w:rsidRDefault="00873401" w:rsidP="002A2353">
      <w:r>
        <w:rPr>
          <w:b/>
          <w:i/>
        </w:rPr>
        <w:t xml:space="preserve">House Mark </w:t>
      </w:r>
      <w:r>
        <w:t>(TMEP §1402.03(b))</w:t>
      </w:r>
    </w:p>
    <w:p w14:paraId="13EAC8B9" w14:textId="77777777" w:rsidR="00874ECB" w:rsidRDefault="00874ECB" w:rsidP="00874ECB">
      <w:pPr>
        <w:pStyle w:val="ListParagraph"/>
      </w:pPr>
    </w:p>
    <w:p w14:paraId="75A5B723" w14:textId="00E11E23" w:rsidR="00F653B4" w:rsidRDefault="00F653B4" w:rsidP="00F653B4">
      <w:pPr>
        <w:pStyle w:val="ListParagraph"/>
        <w:numPr>
          <w:ilvl w:val="0"/>
          <w:numId w:val="46"/>
        </w:numPr>
      </w:pPr>
      <w:r w:rsidRPr="00F653B4">
        <w:t xml:space="preserve">The USPTO will register a mark as a house mark only when evidence shows sufficient use as a house mark.  Therefore, if an applicant seeks to register a house mark in an application under any basis, including §44 or §66(a) of the Trademark Act, the examining attorney must require evidence that the mark is in fact used as a house mark.  This is not a requirement for specimens, but rather a requirement that applicant provide evidence to substantiate the claim of use as a house mark.  37 C.F.R. §2.61(b).  If the applicant cannot do so, the identification of goods must be amended to remove the indication “a </w:t>
      </w:r>
      <w:r w:rsidRPr="00F653B4">
        <w:lastRenderedPageBreak/>
        <w:t>house mark for” and the remaining wording must comply with the requirements for sufficient specificity as to such goods.</w:t>
      </w:r>
    </w:p>
    <w:p w14:paraId="6758D163" w14:textId="77777777" w:rsidR="00F653B4" w:rsidRDefault="00F653B4" w:rsidP="00F653B4">
      <w:pPr>
        <w:pStyle w:val="ListParagraph"/>
      </w:pPr>
    </w:p>
    <w:p w14:paraId="59627552" w14:textId="723562AB" w:rsidR="00F653B4" w:rsidRPr="00F653B4" w:rsidRDefault="00F653B4" w:rsidP="00F653B4">
      <w:pPr>
        <w:pStyle w:val="ListParagraph"/>
        <w:numPr>
          <w:ilvl w:val="0"/>
          <w:numId w:val="46"/>
        </w:numPr>
      </w:pPr>
      <w:r w:rsidRPr="00F653B4">
        <w:t>If an applicant further indicates that its “house mark” is to be used “for a full line” of products, the examining attorney must review both the nature of use of the mark as a house mark as well as the acceptability of the claim of “a full line” by considering the specimens or other evidence of record.  If the record does not support use of the “house mark” on a sufficient number or variety of products in its line, the examining attorney may require applicant to provide evidence in support of a “full line” or amend the identification to identify the goods with the requisite specificity.</w:t>
      </w:r>
    </w:p>
    <w:p w14:paraId="574DD006" w14:textId="77777777" w:rsidR="00F653B4" w:rsidRDefault="00F653B4" w:rsidP="002A2353">
      <w:pPr>
        <w:rPr>
          <w:b/>
          <w:i/>
        </w:rPr>
      </w:pPr>
    </w:p>
    <w:p w14:paraId="28B643F6" w14:textId="041BCE2D" w:rsidR="002A2353" w:rsidRDefault="002A2353" w:rsidP="002A2353">
      <w:r>
        <w:rPr>
          <w:b/>
          <w:i/>
        </w:rPr>
        <w:t xml:space="preserve">Identifying Computer Software </w:t>
      </w:r>
      <w:r>
        <w:t>(TMEP §1402.03(d))</w:t>
      </w:r>
    </w:p>
    <w:p w14:paraId="48434BEF" w14:textId="77777777" w:rsidR="002A2353" w:rsidRDefault="002A2353" w:rsidP="002A2353"/>
    <w:p w14:paraId="58C4F188" w14:textId="3BB4B770" w:rsidR="002A2353" w:rsidRDefault="002A2353" w:rsidP="002A2353">
      <w:pPr>
        <w:pStyle w:val="ListParagraph"/>
        <w:numPr>
          <w:ilvl w:val="0"/>
          <w:numId w:val="45"/>
        </w:numPr>
      </w:pPr>
      <w:r w:rsidRPr="002A2353">
        <w:t xml:space="preserve">Generally, an identification for “computer software” will be acceptable as long as both the function/purpose and the field of use are set forth.  However, specifying the field of use is not required when the identified software has a clear function and is not field-specific/content-specific.  </w:t>
      </w:r>
    </w:p>
    <w:p w14:paraId="13743093" w14:textId="77777777" w:rsidR="002A2353" w:rsidRDefault="002A2353" w:rsidP="002A2353"/>
    <w:p w14:paraId="5DF11F29" w14:textId="626C878E" w:rsidR="002A2353" w:rsidRDefault="002A2353" w:rsidP="002A2353">
      <w:r>
        <w:rPr>
          <w:b/>
          <w:i/>
        </w:rPr>
        <w:t xml:space="preserve">Requirement for Amendment of Portion of Identification of Goods/Services </w:t>
      </w:r>
      <w:r>
        <w:t>(TMEP §1402.13)</w:t>
      </w:r>
    </w:p>
    <w:p w14:paraId="32F454F8" w14:textId="77777777" w:rsidR="002A2353" w:rsidRDefault="002A2353" w:rsidP="002A2353"/>
    <w:p w14:paraId="758CB5A9" w14:textId="1B10C692" w:rsidR="002A2353" w:rsidRDefault="002A2353" w:rsidP="00F653B4">
      <w:pPr>
        <w:pStyle w:val="ListParagraph"/>
        <w:numPr>
          <w:ilvl w:val="0"/>
          <w:numId w:val="45"/>
        </w:numPr>
      </w:pPr>
      <w:r>
        <w:t>W</w:t>
      </w:r>
      <w:r w:rsidRPr="002A2353">
        <w:t>hen the identification of goods/services includes some terminology that is indefinite and some terminology that is acceptable, the examining attorney should specify which terminology is indefinite, suggest amended language if possible, and indicate that the rest of the identification is acceptable.  If the examining attorney has not expressly limited the requirement to the particular indefinite wording, and it is appropriate to do so, the applicant may request</w:t>
      </w:r>
      <w:r w:rsidR="00F653B4">
        <w:t>,</w:t>
      </w:r>
      <w:r w:rsidR="00F653B4" w:rsidRPr="00F653B4">
        <w:t xml:space="preserve"> in a request for reconsideration, filed after a final Office action or with a notice of appeal,</w:t>
      </w:r>
      <w:r w:rsidRPr="002A2353">
        <w:t xml:space="preserve"> that the requirement be limited accordingly.</w:t>
      </w:r>
    </w:p>
    <w:p w14:paraId="041E6965" w14:textId="77777777" w:rsidR="00B02E24" w:rsidRDefault="00B02E24" w:rsidP="00B02E24">
      <w:r w:rsidRPr="00A577B6">
        <w:t>_____________________________________________________________</w:t>
      </w:r>
    </w:p>
    <w:p w14:paraId="1DBDF52D" w14:textId="77777777" w:rsidR="00A135BD" w:rsidRDefault="00A135BD" w:rsidP="00CF7B43"/>
    <w:p w14:paraId="106E9854" w14:textId="77777777" w:rsidR="007C2A0C" w:rsidRDefault="007C2A0C" w:rsidP="007C2A0C">
      <w:pPr>
        <w:pStyle w:val="Heading1"/>
      </w:pPr>
      <w:r>
        <w:t>SIGNATURES</w:t>
      </w:r>
    </w:p>
    <w:p w14:paraId="7DD699E4" w14:textId="77777777" w:rsidR="007C2A0C" w:rsidRPr="002C13AB" w:rsidRDefault="007C2A0C" w:rsidP="007C2A0C"/>
    <w:p w14:paraId="2CDAB5B1" w14:textId="77777777" w:rsidR="007C2A0C" w:rsidRPr="002C13AB" w:rsidRDefault="007C2A0C" w:rsidP="007C2A0C">
      <w:pPr>
        <w:pStyle w:val="Heading2"/>
        <w:rPr>
          <w:b w:val="0"/>
          <w:i w:val="0"/>
        </w:rPr>
      </w:pPr>
      <w:r>
        <w:t xml:space="preserve">Signature by Limited Liability Company </w:t>
      </w:r>
      <w:r>
        <w:rPr>
          <w:b w:val="0"/>
          <w:i w:val="0"/>
        </w:rPr>
        <w:t>(TMEP §611.06(g))</w:t>
      </w:r>
    </w:p>
    <w:p w14:paraId="5D791680" w14:textId="77777777" w:rsidR="007C2A0C" w:rsidRDefault="007C2A0C" w:rsidP="007C2A0C"/>
    <w:p w14:paraId="0961061E" w14:textId="77777777" w:rsidR="007C2A0C" w:rsidRPr="004516EB" w:rsidRDefault="007C2A0C" w:rsidP="007C2A0C">
      <w:pPr>
        <w:pStyle w:val="ListParagraph"/>
        <w:numPr>
          <w:ilvl w:val="0"/>
          <w:numId w:val="32"/>
        </w:numPr>
      </w:pPr>
      <w:r w:rsidRPr="004516EB">
        <w:rPr>
          <w:rFonts w:cs="Arial"/>
          <w:color w:val="333333"/>
          <w:lang w:val="en"/>
        </w:rPr>
        <w:t xml:space="preserve">Generally, a signatory identified as “manager,” “member,” “principal,” or “owner” may be presumed to have the authority to sign on behalf of a domestic or foreign limited liability company.  </w:t>
      </w:r>
    </w:p>
    <w:p w14:paraId="3E4D4F50" w14:textId="59F6D157" w:rsidR="007C2A0C" w:rsidRDefault="007C2A0C" w:rsidP="007C2A0C">
      <w:r>
        <w:t>_____________________________________________________________</w:t>
      </w:r>
    </w:p>
    <w:p w14:paraId="73E2A83F" w14:textId="77777777" w:rsidR="00994F1C" w:rsidRDefault="00994F1C" w:rsidP="002C36D0"/>
    <w:p w14:paraId="441324FE" w14:textId="35E3DB43" w:rsidR="00B06EF6" w:rsidRDefault="00B06EF6" w:rsidP="002C36D0">
      <w:pPr>
        <w:rPr>
          <w:b/>
        </w:rPr>
      </w:pPr>
      <w:r>
        <w:rPr>
          <w:b/>
        </w:rPr>
        <w:t>ELIGIBLE APPLICANTS UNDER §44(d)</w:t>
      </w:r>
    </w:p>
    <w:p w14:paraId="2D7F0E99" w14:textId="77777777" w:rsidR="00B06EF6" w:rsidRDefault="00B06EF6" w:rsidP="002C36D0">
      <w:pPr>
        <w:rPr>
          <w:b/>
        </w:rPr>
      </w:pPr>
    </w:p>
    <w:p w14:paraId="7E5FD3C0" w14:textId="2EEFE1E0" w:rsidR="00B06EF6" w:rsidRPr="00B06EF6" w:rsidRDefault="00B06EF6" w:rsidP="002C36D0">
      <w:r w:rsidRPr="00B06EF6">
        <w:rPr>
          <w:b/>
          <w:i/>
        </w:rPr>
        <w:t>Establishing Country of Origin</w:t>
      </w:r>
      <w:r>
        <w:rPr>
          <w:b/>
          <w:i/>
        </w:rPr>
        <w:t xml:space="preserve"> </w:t>
      </w:r>
      <w:r>
        <w:t>(TMEP §1002.04)</w:t>
      </w:r>
    </w:p>
    <w:p w14:paraId="015F6B64" w14:textId="77777777" w:rsidR="00B06EF6" w:rsidRDefault="00B06EF6" w:rsidP="002C36D0">
      <w:pPr>
        <w:rPr>
          <w:b/>
        </w:rPr>
      </w:pPr>
    </w:p>
    <w:p w14:paraId="3D4B7A97" w14:textId="190FFB56" w:rsidR="00B06EF6" w:rsidRPr="00B06EF6" w:rsidRDefault="00B06EF6" w:rsidP="00B06EF6">
      <w:pPr>
        <w:pStyle w:val="ListParagraph"/>
        <w:numPr>
          <w:ilvl w:val="0"/>
          <w:numId w:val="32"/>
        </w:numPr>
      </w:pPr>
      <w:r>
        <w:lastRenderedPageBreak/>
        <w:t>A</w:t>
      </w:r>
      <w:r w:rsidRPr="00B06EF6">
        <w:t>n applicant for registration in the United States who is the assignee of a foreign registration, but cannot establish that the country</w:t>
      </w:r>
      <w:r>
        <w:t xml:space="preserve"> which issued the registration </w:t>
      </w:r>
      <w:r w:rsidRPr="00B06EF6">
        <w:t xml:space="preserve">was its country of origin as of the date of the conveyance or is its country of origin as of the date of the filing of the U.S. application, may still claim the benefit of registration under §44(e).  In such a case, the requirement that the “applicant” be the owner of a valid registration from </w:t>
      </w:r>
      <w:bookmarkStart w:id="0" w:name="_GoBack"/>
      <w:bookmarkEnd w:id="0"/>
      <w:r w:rsidRPr="00B06EF6">
        <w:t>its country of origin was perfected by applicant’s predecessor in interest.  However, under such circumstances, the applicant must establish that it is otherwise entitled to the benefits of Section 44(b), i.e., the applicant’s country of origin must be a party to a treaty or agreement with the United States that provides for registration based on ownership of a foreign registration or must extend reciprocal registration rights to nationals of the United States.</w:t>
      </w:r>
    </w:p>
    <w:p w14:paraId="59DF619D" w14:textId="20A5DF5B" w:rsidR="00B06EF6" w:rsidRPr="00B06EF6" w:rsidRDefault="00B06EF6" w:rsidP="00B06EF6">
      <w:r w:rsidRPr="00B06EF6">
        <w:t>_______________________________________________________</w:t>
      </w:r>
      <w:r>
        <w:t>______</w:t>
      </w:r>
    </w:p>
    <w:p w14:paraId="3CCAC272" w14:textId="77777777" w:rsidR="00B06EF6" w:rsidRDefault="00B06EF6" w:rsidP="002C36D0">
      <w:pPr>
        <w:rPr>
          <w:b/>
        </w:rPr>
      </w:pPr>
    </w:p>
    <w:p w14:paraId="0BE8BC0C" w14:textId="099E6237" w:rsidR="002A2353" w:rsidRDefault="002A2353" w:rsidP="002C36D0">
      <w:pPr>
        <w:rPr>
          <w:b/>
        </w:rPr>
      </w:pPr>
      <w:r>
        <w:rPr>
          <w:b/>
        </w:rPr>
        <w:t>TRANSFORMED APPLICATIONS</w:t>
      </w:r>
    </w:p>
    <w:p w14:paraId="7A82DE7D" w14:textId="77777777" w:rsidR="002A2353" w:rsidRDefault="002A2353" w:rsidP="002C36D0">
      <w:pPr>
        <w:rPr>
          <w:b/>
        </w:rPr>
      </w:pPr>
    </w:p>
    <w:p w14:paraId="1C2A94C0" w14:textId="1D8E7B79" w:rsidR="002A2353" w:rsidRDefault="002A2353" w:rsidP="002C36D0">
      <w:r>
        <w:rPr>
          <w:b/>
          <w:i/>
        </w:rPr>
        <w:t xml:space="preserve">Examination of Transformed Application </w:t>
      </w:r>
      <w:r>
        <w:t>(TMEP §1904.09(b))</w:t>
      </w:r>
    </w:p>
    <w:p w14:paraId="4B1FC9D3" w14:textId="77777777" w:rsidR="002A2353" w:rsidRDefault="002A2353" w:rsidP="002C36D0"/>
    <w:p w14:paraId="7E237FEF" w14:textId="0EDF4BE3" w:rsidR="002A2353" w:rsidRDefault="002A2353" w:rsidP="00D839E9">
      <w:pPr>
        <w:pStyle w:val="ListParagraph"/>
        <w:numPr>
          <w:ilvl w:val="0"/>
          <w:numId w:val="32"/>
        </w:numPr>
      </w:pPr>
      <w:r w:rsidRPr="002A2353">
        <w:t xml:space="preserve">When a cancelled extension of protection is transformed into a new application under §1 or §44, the examining attorney must conduct a new search to determine whether any later-filed applications for conflicting marks were approved for publication or registration and place the search strategy in the record.  </w:t>
      </w:r>
      <w:r w:rsidR="00D839E9" w:rsidRPr="00D839E9">
        <w:t>If a later-filed application has been approved, the examining attorney should inform the examining attorney who approved the later-filed application of the transformed application, so that appropriate action may be taken.  If the later-filed application has been published, the examining attorney handling that application should request jurisdiction and suspend the application pending disposition of the transformed application.  If a later-filed application for a conflicting mark has matured into registration, the examining attorney must refuse registration of the transformed application under §2(d), even though the application for the registered mark was filed after the transformed application.</w:t>
      </w:r>
    </w:p>
    <w:p w14:paraId="45365F5A" w14:textId="77777777" w:rsidR="00D839E9" w:rsidRDefault="00D839E9" w:rsidP="00D839E9">
      <w:r>
        <w:t>_____________________________________________________________</w:t>
      </w:r>
    </w:p>
    <w:p w14:paraId="51F4D9FC" w14:textId="77777777" w:rsidR="00D839E9" w:rsidRDefault="00D839E9" w:rsidP="00D839E9"/>
    <w:p w14:paraId="6BE58C51" w14:textId="03723E30" w:rsidR="00D839E9" w:rsidRDefault="00D839E9" w:rsidP="00D839E9">
      <w:pPr>
        <w:rPr>
          <w:b/>
        </w:rPr>
      </w:pPr>
      <w:r w:rsidRPr="00D839E9">
        <w:rPr>
          <w:b/>
        </w:rPr>
        <w:t>LETTERS OF PROTEST</w:t>
      </w:r>
      <w:r w:rsidR="00DE758E">
        <w:rPr>
          <w:b/>
        </w:rPr>
        <w:t xml:space="preserve"> </w:t>
      </w:r>
    </w:p>
    <w:p w14:paraId="17498E01" w14:textId="77777777" w:rsidR="008916C8" w:rsidRDefault="008916C8" w:rsidP="00D839E9">
      <w:pPr>
        <w:rPr>
          <w:b/>
        </w:rPr>
      </w:pPr>
    </w:p>
    <w:p w14:paraId="196F8078" w14:textId="7FAD1FCB" w:rsidR="00DE758E" w:rsidRPr="00DE758E" w:rsidRDefault="00DE758E" w:rsidP="00D839E9">
      <w:pPr>
        <w:rPr>
          <w:lang w:val="en"/>
        </w:rPr>
      </w:pPr>
      <w:r w:rsidRPr="00DE758E">
        <w:rPr>
          <w:b/>
          <w:i/>
          <w:lang w:val="en"/>
        </w:rPr>
        <w:t>Types of Evidence Appropriate for Letter of Protest</w:t>
      </w:r>
      <w:r>
        <w:rPr>
          <w:b/>
          <w:i/>
          <w:lang w:val="en"/>
        </w:rPr>
        <w:t xml:space="preserve"> </w:t>
      </w:r>
      <w:r w:rsidRPr="00DE758E">
        <w:t>(TMEP §1715.04</w:t>
      </w:r>
      <w:r>
        <w:t>(a)</w:t>
      </w:r>
      <w:r w:rsidRPr="00DE758E">
        <w:t>)</w:t>
      </w:r>
    </w:p>
    <w:p w14:paraId="42E06C77" w14:textId="77777777" w:rsidR="00DE758E" w:rsidRDefault="00DE758E" w:rsidP="00D839E9">
      <w:pPr>
        <w:rPr>
          <w:b/>
        </w:rPr>
      </w:pPr>
    </w:p>
    <w:p w14:paraId="65A04CF7" w14:textId="32682CEA" w:rsidR="00DE758E" w:rsidRDefault="00DE758E" w:rsidP="00DE758E">
      <w:pPr>
        <w:pStyle w:val="ListParagraph"/>
        <w:numPr>
          <w:ilvl w:val="0"/>
          <w:numId w:val="32"/>
        </w:numPr>
      </w:pPr>
      <w:r>
        <w:t>T</w:t>
      </w:r>
      <w:r w:rsidRPr="00DE758E">
        <w:t xml:space="preserve">hird-party registrations not based on use in commerce have little, if any, persuasive value and generally will not be forwarded to the examining attorney for consideration of the relatedness of the goods and services.  In addition, </w:t>
      </w:r>
      <w:r w:rsidR="008916C8">
        <w:rPr>
          <w:lang w:val="en"/>
        </w:rPr>
        <w:t xml:space="preserve">where a protestor wants to establish that its goods or services are related to those in the application(s) for which it is submitting the letter of protest, such evidence must pertain to the goods or services identified in the application.  </w:t>
      </w:r>
      <w:r w:rsidR="008916C8">
        <w:t>E</w:t>
      </w:r>
      <w:r w:rsidRPr="00DE758E">
        <w:t xml:space="preserve">vidence regarding how </w:t>
      </w:r>
      <w:r w:rsidRPr="00DE758E">
        <w:lastRenderedPageBreak/>
        <w:t xml:space="preserve">the protestor is using its mark for goods or services not identified in the registration or prior-pending application that form the basis for the letter of protest, or information regarding how the applicant </w:t>
      </w:r>
      <w:r w:rsidR="008916C8">
        <w:t xml:space="preserve">is using or </w:t>
      </w:r>
      <w:r w:rsidRPr="00DE758E">
        <w:t>may use its mark in commerce in the future</w:t>
      </w:r>
      <w:r w:rsidR="008916C8">
        <w:t xml:space="preserve"> that varies from the scope of the identification in the application</w:t>
      </w:r>
      <w:r w:rsidRPr="00DE758E">
        <w:t>, is</w:t>
      </w:r>
      <w:r w:rsidR="008916C8">
        <w:t xml:space="preserve"> inappropriate and will</w:t>
      </w:r>
      <w:r w:rsidRPr="00DE758E">
        <w:t xml:space="preserve"> not be forwarded to the examining attorney.</w:t>
      </w:r>
    </w:p>
    <w:p w14:paraId="2FA9BC23" w14:textId="77777777" w:rsidR="00DE758E" w:rsidRDefault="00DE758E" w:rsidP="00DE758E"/>
    <w:p w14:paraId="2073EC12" w14:textId="6D8BA3F0" w:rsidR="00DE758E" w:rsidRPr="00DE758E" w:rsidRDefault="00DE758E" w:rsidP="00DE758E">
      <w:r w:rsidRPr="00DE758E">
        <w:rPr>
          <w:b/>
          <w:i/>
        </w:rPr>
        <w:t>Amount and Format of Evidence for Letter of Protest</w:t>
      </w:r>
      <w:r>
        <w:t xml:space="preserve"> (TMEP §1715.04(b))</w:t>
      </w:r>
    </w:p>
    <w:p w14:paraId="5BDF0C13" w14:textId="77777777" w:rsidR="00DE758E" w:rsidRDefault="00DE758E" w:rsidP="00DE758E"/>
    <w:p w14:paraId="24986363" w14:textId="42CDD060" w:rsidR="00A13276" w:rsidRDefault="00DE758E" w:rsidP="000464CC">
      <w:pPr>
        <w:pStyle w:val="ListParagraph"/>
        <w:numPr>
          <w:ilvl w:val="0"/>
          <w:numId w:val="32"/>
        </w:numPr>
      </w:pPr>
      <w:r w:rsidRPr="00DE758E">
        <w:t xml:space="preserve">Evidence supporting the proposed legal grounds for refusing registration should be succinct and not duplicative.  </w:t>
      </w:r>
      <w:r w:rsidR="00A13276" w:rsidRPr="00DE758E">
        <w:t>More than fifteen examples generally will be considered duplicative and unnecessary and may result in the letter of protest being denied without further consideration</w:t>
      </w:r>
      <w:r w:rsidR="00A13276">
        <w:t xml:space="preserve"> on the merits</w:t>
      </w:r>
      <w:r w:rsidR="00A13276" w:rsidRPr="00DE758E">
        <w:t>.</w:t>
      </w:r>
    </w:p>
    <w:p w14:paraId="2661C782" w14:textId="77777777" w:rsidR="00A13276" w:rsidRDefault="00A13276" w:rsidP="00994F1C">
      <w:pPr>
        <w:pStyle w:val="ListParagraph"/>
      </w:pPr>
    </w:p>
    <w:p w14:paraId="7B4F5F95" w14:textId="364A11B2" w:rsidR="00DE758E" w:rsidRDefault="00DE758E" w:rsidP="00435942">
      <w:pPr>
        <w:pStyle w:val="ListParagraph"/>
        <w:numPr>
          <w:ilvl w:val="0"/>
          <w:numId w:val="32"/>
        </w:numPr>
      </w:pPr>
      <w:r w:rsidRPr="00DE758E">
        <w:t>It should be a rare situation in which more than 75 pages of evidence is necessary to support the proposed legal grounds for refusal.  If more than 75 pages of evidence is submitted, the letter of protest must explain in detail why that volume of evidence is necessary</w:t>
      </w:r>
      <w:r w:rsidR="00B65B17">
        <w:t xml:space="preserve"> and must be accompanied by a separate itemized index,</w:t>
      </w:r>
      <w:r w:rsidRPr="00DE758E">
        <w:t xml:space="preserve"> or the letter of protest will be denied without further consideration</w:t>
      </w:r>
      <w:r w:rsidR="00B65B17">
        <w:t xml:space="preserve"> on the merits</w:t>
      </w:r>
      <w:r w:rsidRPr="00DE758E">
        <w:t xml:space="preserve">.  </w:t>
      </w:r>
      <w:r w:rsidR="00A13276">
        <w:t>In addition, i</w:t>
      </w:r>
      <w:r w:rsidRPr="00DE758E">
        <w:t xml:space="preserve">f any item of evidence attached to the letter or protest consists of multiple pages, the index must specifically identify the page on which the evidence appears and must highlight the relevant portion of the page.  </w:t>
      </w:r>
    </w:p>
    <w:p w14:paraId="0A62770E" w14:textId="090DB6F3" w:rsidR="00DE758E" w:rsidRDefault="00DE758E" w:rsidP="00DE758E">
      <w:r>
        <w:t>_____________________________________________________________</w:t>
      </w:r>
    </w:p>
    <w:p w14:paraId="2627604F" w14:textId="77777777" w:rsidR="00B06EF6" w:rsidRDefault="00B06EF6" w:rsidP="00DE758E"/>
    <w:p w14:paraId="19355D5E" w14:textId="0494CFA6" w:rsidR="00B06EF6" w:rsidRPr="00B06EF6" w:rsidRDefault="00B06EF6" w:rsidP="00DE758E">
      <w:pPr>
        <w:rPr>
          <w:b/>
        </w:rPr>
      </w:pPr>
      <w:r w:rsidRPr="00B06EF6">
        <w:rPr>
          <w:b/>
        </w:rPr>
        <w:t>MEMBERS OF INTERNATIONAL TRADEMARK AGREEMENTS</w:t>
      </w:r>
    </w:p>
    <w:p w14:paraId="2F4BA8BB" w14:textId="77777777" w:rsidR="00B06EF6" w:rsidRDefault="00B06EF6" w:rsidP="00DE758E"/>
    <w:p w14:paraId="5BEED23E" w14:textId="7404848A" w:rsidR="00B06EF6" w:rsidRDefault="00B06EF6" w:rsidP="00DE758E">
      <w:r w:rsidRPr="00B06EF6">
        <w:rPr>
          <w:b/>
          <w:i/>
        </w:rPr>
        <w:t>European Union Trademark</w:t>
      </w:r>
      <w:r>
        <w:t xml:space="preserve"> (TMEP Appendix B)</w:t>
      </w:r>
    </w:p>
    <w:p w14:paraId="5C974CAE" w14:textId="77777777" w:rsidR="00B06EF6" w:rsidRDefault="00B06EF6" w:rsidP="00DE758E"/>
    <w:p w14:paraId="33658741" w14:textId="33446BBD" w:rsidR="00B06EF6" w:rsidRPr="00DE758E" w:rsidRDefault="00B06EF6" w:rsidP="00B06EF6">
      <w:pPr>
        <w:pStyle w:val="ListParagraph"/>
        <w:numPr>
          <w:ilvl w:val="0"/>
          <w:numId w:val="48"/>
        </w:numPr>
      </w:pPr>
      <w:r w:rsidRPr="00B06EF6">
        <w:t xml:space="preserve">Effective March 23, 2016, OHIM was renamed the European Union Intellectual Property Office (“EUIPO”) and the CTM was renamed the European Union trademark (“EU trademark”), and all existing CTMs and CTM applications automatically became EU trademarks and EU trademark applications.  </w:t>
      </w:r>
    </w:p>
    <w:sectPr w:rsidR="00B06EF6" w:rsidRPr="00DE758E">
      <w:headerReference w:type="even" r:id="rId8"/>
      <w:footerReference w:type="even" r:id="rId9"/>
      <w:foot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E4A26" w14:textId="77777777" w:rsidR="005E38A1" w:rsidRDefault="005E38A1">
      <w:r>
        <w:separator/>
      </w:r>
    </w:p>
    <w:p w14:paraId="3A5F9821" w14:textId="77777777" w:rsidR="005E38A1" w:rsidRDefault="005E38A1"/>
    <w:p w14:paraId="005BFB71" w14:textId="77777777" w:rsidR="005E38A1" w:rsidRDefault="005E38A1" w:rsidP="00801ABB"/>
    <w:p w14:paraId="63C9BC2C" w14:textId="77777777" w:rsidR="005E38A1" w:rsidRDefault="005E38A1" w:rsidP="00801ABB"/>
    <w:p w14:paraId="4D44BE93" w14:textId="77777777" w:rsidR="005E38A1" w:rsidRDefault="005E38A1" w:rsidP="00943EFD"/>
    <w:p w14:paraId="614FE66A" w14:textId="77777777" w:rsidR="005E38A1" w:rsidRDefault="005E38A1" w:rsidP="003355B2"/>
    <w:p w14:paraId="5147689E" w14:textId="77777777" w:rsidR="005E38A1" w:rsidRDefault="005E38A1" w:rsidP="003355B2"/>
    <w:p w14:paraId="3B8555C2" w14:textId="77777777" w:rsidR="005E38A1" w:rsidRDefault="005E38A1" w:rsidP="007F1DC0"/>
    <w:p w14:paraId="0537BD96" w14:textId="77777777" w:rsidR="005E38A1" w:rsidRDefault="005E38A1" w:rsidP="007F1DC0"/>
    <w:p w14:paraId="4670C942" w14:textId="77777777" w:rsidR="005E38A1" w:rsidRDefault="005E38A1" w:rsidP="00151665"/>
  </w:endnote>
  <w:endnote w:type="continuationSeparator" w:id="0">
    <w:p w14:paraId="59D4BB9A" w14:textId="77777777" w:rsidR="005E38A1" w:rsidRDefault="005E38A1">
      <w:r>
        <w:continuationSeparator/>
      </w:r>
    </w:p>
    <w:p w14:paraId="512DD97D" w14:textId="77777777" w:rsidR="005E38A1" w:rsidRDefault="005E38A1"/>
    <w:p w14:paraId="66FD6261" w14:textId="77777777" w:rsidR="005E38A1" w:rsidRDefault="005E38A1" w:rsidP="00801ABB"/>
    <w:p w14:paraId="21B41881" w14:textId="77777777" w:rsidR="005E38A1" w:rsidRDefault="005E38A1" w:rsidP="00801ABB"/>
    <w:p w14:paraId="151CCA9B" w14:textId="77777777" w:rsidR="005E38A1" w:rsidRDefault="005E38A1" w:rsidP="00943EFD"/>
    <w:p w14:paraId="0C956990" w14:textId="77777777" w:rsidR="005E38A1" w:rsidRDefault="005E38A1" w:rsidP="003355B2"/>
    <w:p w14:paraId="5AFF7734" w14:textId="77777777" w:rsidR="005E38A1" w:rsidRDefault="005E38A1" w:rsidP="003355B2"/>
    <w:p w14:paraId="158CE115" w14:textId="77777777" w:rsidR="005E38A1" w:rsidRDefault="005E38A1" w:rsidP="007F1DC0"/>
    <w:p w14:paraId="58A39847" w14:textId="77777777" w:rsidR="005E38A1" w:rsidRDefault="005E38A1" w:rsidP="007F1DC0"/>
    <w:p w14:paraId="1715B7BC" w14:textId="77777777" w:rsidR="005E38A1" w:rsidRDefault="005E38A1" w:rsidP="00151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B6BFB" w14:textId="77777777" w:rsidR="00F57D98" w:rsidRDefault="00F57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7A4696" w14:textId="77777777" w:rsidR="00F57D98" w:rsidRDefault="00F57D98">
    <w:pPr>
      <w:pStyle w:val="Footer"/>
    </w:pPr>
  </w:p>
  <w:p w14:paraId="1CF2D07F" w14:textId="77777777" w:rsidR="00F57D98" w:rsidRDefault="00F57D98"/>
  <w:p w14:paraId="2A35501C" w14:textId="77777777" w:rsidR="00F57D98" w:rsidRDefault="00F57D98" w:rsidP="00801ABB"/>
  <w:p w14:paraId="5A4F0FF2" w14:textId="77777777" w:rsidR="00F57D98" w:rsidRDefault="00F57D98" w:rsidP="00801ABB"/>
  <w:p w14:paraId="2623A596" w14:textId="77777777" w:rsidR="00F57D98" w:rsidRDefault="00F57D98" w:rsidP="00943EFD"/>
  <w:p w14:paraId="409429D5" w14:textId="77777777" w:rsidR="00F57D98" w:rsidRDefault="00F57D98" w:rsidP="003355B2"/>
  <w:p w14:paraId="0F15AF04" w14:textId="77777777" w:rsidR="00F57D98" w:rsidRDefault="00F57D98" w:rsidP="003355B2"/>
  <w:p w14:paraId="4DE7EFBD" w14:textId="77777777" w:rsidR="00F57D98" w:rsidRDefault="00F57D98" w:rsidP="007F1DC0"/>
  <w:p w14:paraId="55E503D8" w14:textId="77777777" w:rsidR="00F57D98" w:rsidRDefault="00F57D98" w:rsidP="007F1DC0"/>
  <w:p w14:paraId="4DD15BAC" w14:textId="77777777" w:rsidR="00F57D98" w:rsidRDefault="00F57D98" w:rsidP="001516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C64DC" w14:textId="77777777" w:rsidR="00F57D98" w:rsidRDefault="00F57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6277">
      <w:rPr>
        <w:rStyle w:val="PageNumber"/>
        <w:noProof/>
      </w:rPr>
      <w:t>6</w:t>
    </w:r>
    <w:r>
      <w:rPr>
        <w:rStyle w:val="PageNumber"/>
      </w:rPr>
      <w:fldChar w:fldCharType="end"/>
    </w:r>
  </w:p>
  <w:p w14:paraId="138631C1" w14:textId="77777777" w:rsidR="00F57D98" w:rsidRPr="005E5DFA" w:rsidRDefault="00F57D98" w:rsidP="00151665">
    <w:pPr>
      <w:rPr>
        <w:szCs w:val="24"/>
      </w:rPr>
    </w:pPr>
    <w:r>
      <w:rPr>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871FB" w14:textId="77777777" w:rsidR="005E38A1" w:rsidRDefault="005E38A1">
      <w:r>
        <w:separator/>
      </w:r>
    </w:p>
    <w:p w14:paraId="150964EE" w14:textId="77777777" w:rsidR="005E38A1" w:rsidRDefault="005E38A1"/>
    <w:p w14:paraId="2471C186" w14:textId="77777777" w:rsidR="005E38A1" w:rsidRDefault="005E38A1" w:rsidP="00801ABB"/>
    <w:p w14:paraId="3B19FAF6" w14:textId="77777777" w:rsidR="005E38A1" w:rsidRDefault="005E38A1" w:rsidP="00801ABB"/>
    <w:p w14:paraId="6EBD7B91" w14:textId="77777777" w:rsidR="005E38A1" w:rsidRDefault="005E38A1" w:rsidP="00943EFD"/>
    <w:p w14:paraId="763A5F76" w14:textId="77777777" w:rsidR="005E38A1" w:rsidRDefault="005E38A1" w:rsidP="003355B2"/>
    <w:p w14:paraId="386D2063" w14:textId="77777777" w:rsidR="005E38A1" w:rsidRDefault="005E38A1" w:rsidP="003355B2"/>
    <w:p w14:paraId="4D804CCE" w14:textId="77777777" w:rsidR="005E38A1" w:rsidRDefault="005E38A1" w:rsidP="007F1DC0"/>
    <w:p w14:paraId="4E0F68AE" w14:textId="77777777" w:rsidR="005E38A1" w:rsidRDefault="005E38A1" w:rsidP="007F1DC0"/>
    <w:p w14:paraId="402FBFFD" w14:textId="77777777" w:rsidR="005E38A1" w:rsidRDefault="005E38A1" w:rsidP="00151665"/>
  </w:footnote>
  <w:footnote w:type="continuationSeparator" w:id="0">
    <w:p w14:paraId="2DCFB11E" w14:textId="77777777" w:rsidR="005E38A1" w:rsidRDefault="005E38A1">
      <w:r>
        <w:continuationSeparator/>
      </w:r>
    </w:p>
    <w:p w14:paraId="13CAAA77" w14:textId="77777777" w:rsidR="005E38A1" w:rsidRDefault="005E38A1"/>
    <w:p w14:paraId="60FA4430" w14:textId="77777777" w:rsidR="005E38A1" w:rsidRDefault="005E38A1" w:rsidP="00801ABB"/>
    <w:p w14:paraId="7C16BEAC" w14:textId="77777777" w:rsidR="005E38A1" w:rsidRDefault="005E38A1" w:rsidP="00801ABB"/>
    <w:p w14:paraId="0F9DD981" w14:textId="77777777" w:rsidR="005E38A1" w:rsidRDefault="005E38A1" w:rsidP="00943EFD"/>
    <w:p w14:paraId="35ADD7A5" w14:textId="77777777" w:rsidR="005E38A1" w:rsidRDefault="005E38A1" w:rsidP="003355B2"/>
    <w:p w14:paraId="6936AE1B" w14:textId="77777777" w:rsidR="005E38A1" w:rsidRDefault="005E38A1" w:rsidP="003355B2"/>
    <w:p w14:paraId="71C2217D" w14:textId="77777777" w:rsidR="005E38A1" w:rsidRDefault="005E38A1" w:rsidP="007F1DC0"/>
    <w:p w14:paraId="3F8BB6E4" w14:textId="77777777" w:rsidR="005E38A1" w:rsidRDefault="005E38A1" w:rsidP="007F1DC0"/>
    <w:p w14:paraId="6DF413AE" w14:textId="77777777" w:rsidR="005E38A1" w:rsidRDefault="005E38A1" w:rsidP="001516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D3023" w14:textId="77777777" w:rsidR="00F57D98" w:rsidRDefault="00F57D98"/>
  <w:p w14:paraId="455C828F" w14:textId="77777777" w:rsidR="00F57D98" w:rsidRDefault="00F57D98"/>
  <w:p w14:paraId="09098B9C" w14:textId="77777777" w:rsidR="00F57D98" w:rsidRDefault="00F57D98" w:rsidP="00801ABB"/>
  <w:p w14:paraId="4E3D831D" w14:textId="77777777" w:rsidR="00F57D98" w:rsidRDefault="00F57D98" w:rsidP="00943EFD"/>
  <w:p w14:paraId="28DBC627" w14:textId="77777777" w:rsidR="00F57D98" w:rsidRDefault="00F57D98" w:rsidP="003355B2"/>
  <w:p w14:paraId="124D9F1C" w14:textId="77777777" w:rsidR="00F57D98" w:rsidRDefault="00F57D98" w:rsidP="003355B2"/>
  <w:p w14:paraId="46DDBFF3" w14:textId="77777777" w:rsidR="00F57D98" w:rsidRDefault="00F57D98" w:rsidP="007F1DC0"/>
  <w:p w14:paraId="4419B1C2" w14:textId="77777777" w:rsidR="00F57D98" w:rsidRDefault="00F57D98" w:rsidP="007F1DC0"/>
  <w:p w14:paraId="28C52935" w14:textId="77777777" w:rsidR="00F57D98" w:rsidRDefault="00F57D98" w:rsidP="001516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8587D" w14:textId="77777777" w:rsidR="00F57D98" w:rsidRPr="00BA3899" w:rsidRDefault="00F57D98">
    <w:pPr>
      <w:pStyle w:val="Header"/>
      <w:rPr>
        <w:sz w:val="28"/>
        <w:szCs w:val="28"/>
        <w14:shadow w14:blurRad="50800" w14:dist="38100" w14:dir="2700000" w14:sx="100000" w14:sy="100000" w14:kx="0" w14:ky="0" w14:algn="tl">
          <w14:srgbClr w14:val="000000">
            <w14:alpha w14:val="60000"/>
          </w14:srgbClr>
        </w14:shadow>
      </w:rPr>
    </w:pPr>
    <w:r w:rsidRPr="00BA3899">
      <w:rPr>
        <w:sz w:val="28"/>
        <w:szCs w:val="28"/>
        <w14:shadow w14:blurRad="50800" w14:dist="38100" w14:dir="2700000" w14:sx="100000" w14:sy="100000" w14:kx="0" w14:ky="0" w14:algn="tl">
          <w14:srgbClr w14:val="000000">
            <w14:alpha w14:val="60000"/>
          </w14:srgbClr>
        </w14:shadow>
      </w:rPr>
      <w:tab/>
    </w:r>
    <w:r w:rsidRPr="00BA3899">
      <w:rPr>
        <w:sz w:val="28"/>
        <w:szCs w:val="28"/>
        <w14:shadow w14:blurRad="50800" w14:dist="38100" w14:dir="2700000" w14:sx="100000" w14:sy="100000" w14:kx="0" w14:ky="0" w14:algn="tl">
          <w14:srgbClr w14:val="000000">
            <w14:alpha w14:val="60000"/>
          </w14:srgbClr>
        </w14:shado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18A454"/>
    <w:lvl w:ilvl="0">
      <w:start w:val="1"/>
      <w:numFmt w:val="decimal"/>
      <w:lvlText w:val="%1."/>
      <w:lvlJc w:val="left"/>
      <w:pPr>
        <w:tabs>
          <w:tab w:val="num" w:pos="1800"/>
        </w:tabs>
        <w:ind w:left="1800" w:hanging="360"/>
      </w:pPr>
    </w:lvl>
  </w:abstractNum>
  <w:abstractNum w:abstractNumId="1" w15:restartNumberingAfterBreak="0">
    <w:nsid w:val="FFFFFF89"/>
    <w:multiLevelType w:val="singleLevel"/>
    <w:tmpl w:val="B9E4DF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E61A0"/>
    <w:multiLevelType w:val="hybridMultilevel"/>
    <w:tmpl w:val="0718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B2C5D"/>
    <w:multiLevelType w:val="hybridMultilevel"/>
    <w:tmpl w:val="E71CCE16"/>
    <w:lvl w:ilvl="0" w:tplc="183048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F3E05"/>
    <w:multiLevelType w:val="hybridMultilevel"/>
    <w:tmpl w:val="2B2A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854C6"/>
    <w:multiLevelType w:val="hybridMultilevel"/>
    <w:tmpl w:val="712E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711D7"/>
    <w:multiLevelType w:val="hybridMultilevel"/>
    <w:tmpl w:val="27E8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24BA9"/>
    <w:multiLevelType w:val="hybridMultilevel"/>
    <w:tmpl w:val="58AE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541D2"/>
    <w:multiLevelType w:val="hybridMultilevel"/>
    <w:tmpl w:val="C4AC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E6A36"/>
    <w:multiLevelType w:val="hybridMultilevel"/>
    <w:tmpl w:val="88CC5C96"/>
    <w:lvl w:ilvl="0" w:tplc="04090001">
      <w:start w:val="1"/>
      <w:numFmt w:val="bullet"/>
      <w:lvlText w:val=""/>
      <w:lvlJc w:val="left"/>
      <w:pPr>
        <w:ind w:left="720" w:hanging="360"/>
      </w:pPr>
      <w:rPr>
        <w:rFonts w:ascii="Symbol" w:hAnsi="Symbol" w:hint="default"/>
      </w:rPr>
    </w:lvl>
    <w:lvl w:ilvl="1" w:tplc="4F0ABB2C">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A5FDF"/>
    <w:multiLevelType w:val="hybridMultilevel"/>
    <w:tmpl w:val="15B4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D1F9B"/>
    <w:multiLevelType w:val="hybridMultilevel"/>
    <w:tmpl w:val="5036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1748A"/>
    <w:multiLevelType w:val="hybridMultilevel"/>
    <w:tmpl w:val="E6A8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587C"/>
    <w:multiLevelType w:val="hybridMultilevel"/>
    <w:tmpl w:val="908E2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A3116"/>
    <w:multiLevelType w:val="hybridMultilevel"/>
    <w:tmpl w:val="5470B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32FC4"/>
    <w:multiLevelType w:val="hybridMultilevel"/>
    <w:tmpl w:val="505C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10246"/>
    <w:multiLevelType w:val="hybridMultilevel"/>
    <w:tmpl w:val="E98C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F4655"/>
    <w:multiLevelType w:val="hybridMultilevel"/>
    <w:tmpl w:val="BDF4B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13D36"/>
    <w:multiLevelType w:val="hybridMultilevel"/>
    <w:tmpl w:val="DC2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E0783"/>
    <w:multiLevelType w:val="hybridMultilevel"/>
    <w:tmpl w:val="75AC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374DA"/>
    <w:multiLevelType w:val="hybridMultilevel"/>
    <w:tmpl w:val="5A8401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D2115"/>
    <w:multiLevelType w:val="hybridMultilevel"/>
    <w:tmpl w:val="B258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F3E2F"/>
    <w:multiLevelType w:val="hybridMultilevel"/>
    <w:tmpl w:val="B45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00E69"/>
    <w:multiLevelType w:val="hybridMultilevel"/>
    <w:tmpl w:val="528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902E6"/>
    <w:multiLevelType w:val="hybridMultilevel"/>
    <w:tmpl w:val="AEE4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542B9"/>
    <w:multiLevelType w:val="hybridMultilevel"/>
    <w:tmpl w:val="0256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51486"/>
    <w:multiLevelType w:val="hybridMultilevel"/>
    <w:tmpl w:val="6EFE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B701C"/>
    <w:multiLevelType w:val="hybridMultilevel"/>
    <w:tmpl w:val="88D861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031ADF"/>
    <w:multiLevelType w:val="hybridMultilevel"/>
    <w:tmpl w:val="4176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933F83"/>
    <w:multiLevelType w:val="hybridMultilevel"/>
    <w:tmpl w:val="26D63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A74E3"/>
    <w:multiLevelType w:val="hybridMultilevel"/>
    <w:tmpl w:val="F572B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06918"/>
    <w:multiLevelType w:val="hybridMultilevel"/>
    <w:tmpl w:val="8A2E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06FAD"/>
    <w:multiLevelType w:val="hybridMultilevel"/>
    <w:tmpl w:val="2110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C2623"/>
    <w:multiLevelType w:val="hybridMultilevel"/>
    <w:tmpl w:val="8CD8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E3BC5"/>
    <w:multiLevelType w:val="hybridMultilevel"/>
    <w:tmpl w:val="4BCA0E1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5" w15:restartNumberingAfterBreak="0">
    <w:nsid w:val="62593DBE"/>
    <w:multiLevelType w:val="hybridMultilevel"/>
    <w:tmpl w:val="51466FBA"/>
    <w:lvl w:ilvl="0" w:tplc="04090001">
      <w:start w:val="1"/>
      <w:numFmt w:val="bullet"/>
      <w:lvlText w:val=""/>
      <w:lvlJc w:val="left"/>
      <w:pPr>
        <w:tabs>
          <w:tab w:val="num" w:pos="720"/>
        </w:tabs>
        <w:ind w:left="720" w:hanging="360"/>
      </w:pPr>
      <w:rPr>
        <w:rFonts w:ascii="Symbol" w:hAnsi="Symbol" w:hint="default"/>
      </w:rPr>
    </w:lvl>
    <w:lvl w:ilvl="1" w:tplc="B310F188">
      <w:start w:val="1"/>
      <w:numFmt w:val="bullet"/>
      <w:pStyle w:val="BulletList3"/>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175F5"/>
    <w:multiLevelType w:val="singleLevel"/>
    <w:tmpl w:val="EFECBEB0"/>
    <w:lvl w:ilvl="0">
      <w:start w:val="1"/>
      <w:numFmt w:val="lowerLetter"/>
      <w:pStyle w:val="Heading4"/>
      <w:lvlText w:val="%1. "/>
      <w:lvlJc w:val="left"/>
      <w:pPr>
        <w:tabs>
          <w:tab w:val="num" w:pos="375"/>
        </w:tabs>
        <w:ind w:left="375" w:hanging="375"/>
      </w:pPr>
      <w:rPr>
        <w:rFonts w:hint="default"/>
      </w:rPr>
    </w:lvl>
  </w:abstractNum>
  <w:abstractNum w:abstractNumId="37" w15:restartNumberingAfterBreak="0">
    <w:nsid w:val="62E52A96"/>
    <w:multiLevelType w:val="hybridMultilevel"/>
    <w:tmpl w:val="EBB0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3224B2"/>
    <w:multiLevelType w:val="hybridMultilevel"/>
    <w:tmpl w:val="015ED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37744"/>
    <w:multiLevelType w:val="hybridMultilevel"/>
    <w:tmpl w:val="8A64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D2221"/>
    <w:multiLevelType w:val="hybridMultilevel"/>
    <w:tmpl w:val="13B6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F0764"/>
    <w:multiLevelType w:val="hybridMultilevel"/>
    <w:tmpl w:val="68E8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6064EF"/>
    <w:multiLevelType w:val="hybridMultilevel"/>
    <w:tmpl w:val="D9CC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44453"/>
    <w:multiLevelType w:val="hybridMultilevel"/>
    <w:tmpl w:val="B326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63CA2"/>
    <w:multiLevelType w:val="hybridMultilevel"/>
    <w:tmpl w:val="9EBE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9652D"/>
    <w:multiLevelType w:val="hybridMultilevel"/>
    <w:tmpl w:val="66E6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81166"/>
    <w:multiLevelType w:val="hybridMultilevel"/>
    <w:tmpl w:val="2DFC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11113"/>
    <w:multiLevelType w:val="hybridMultilevel"/>
    <w:tmpl w:val="B582EF80"/>
    <w:lvl w:ilvl="0" w:tplc="B2BE8F86">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1"/>
  </w:num>
  <w:num w:numId="4">
    <w:abstractNumId w:val="9"/>
  </w:num>
  <w:num w:numId="5">
    <w:abstractNumId w:val="47"/>
  </w:num>
  <w:num w:numId="6">
    <w:abstractNumId w:val="12"/>
  </w:num>
  <w:num w:numId="7">
    <w:abstractNumId w:val="17"/>
  </w:num>
  <w:num w:numId="8">
    <w:abstractNumId w:val="44"/>
  </w:num>
  <w:num w:numId="9">
    <w:abstractNumId w:val="29"/>
  </w:num>
  <w:num w:numId="10">
    <w:abstractNumId w:val="13"/>
  </w:num>
  <w:num w:numId="11">
    <w:abstractNumId w:val="26"/>
  </w:num>
  <w:num w:numId="12">
    <w:abstractNumId w:val="21"/>
  </w:num>
  <w:num w:numId="13">
    <w:abstractNumId w:val="41"/>
  </w:num>
  <w:num w:numId="14">
    <w:abstractNumId w:val="18"/>
  </w:num>
  <w:num w:numId="15">
    <w:abstractNumId w:val="31"/>
  </w:num>
  <w:num w:numId="16">
    <w:abstractNumId w:val="43"/>
  </w:num>
  <w:num w:numId="17">
    <w:abstractNumId w:val="0"/>
  </w:num>
  <w:num w:numId="18">
    <w:abstractNumId w:val="16"/>
  </w:num>
  <w:num w:numId="19">
    <w:abstractNumId w:val="5"/>
  </w:num>
  <w:num w:numId="20">
    <w:abstractNumId w:val="6"/>
  </w:num>
  <w:num w:numId="21">
    <w:abstractNumId w:val="32"/>
  </w:num>
  <w:num w:numId="22">
    <w:abstractNumId w:val="8"/>
  </w:num>
  <w:num w:numId="23">
    <w:abstractNumId w:val="39"/>
  </w:num>
  <w:num w:numId="24">
    <w:abstractNumId w:val="30"/>
  </w:num>
  <w:num w:numId="25">
    <w:abstractNumId w:val="19"/>
  </w:num>
  <w:num w:numId="26">
    <w:abstractNumId w:val="14"/>
  </w:num>
  <w:num w:numId="27">
    <w:abstractNumId w:val="33"/>
  </w:num>
  <w:num w:numId="28">
    <w:abstractNumId w:val="25"/>
  </w:num>
  <w:num w:numId="29">
    <w:abstractNumId w:val="42"/>
  </w:num>
  <w:num w:numId="30">
    <w:abstractNumId w:val="40"/>
  </w:num>
  <w:num w:numId="31">
    <w:abstractNumId w:val="4"/>
  </w:num>
  <w:num w:numId="32">
    <w:abstractNumId w:val="10"/>
  </w:num>
  <w:num w:numId="33">
    <w:abstractNumId w:val="24"/>
  </w:num>
  <w:num w:numId="34">
    <w:abstractNumId w:val="22"/>
  </w:num>
  <w:num w:numId="35">
    <w:abstractNumId w:val="2"/>
  </w:num>
  <w:num w:numId="36">
    <w:abstractNumId w:val="45"/>
  </w:num>
  <w:num w:numId="37">
    <w:abstractNumId w:val="15"/>
  </w:num>
  <w:num w:numId="38">
    <w:abstractNumId w:val="38"/>
  </w:num>
  <w:num w:numId="39">
    <w:abstractNumId w:val="3"/>
  </w:num>
  <w:num w:numId="40">
    <w:abstractNumId w:val="27"/>
  </w:num>
  <w:num w:numId="41">
    <w:abstractNumId w:val="20"/>
  </w:num>
  <w:num w:numId="42">
    <w:abstractNumId w:val="28"/>
  </w:num>
  <w:num w:numId="43">
    <w:abstractNumId w:val="11"/>
  </w:num>
  <w:num w:numId="44">
    <w:abstractNumId w:val="34"/>
  </w:num>
  <w:num w:numId="45">
    <w:abstractNumId w:val="7"/>
  </w:num>
  <w:num w:numId="46">
    <w:abstractNumId w:val="46"/>
  </w:num>
  <w:num w:numId="47">
    <w:abstractNumId w:val="23"/>
  </w:num>
  <w:num w:numId="48">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2B"/>
    <w:rsid w:val="0000047B"/>
    <w:rsid w:val="00000D05"/>
    <w:rsid w:val="00002326"/>
    <w:rsid w:val="000035E3"/>
    <w:rsid w:val="000063D9"/>
    <w:rsid w:val="0000746B"/>
    <w:rsid w:val="00012B00"/>
    <w:rsid w:val="00013E79"/>
    <w:rsid w:val="00016D65"/>
    <w:rsid w:val="00016E12"/>
    <w:rsid w:val="00020605"/>
    <w:rsid w:val="00020A87"/>
    <w:rsid w:val="0002519E"/>
    <w:rsid w:val="00031587"/>
    <w:rsid w:val="00031DDE"/>
    <w:rsid w:val="00031F7A"/>
    <w:rsid w:val="00032415"/>
    <w:rsid w:val="000324B6"/>
    <w:rsid w:val="00034823"/>
    <w:rsid w:val="00035672"/>
    <w:rsid w:val="00035C75"/>
    <w:rsid w:val="00042CA0"/>
    <w:rsid w:val="00043A9B"/>
    <w:rsid w:val="00045778"/>
    <w:rsid w:val="00051D2B"/>
    <w:rsid w:val="00053967"/>
    <w:rsid w:val="0006106E"/>
    <w:rsid w:val="000616D7"/>
    <w:rsid w:val="00062463"/>
    <w:rsid w:val="00063D03"/>
    <w:rsid w:val="00064350"/>
    <w:rsid w:val="00065786"/>
    <w:rsid w:val="00073826"/>
    <w:rsid w:val="0007438D"/>
    <w:rsid w:val="00077BA0"/>
    <w:rsid w:val="00082752"/>
    <w:rsid w:val="00087F6A"/>
    <w:rsid w:val="000925A4"/>
    <w:rsid w:val="00093168"/>
    <w:rsid w:val="000951F6"/>
    <w:rsid w:val="000978CE"/>
    <w:rsid w:val="000A0650"/>
    <w:rsid w:val="000A0EB0"/>
    <w:rsid w:val="000A1425"/>
    <w:rsid w:val="000A5124"/>
    <w:rsid w:val="000B1094"/>
    <w:rsid w:val="000B18B0"/>
    <w:rsid w:val="000B3756"/>
    <w:rsid w:val="000B5677"/>
    <w:rsid w:val="000B7A74"/>
    <w:rsid w:val="000C0998"/>
    <w:rsid w:val="000C1415"/>
    <w:rsid w:val="000C45E4"/>
    <w:rsid w:val="000D038B"/>
    <w:rsid w:val="000D2230"/>
    <w:rsid w:val="000D3DD2"/>
    <w:rsid w:val="000D4F0B"/>
    <w:rsid w:val="000D607D"/>
    <w:rsid w:val="000E1882"/>
    <w:rsid w:val="000E53A4"/>
    <w:rsid w:val="000E6B93"/>
    <w:rsid w:val="000E7320"/>
    <w:rsid w:val="000F02A5"/>
    <w:rsid w:val="000F203C"/>
    <w:rsid w:val="000F41A1"/>
    <w:rsid w:val="000F41D5"/>
    <w:rsid w:val="00103A82"/>
    <w:rsid w:val="0010727E"/>
    <w:rsid w:val="001109D0"/>
    <w:rsid w:val="00113D02"/>
    <w:rsid w:val="00114F7F"/>
    <w:rsid w:val="001272AA"/>
    <w:rsid w:val="00127B1F"/>
    <w:rsid w:val="00134E17"/>
    <w:rsid w:val="00137590"/>
    <w:rsid w:val="00141455"/>
    <w:rsid w:val="0014258A"/>
    <w:rsid w:val="00146C0E"/>
    <w:rsid w:val="00151665"/>
    <w:rsid w:val="00152887"/>
    <w:rsid w:val="001546C8"/>
    <w:rsid w:val="00154846"/>
    <w:rsid w:val="00155CC6"/>
    <w:rsid w:val="00156B24"/>
    <w:rsid w:val="00160D04"/>
    <w:rsid w:val="001625C1"/>
    <w:rsid w:val="00172950"/>
    <w:rsid w:val="00176157"/>
    <w:rsid w:val="00183B3B"/>
    <w:rsid w:val="00186536"/>
    <w:rsid w:val="00186A91"/>
    <w:rsid w:val="00186EC9"/>
    <w:rsid w:val="00191D34"/>
    <w:rsid w:val="00192E5B"/>
    <w:rsid w:val="001930D0"/>
    <w:rsid w:val="0019465B"/>
    <w:rsid w:val="001A10EE"/>
    <w:rsid w:val="001A702C"/>
    <w:rsid w:val="001C0E6F"/>
    <w:rsid w:val="001C20AF"/>
    <w:rsid w:val="001C3981"/>
    <w:rsid w:val="001D1AAD"/>
    <w:rsid w:val="001D6A35"/>
    <w:rsid w:val="001D73A6"/>
    <w:rsid w:val="001E0171"/>
    <w:rsid w:val="001E0EFE"/>
    <w:rsid w:val="001F1B01"/>
    <w:rsid w:val="001F3DFB"/>
    <w:rsid w:val="001F6F14"/>
    <w:rsid w:val="00201E8E"/>
    <w:rsid w:val="002027C6"/>
    <w:rsid w:val="00204386"/>
    <w:rsid w:val="00204398"/>
    <w:rsid w:val="00207E8B"/>
    <w:rsid w:val="00210413"/>
    <w:rsid w:val="00211D3D"/>
    <w:rsid w:val="00212781"/>
    <w:rsid w:val="00214114"/>
    <w:rsid w:val="0021485B"/>
    <w:rsid w:val="00214DD3"/>
    <w:rsid w:val="002160E5"/>
    <w:rsid w:val="0022018F"/>
    <w:rsid w:val="002256C3"/>
    <w:rsid w:val="00230BCE"/>
    <w:rsid w:val="0023284D"/>
    <w:rsid w:val="00240116"/>
    <w:rsid w:val="00243BA9"/>
    <w:rsid w:val="002470FA"/>
    <w:rsid w:val="00252A68"/>
    <w:rsid w:val="002550F0"/>
    <w:rsid w:val="002604E9"/>
    <w:rsid w:val="00263E86"/>
    <w:rsid w:val="0026450E"/>
    <w:rsid w:val="00265094"/>
    <w:rsid w:val="002672C3"/>
    <w:rsid w:val="002715D9"/>
    <w:rsid w:val="002764AF"/>
    <w:rsid w:val="00281D18"/>
    <w:rsid w:val="00285258"/>
    <w:rsid w:val="00285855"/>
    <w:rsid w:val="002915DB"/>
    <w:rsid w:val="002961F3"/>
    <w:rsid w:val="00296343"/>
    <w:rsid w:val="002A1818"/>
    <w:rsid w:val="002A2353"/>
    <w:rsid w:val="002A2CF8"/>
    <w:rsid w:val="002A4BDA"/>
    <w:rsid w:val="002A76C8"/>
    <w:rsid w:val="002B2A27"/>
    <w:rsid w:val="002B35AA"/>
    <w:rsid w:val="002B65E2"/>
    <w:rsid w:val="002C13AB"/>
    <w:rsid w:val="002C36D0"/>
    <w:rsid w:val="002C4100"/>
    <w:rsid w:val="002D1C63"/>
    <w:rsid w:val="002D6B3E"/>
    <w:rsid w:val="002D6FD4"/>
    <w:rsid w:val="002D754F"/>
    <w:rsid w:val="002D7707"/>
    <w:rsid w:val="002E0640"/>
    <w:rsid w:val="002E2E40"/>
    <w:rsid w:val="002E4B66"/>
    <w:rsid w:val="00301F6F"/>
    <w:rsid w:val="00305023"/>
    <w:rsid w:val="0030533C"/>
    <w:rsid w:val="00306BBE"/>
    <w:rsid w:val="00310352"/>
    <w:rsid w:val="00312CFB"/>
    <w:rsid w:val="003234F9"/>
    <w:rsid w:val="00323A8C"/>
    <w:rsid w:val="003267B7"/>
    <w:rsid w:val="00333B38"/>
    <w:rsid w:val="003355B2"/>
    <w:rsid w:val="00340333"/>
    <w:rsid w:val="003473BB"/>
    <w:rsid w:val="00350733"/>
    <w:rsid w:val="0035700D"/>
    <w:rsid w:val="00357717"/>
    <w:rsid w:val="0036027C"/>
    <w:rsid w:val="003623FC"/>
    <w:rsid w:val="00384B6E"/>
    <w:rsid w:val="00386250"/>
    <w:rsid w:val="003A0172"/>
    <w:rsid w:val="003A0CAE"/>
    <w:rsid w:val="003A3523"/>
    <w:rsid w:val="003A423D"/>
    <w:rsid w:val="003A58AB"/>
    <w:rsid w:val="003A7B8C"/>
    <w:rsid w:val="003B3D01"/>
    <w:rsid w:val="003B6FEB"/>
    <w:rsid w:val="003B79C7"/>
    <w:rsid w:val="003C090E"/>
    <w:rsid w:val="003C23CB"/>
    <w:rsid w:val="003C3610"/>
    <w:rsid w:val="003C5ECE"/>
    <w:rsid w:val="003C60EE"/>
    <w:rsid w:val="003C6F50"/>
    <w:rsid w:val="003D139E"/>
    <w:rsid w:val="003D3BF5"/>
    <w:rsid w:val="003D5912"/>
    <w:rsid w:val="003D75B3"/>
    <w:rsid w:val="003E230D"/>
    <w:rsid w:val="003E4967"/>
    <w:rsid w:val="003E655F"/>
    <w:rsid w:val="003F12D6"/>
    <w:rsid w:val="003F28AE"/>
    <w:rsid w:val="003F3E92"/>
    <w:rsid w:val="003F46E8"/>
    <w:rsid w:val="003F7609"/>
    <w:rsid w:val="003F7CC1"/>
    <w:rsid w:val="0040062B"/>
    <w:rsid w:val="004029AD"/>
    <w:rsid w:val="0040329A"/>
    <w:rsid w:val="00406D56"/>
    <w:rsid w:val="00410EAC"/>
    <w:rsid w:val="00413E62"/>
    <w:rsid w:val="004157A4"/>
    <w:rsid w:val="00417270"/>
    <w:rsid w:val="004176D9"/>
    <w:rsid w:val="00420B2D"/>
    <w:rsid w:val="00421E38"/>
    <w:rsid w:val="00422273"/>
    <w:rsid w:val="00422B38"/>
    <w:rsid w:val="00425C2D"/>
    <w:rsid w:val="00426220"/>
    <w:rsid w:val="00426E4E"/>
    <w:rsid w:val="00426FF0"/>
    <w:rsid w:val="0043139F"/>
    <w:rsid w:val="0043401F"/>
    <w:rsid w:val="00434954"/>
    <w:rsid w:val="00435942"/>
    <w:rsid w:val="0043602C"/>
    <w:rsid w:val="0044305E"/>
    <w:rsid w:val="004457D4"/>
    <w:rsid w:val="0045094B"/>
    <w:rsid w:val="00450B8B"/>
    <w:rsid w:val="00450D74"/>
    <w:rsid w:val="004516EB"/>
    <w:rsid w:val="00451B9B"/>
    <w:rsid w:val="0045286D"/>
    <w:rsid w:val="0045496F"/>
    <w:rsid w:val="00463645"/>
    <w:rsid w:val="00464EC1"/>
    <w:rsid w:val="00467678"/>
    <w:rsid w:val="00472470"/>
    <w:rsid w:val="004768BB"/>
    <w:rsid w:val="004807F3"/>
    <w:rsid w:val="0048343B"/>
    <w:rsid w:val="0048439F"/>
    <w:rsid w:val="00485194"/>
    <w:rsid w:val="00486D7F"/>
    <w:rsid w:val="00490495"/>
    <w:rsid w:val="00490902"/>
    <w:rsid w:val="00490F1D"/>
    <w:rsid w:val="0049290B"/>
    <w:rsid w:val="00494660"/>
    <w:rsid w:val="004962A2"/>
    <w:rsid w:val="004968FE"/>
    <w:rsid w:val="00496B2F"/>
    <w:rsid w:val="0049786A"/>
    <w:rsid w:val="004A4E4B"/>
    <w:rsid w:val="004A5069"/>
    <w:rsid w:val="004B203D"/>
    <w:rsid w:val="004B2763"/>
    <w:rsid w:val="004B35AF"/>
    <w:rsid w:val="004B703A"/>
    <w:rsid w:val="004B70D1"/>
    <w:rsid w:val="004C0175"/>
    <w:rsid w:val="004C0AE4"/>
    <w:rsid w:val="004C1F0A"/>
    <w:rsid w:val="004C2BF5"/>
    <w:rsid w:val="004C3435"/>
    <w:rsid w:val="004C46D5"/>
    <w:rsid w:val="004D7E9D"/>
    <w:rsid w:val="004E55A7"/>
    <w:rsid w:val="004F2134"/>
    <w:rsid w:val="004F6A18"/>
    <w:rsid w:val="005023F8"/>
    <w:rsid w:val="00504AC8"/>
    <w:rsid w:val="005132C0"/>
    <w:rsid w:val="0051408D"/>
    <w:rsid w:val="005228C9"/>
    <w:rsid w:val="005228CB"/>
    <w:rsid w:val="00524911"/>
    <w:rsid w:val="00524D13"/>
    <w:rsid w:val="00525D65"/>
    <w:rsid w:val="005268A7"/>
    <w:rsid w:val="00526D8D"/>
    <w:rsid w:val="00527A1B"/>
    <w:rsid w:val="0053204B"/>
    <w:rsid w:val="00532C90"/>
    <w:rsid w:val="0053475F"/>
    <w:rsid w:val="005441A1"/>
    <w:rsid w:val="00544CFA"/>
    <w:rsid w:val="005475B1"/>
    <w:rsid w:val="00550739"/>
    <w:rsid w:val="00551027"/>
    <w:rsid w:val="00551963"/>
    <w:rsid w:val="005555DD"/>
    <w:rsid w:val="0056059D"/>
    <w:rsid w:val="00562F02"/>
    <w:rsid w:val="00566AC5"/>
    <w:rsid w:val="00571C37"/>
    <w:rsid w:val="0057451D"/>
    <w:rsid w:val="00576277"/>
    <w:rsid w:val="00581681"/>
    <w:rsid w:val="00582082"/>
    <w:rsid w:val="00585EB5"/>
    <w:rsid w:val="005870BF"/>
    <w:rsid w:val="00590434"/>
    <w:rsid w:val="0059084F"/>
    <w:rsid w:val="0059486B"/>
    <w:rsid w:val="005A5F6B"/>
    <w:rsid w:val="005B58D7"/>
    <w:rsid w:val="005B5A47"/>
    <w:rsid w:val="005B6C7F"/>
    <w:rsid w:val="005C3C6F"/>
    <w:rsid w:val="005C70B1"/>
    <w:rsid w:val="005C7CCE"/>
    <w:rsid w:val="005D3E20"/>
    <w:rsid w:val="005D770A"/>
    <w:rsid w:val="005E38A1"/>
    <w:rsid w:val="005E42A9"/>
    <w:rsid w:val="005E5C13"/>
    <w:rsid w:val="005E5DFA"/>
    <w:rsid w:val="005F1689"/>
    <w:rsid w:val="00602CC6"/>
    <w:rsid w:val="00614390"/>
    <w:rsid w:val="00614D32"/>
    <w:rsid w:val="006176A2"/>
    <w:rsid w:val="00620D07"/>
    <w:rsid w:val="00621C4E"/>
    <w:rsid w:val="00623081"/>
    <w:rsid w:val="006245EE"/>
    <w:rsid w:val="00624AC5"/>
    <w:rsid w:val="00624F2B"/>
    <w:rsid w:val="006250A5"/>
    <w:rsid w:val="006306D6"/>
    <w:rsid w:val="006331AC"/>
    <w:rsid w:val="00634C45"/>
    <w:rsid w:val="00635DCC"/>
    <w:rsid w:val="00637641"/>
    <w:rsid w:val="00641135"/>
    <w:rsid w:val="006416CD"/>
    <w:rsid w:val="00646035"/>
    <w:rsid w:val="00650132"/>
    <w:rsid w:val="00654B4A"/>
    <w:rsid w:val="00656E1A"/>
    <w:rsid w:val="00657616"/>
    <w:rsid w:val="00660C2A"/>
    <w:rsid w:val="00665DEC"/>
    <w:rsid w:val="00666432"/>
    <w:rsid w:val="00667B03"/>
    <w:rsid w:val="00681BE1"/>
    <w:rsid w:val="00681EC3"/>
    <w:rsid w:val="00683219"/>
    <w:rsid w:val="00693699"/>
    <w:rsid w:val="00696FE1"/>
    <w:rsid w:val="006A263E"/>
    <w:rsid w:val="006A4027"/>
    <w:rsid w:val="006B29D9"/>
    <w:rsid w:val="006B3AA6"/>
    <w:rsid w:val="006B6DBC"/>
    <w:rsid w:val="006C12D8"/>
    <w:rsid w:val="006C3D69"/>
    <w:rsid w:val="006C483C"/>
    <w:rsid w:val="006C7B8C"/>
    <w:rsid w:val="006C7DA7"/>
    <w:rsid w:val="006D04EF"/>
    <w:rsid w:val="006D178A"/>
    <w:rsid w:val="006E5FB9"/>
    <w:rsid w:val="006F0E44"/>
    <w:rsid w:val="006F2A45"/>
    <w:rsid w:val="00701207"/>
    <w:rsid w:val="00704D15"/>
    <w:rsid w:val="00710878"/>
    <w:rsid w:val="0071134E"/>
    <w:rsid w:val="007137DB"/>
    <w:rsid w:val="00713A14"/>
    <w:rsid w:val="00720875"/>
    <w:rsid w:val="007246E8"/>
    <w:rsid w:val="007249CF"/>
    <w:rsid w:val="007314B3"/>
    <w:rsid w:val="00732D20"/>
    <w:rsid w:val="00733091"/>
    <w:rsid w:val="007356DD"/>
    <w:rsid w:val="007358DE"/>
    <w:rsid w:val="007417B4"/>
    <w:rsid w:val="0074189C"/>
    <w:rsid w:val="00741E94"/>
    <w:rsid w:val="007468D1"/>
    <w:rsid w:val="0075218A"/>
    <w:rsid w:val="00752FDB"/>
    <w:rsid w:val="0075333B"/>
    <w:rsid w:val="00754795"/>
    <w:rsid w:val="00757116"/>
    <w:rsid w:val="00761386"/>
    <w:rsid w:val="00761A46"/>
    <w:rsid w:val="00763D19"/>
    <w:rsid w:val="007658C4"/>
    <w:rsid w:val="00767239"/>
    <w:rsid w:val="0077195F"/>
    <w:rsid w:val="00771AEF"/>
    <w:rsid w:val="00773839"/>
    <w:rsid w:val="00774D25"/>
    <w:rsid w:val="007818EF"/>
    <w:rsid w:val="00782387"/>
    <w:rsid w:val="00783E34"/>
    <w:rsid w:val="0078592A"/>
    <w:rsid w:val="00793765"/>
    <w:rsid w:val="00796C58"/>
    <w:rsid w:val="007A02E2"/>
    <w:rsid w:val="007A02E7"/>
    <w:rsid w:val="007A0BAB"/>
    <w:rsid w:val="007A26E0"/>
    <w:rsid w:val="007A2E45"/>
    <w:rsid w:val="007A6F48"/>
    <w:rsid w:val="007B0936"/>
    <w:rsid w:val="007B3867"/>
    <w:rsid w:val="007B47D8"/>
    <w:rsid w:val="007B57C3"/>
    <w:rsid w:val="007B5F4D"/>
    <w:rsid w:val="007C0C8F"/>
    <w:rsid w:val="007C1166"/>
    <w:rsid w:val="007C23FA"/>
    <w:rsid w:val="007C2A0C"/>
    <w:rsid w:val="007C3197"/>
    <w:rsid w:val="007D5024"/>
    <w:rsid w:val="007E2630"/>
    <w:rsid w:val="007E3083"/>
    <w:rsid w:val="007E5A29"/>
    <w:rsid w:val="007F0F78"/>
    <w:rsid w:val="007F1DC0"/>
    <w:rsid w:val="007F2743"/>
    <w:rsid w:val="007F337B"/>
    <w:rsid w:val="007F7718"/>
    <w:rsid w:val="00801ABB"/>
    <w:rsid w:val="00801ED1"/>
    <w:rsid w:val="00803279"/>
    <w:rsid w:val="0080611B"/>
    <w:rsid w:val="00807C13"/>
    <w:rsid w:val="00807D47"/>
    <w:rsid w:val="0082178F"/>
    <w:rsid w:val="00824CAC"/>
    <w:rsid w:val="008304AE"/>
    <w:rsid w:val="00830E41"/>
    <w:rsid w:val="008324A4"/>
    <w:rsid w:val="00835364"/>
    <w:rsid w:val="00836161"/>
    <w:rsid w:val="00837051"/>
    <w:rsid w:val="00837BA7"/>
    <w:rsid w:val="008417DD"/>
    <w:rsid w:val="008427BC"/>
    <w:rsid w:val="00843C30"/>
    <w:rsid w:val="00843C82"/>
    <w:rsid w:val="0084454E"/>
    <w:rsid w:val="008454D8"/>
    <w:rsid w:val="00851D21"/>
    <w:rsid w:val="0085553B"/>
    <w:rsid w:val="008569D6"/>
    <w:rsid w:val="00866A17"/>
    <w:rsid w:val="00873401"/>
    <w:rsid w:val="008749AF"/>
    <w:rsid w:val="008749CC"/>
    <w:rsid w:val="00874ECB"/>
    <w:rsid w:val="00881896"/>
    <w:rsid w:val="008916C8"/>
    <w:rsid w:val="0089195C"/>
    <w:rsid w:val="00896281"/>
    <w:rsid w:val="008966A0"/>
    <w:rsid w:val="00897BA2"/>
    <w:rsid w:val="008A23D1"/>
    <w:rsid w:val="008A25E8"/>
    <w:rsid w:val="008A2AE3"/>
    <w:rsid w:val="008B1E20"/>
    <w:rsid w:val="008B2BE7"/>
    <w:rsid w:val="008B3947"/>
    <w:rsid w:val="008B74A3"/>
    <w:rsid w:val="008C06CA"/>
    <w:rsid w:val="008C0F84"/>
    <w:rsid w:val="008C37F0"/>
    <w:rsid w:val="008C3936"/>
    <w:rsid w:val="008C5614"/>
    <w:rsid w:val="008C745A"/>
    <w:rsid w:val="008D0937"/>
    <w:rsid w:val="008D0A9D"/>
    <w:rsid w:val="008D0DAC"/>
    <w:rsid w:val="008D13D3"/>
    <w:rsid w:val="008D1F97"/>
    <w:rsid w:val="008D39AD"/>
    <w:rsid w:val="008E029D"/>
    <w:rsid w:val="008E13A5"/>
    <w:rsid w:val="008E2EBD"/>
    <w:rsid w:val="008E5D22"/>
    <w:rsid w:val="008E5F9F"/>
    <w:rsid w:val="008E6073"/>
    <w:rsid w:val="008E7585"/>
    <w:rsid w:val="008F182D"/>
    <w:rsid w:val="008F479C"/>
    <w:rsid w:val="008F6A1E"/>
    <w:rsid w:val="00900DD4"/>
    <w:rsid w:val="00903A8B"/>
    <w:rsid w:val="00905838"/>
    <w:rsid w:val="00905F49"/>
    <w:rsid w:val="009075AB"/>
    <w:rsid w:val="00910AFB"/>
    <w:rsid w:val="00913C9A"/>
    <w:rsid w:val="009141FD"/>
    <w:rsid w:val="00915406"/>
    <w:rsid w:val="00916BE6"/>
    <w:rsid w:val="00922074"/>
    <w:rsid w:val="00922BB7"/>
    <w:rsid w:val="00923658"/>
    <w:rsid w:val="0092455C"/>
    <w:rsid w:val="009337E2"/>
    <w:rsid w:val="009363E4"/>
    <w:rsid w:val="00940EA8"/>
    <w:rsid w:val="00942988"/>
    <w:rsid w:val="00943EFD"/>
    <w:rsid w:val="0095483B"/>
    <w:rsid w:val="00961CB8"/>
    <w:rsid w:val="0096506E"/>
    <w:rsid w:val="00965896"/>
    <w:rsid w:val="0098347C"/>
    <w:rsid w:val="0098428B"/>
    <w:rsid w:val="009856C5"/>
    <w:rsid w:val="0099428C"/>
    <w:rsid w:val="00994C65"/>
    <w:rsid w:val="00994F1C"/>
    <w:rsid w:val="0099684E"/>
    <w:rsid w:val="009968AD"/>
    <w:rsid w:val="00996F63"/>
    <w:rsid w:val="009A028F"/>
    <w:rsid w:val="009A25EA"/>
    <w:rsid w:val="009A67BB"/>
    <w:rsid w:val="009B21AF"/>
    <w:rsid w:val="009B2ADA"/>
    <w:rsid w:val="009B41FC"/>
    <w:rsid w:val="009B4717"/>
    <w:rsid w:val="009C1488"/>
    <w:rsid w:val="009D4607"/>
    <w:rsid w:val="009D70B7"/>
    <w:rsid w:val="009D78E4"/>
    <w:rsid w:val="009E1EFA"/>
    <w:rsid w:val="009E332F"/>
    <w:rsid w:val="009E3778"/>
    <w:rsid w:val="009E3C7B"/>
    <w:rsid w:val="009E6AE6"/>
    <w:rsid w:val="009E78B4"/>
    <w:rsid w:val="009F2E9B"/>
    <w:rsid w:val="009F5B37"/>
    <w:rsid w:val="00A11460"/>
    <w:rsid w:val="00A126A1"/>
    <w:rsid w:val="00A13276"/>
    <w:rsid w:val="00A135BD"/>
    <w:rsid w:val="00A162C8"/>
    <w:rsid w:val="00A26AE5"/>
    <w:rsid w:val="00A32D97"/>
    <w:rsid w:val="00A336F5"/>
    <w:rsid w:val="00A420F0"/>
    <w:rsid w:val="00A43798"/>
    <w:rsid w:val="00A506AE"/>
    <w:rsid w:val="00A50F84"/>
    <w:rsid w:val="00A52A86"/>
    <w:rsid w:val="00A54735"/>
    <w:rsid w:val="00A577B6"/>
    <w:rsid w:val="00A626DE"/>
    <w:rsid w:val="00A64A6E"/>
    <w:rsid w:val="00A64E52"/>
    <w:rsid w:val="00A66D4F"/>
    <w:rsid w:val="00A74BBA"/>
    <w:rsid w:val="00A77384"/>
    <w:rsid w:val="00A82239"/>
    <w:rsid w:val="00A82E01"/>
    <w:rsid w:val="00A83E0F"/>
    <w:rsid w:val="00A84E2A"/>
    <w:rsid w:val="00A8595F"/>
    <w:rsid w:val="00A86203"/>
    <w:rsid w:val="00A8688B"/>
    <w:rsid w:val="00A9168B"/>
    <w:rsid w:val="00A91C44"/>
    <w:rsid w:val="00A91C8E"/>
    <w:rsid w:val="00A9351C"/>
    <w:rsid w:val="00A93731"/>
    <w:rsid w:val="00A93FDD"/>
    <w:rsid w:val="00AA19A3"/>
    <w:rsid w:val="00AA37EC"/>
    <w:rsid w:val="00AA4D12"/>
    <w:rsid w:val="00AA6109"/>
    <w:rsid w:val="00AB59B3"/>
    <w:rsid w:val="00AC4293"/>
    <w:rsid w:val="00AC4A63"/>
    <w:rsid w:val="00AC51BA"/>
    <w:rsid w:val="00AD0ABA"/>
    <w:rsid w:val="00AD1865"/>
    <w:rsid w:val="00AD4C80"/>
    <w:rsid w:val="00AE17E5"/>
    <w:rsid w:val="00AE2C94"/>
    <w:rsid w:val="00AE4913"/>
    <w:rsid w:val="00AE596B"/>
    <w:rsid w:val="00AE59B4"/>
    <w:rsid w:val="00AE7F9D"/>
    <w:rsid w:val="00AF2584"/>
    <w:rsid w:val="00AF53A1"/>
    <w:rsid w:val="00AF5C68"/>
    <w:rsid w:val="00B004A5"/>
    <w:rsid w:val="00B00DD4"/>
    <w:rsid w:val="00B02E24"/>
    <w:rsid w:val="00B04B24"/>
    <w:rsid w:val="00B06EF6"/>
    <w:rsid w:val="00B10EDA"/>
    <w:rsid w:val="00B11AA0"/>
    <w:rsid w:val="00B17084"/>
    <w:rsid w:val="00B17D2C"/>
    <w:rsid w:val="00B32CF9"/>
    <w:rsid w:val="00B33852"/>
    <w:rsid w:val="00B37E34"/>
    <w:rsid w:val="00B43A27"/>
    <w:rsid w:val="00B459C0"/>
    <w:rsid w:val="00B45D9B"/>
    <w:rsid w:val="00B46A2E"/>
    <w:rsid w:val="00B5523F"/>
    <w:rsid w:val="00B60182"/>
    <w:rsid w:val="00B6052E"/>
    <w:rsid w:val="00B628F5"/>
    <w:rsid w:val="00B62A31"/>
    <w:rsid w:val="00B63A92"/>
    <w:rsid w:val="00B65B17"/>
    <w:rsid w:val="00B70257"/>
    <w:rsid w:val="00B748CD"/>
    <w:rsid w:val="00B76D17"/>
    <w:rsid w:val="00B8232F"/>
    <w:rsid w:val="00B92316"/>
    <w:rsid w:val="00B92F85"/>
    <w:rsid w:val="00B963BF"/>
    <w:rsid w:val="00BA0282"/>
    <w:rsid w:val="00BA0597"/>
    <w:rsid w:val="00BA3899"/>
    <w:rsid w:val="00BA5B39"/>
    <w:rsid w:val="00BA5D46"/>
    <w:rsid w:val="00BB0C77"/>
    <w:rsid w:val="00BB431F"/>
    <w:rsid w:val="00BB5AB6"/>
    <w:rsid w:val="00BB60DF"/>
    <w:rsid w:val="00BB694B"/>
    <w:rsid w:val="00BB7A56"/>
    <w:rsid w:val="00BB7F4C"/>
    <w:rsid w:val="00BC0927"/>
    <w:rsid w:val="00BC1A6D"/>
    <w:rsid w:val="00BC21EF"/>
    <w:rsid w:val="00BC3347"/>
    <w:rsid w:val="00BC5A89"/>
    <w:rsid w:val="00BC62EA"/>
    <w:rsid w:val="00BD297D"/>
    <w:rsid w:val="00BD5E64"/>
    <w:rsid w:val="00BD649A"/>
    <w:rsid w:val="00BD6E47"/>
    <w:rsid w:val="00BE010A"/>
    <w:rsid w:val="00BE43BD"/>
    <w:rsid w:val="00BE556E"/>
    <w:rsid w:val="00BE607E"/>
    <w:rsid w:val="00BF42A7"/>
    <w:rsid w:val="00BF4D1C"/>
    <w:rsid w:val="00BF63A7"/>
    <w:rsid w:val="00C0117C"/>
    <w:rsid w:val="00C03E28"/>
    <w:rsid w:val="00C06BAA"/>
    <w:rsid w:val="00C1219C"/>
    <w:rsid w:val="00C12A7B"/>
    <w:rsid w:val="00C15C5F"/>
    <w:rsid w:val="00C20BD3"/>
    <w:rsid w:val="00C25CE3"/>
    <w:rsid w:val="00C25F65"/>
    <w:rsid w:val="00C26187"/>
    <w:rsid w:val="00C33C68"/>
    <w:rsid w:val="00C344B7"/>
    <w:rsid w:val="00C34860"/>
    <w:rsid w:val="00C36893"/>
    <w:rsid w:val="00C377A4"/>
    <w:rsid w:val="00C41E6C"/>
    <w:rsid w:val="00C41E7B"/>
    <w:rsid w:val="00C432C8"/>
    <w:rsid w:val="00C43F5A"/>
    <w:rsid w:val="00C4660C"/>
    <w:rsid w:val="00C47715"/>
    <w:rsid w:val="00C50783"/>
    <w:rsid w:val="00C56637"/>
    <w:rsid w:val="00C57F2B"/>
    <w:rsid w:val="00C607FB"/>
    <w:rsid w:val="00C6402D"/>
    <w:rsid w:val="00C654BD"/>
    <w:rsid w:val="00C67092"/>
    <w:rsid w:val="00C76226"/>
    <w:rsid w:val="00C83423"/>
    <w:rsid w:val="00C83EDC"/>
    <w:rsid w:val="00C84142"/>
    <w:rsid w:val="00C8499A"/>
    <w:rsid w:val="00C84B8A"/>
    <w:rsid w:val="00C90ADB"/>
    <w:rsid w:val="00C92B34"/>
    <w:rsid w:val="00C92EDB"/>
    <w:rsid w:val="00C93E8F"/>
    <w:rsid w:val="00C96AB2"/>
    <w:rsid w:val="00CA1146"/>
    <w:rsid w:val="00CA3096"/>
    <w:rsid w:val="00CA4FB0"/>
    <w:rsid w:val="00CA6241"/>
    <w:rsid w:val="00CB4F2E"/>
    <w:rsid w:val="00CC2628"/>
    <w:rsid w:val="00CD4B1D"/>
    <w:rsid w:val="00CD4B39"/>
    <w:rsid w:val="00CD752C"/>
    <w:rsid w:val="00CE08AE"/>
    <w:rsid w:val="00CE0B1C"/>
    <w:rsid w:val="00CE2791"/>
    <w:rsid w:val="00CE7341"/>
    <w:rsid w:val="00CF0E7A"/>
    <w:rsid w:val="00CF2B48"/>
    <w:rsid w:val="00CF40F0"/>
    <w:rsid w:val="00CF414A"/>
    <w:rsid w:val="00CF4C25"/>
    <w:rsid w:val="00CF6E74"/>
    <w:rsid w:val="00CF7B43"/>
    <w:rsid w:val="00D01D49"/>
    <w:rsid w:val="00D05E3C"/>
    <w:rsid w:val="00D07690"/>
    <w:rsid w:val="00D11BBE"/>
    <w:rsid w:val="00D16B40"/>
    <w:rsid w:val="00D24760"/>
    <w:rsid w:val="00D24D3D"/>
    <w:rsid w:val="00D2682B"/>
    <w:rsid w:val="00D30F4B"/>
    <w:rsid w:val="00D35590"/>
    <w:rsid w:val="00D3633E"/>
    <w:rsid w:val="00D413AB"/>
    <w:rsid w:val="00D444EC"/>
    <w:rsid w:val="00D453F9"/>
    <w:rsid w:val="00D51B5A"/>
    <w:rsid w:val="00D531A1"/>
    <w:rsid w:val="00D5370D"/>
    <w:rsid w:val="00D53AA1"/>
    <w:rsid w:val="00D5596B"/>
    <w:rsid w:val="00D622E5"/>
    <w:rsid w:val="00D630A0"/>
    <w:rsid w:val="00D64536"/>
    <w:rsid w:val="00D65CBC"/>
    <w:rsid w:val="00D75A86"/>
    <w:rsid w:val="00D7678E"/>
    <w:rsid w:val="00D7791B"/>
    <w:rsid w:val="00D83138"/>
    <w:rsid w:val="00D839E9"/>
    <w:rsid w:val="00D9547A"/>
    <w:rsid w:val="00DA033F"/>
    <w:rsid w:val="00DA0ACE"/>
    <w:rsid w:val="00DA1D49"/>
    <w:rsid w:val="00DA520B"/>
    <w:rsid w:val="00DA6101"/>
    <w:rsid w:val="00DB00E5"/>
    <w:rsid w:val="00DB0765"/>
    <w:rsid w:val="00DB11D9"/>
    <w:rsid w:val="00DB397A"/>
    <w:rsid w:val="00DB44D3"/>
    <w:rsid w:val="00DC205D"/>
    <w:rsid w:val="00DC3589"/>
    <w:rsid w:val="00DC37D7"/>
    <w:rsid w:val="00DC39C4"/>
    <w:rsid w:val="00DC715B"/>
    <w:rsid w:val="00DC72A4"/>
    <w:rsid w:val="00DE4A9F"/>
    <w:rsid w:val="00DE5F00"/>
    <w:rsid w:val="00DE758E"/>
    <w:rsid w:val="00DF2755"/>
    <w:rsid w:val="00DF5F57"/>
    <w:rsid w:val="00DF62B2"/>
    <w:rsid w:val="00E034D4"/>
    <w:rsid w:val="00E14175"/>
    <w:rsid w:val="00E243D8"/>
    <w:rsid w:val="00E25E55"/>
    <w:rsid w:val="00E27475"/>
    <w:rsid w:val="00E420FF"/>
    <w:rsid w:val="00E43225"/>
    <w:rsid w:val="00E46D6B"/>
    <w:rsid w:val="00E518A8"/>
    <w:rsid w:val="00E51DA2"/>
    <w:rsid w:val="00E617DA"/>
    <w:rsid w:val="00E627CA"/>
    <w:rsid w:val="00E651E7"/>
    <w:rsid w:val="00E65C71"/>
    <w:rsid w:val="00E672AF"/>
    <w:rsid w:val="00E75357"/>
    <w:rsid w:val="00E82478"/>
    <w:rsid w:val="00E849B7"/>
    <w:rsid w:val="00E861EB"/>
    <w:rsid w:val="00E90795"/>
    <w:rsid w:val="00E95E8B"/>
    <w:rsid w:val="00E96991"/>
    <w:rsid w:val="00E969B0"/>
    <w:rsid w:val="00E97426"/>
    <w:rsid w:val="00EA442B"/>
    <w:rsid w:val="00EA5F3A"/>
    <w:rsid w:val="00EB3665"/>
    <w:rsid w:val="00EB36F7"/>
    <w:rsid w:val="00EB6E77"/>
    <w:rsid w:val="00EC0A64"/>
    <w:rsid w:val="00EC1922"/>
    <w:rsid w:val="00EC3870"/>
    <w:rsid w:val="00EC39E7"/>
    <w:rsid w:val="00EC4DC9"/>
    <w:rsid w:val="00EC5634"/>
    <w:rsid w:val="00EC64D6"/>
    <w:rsid w:val="00EC6FC6"/>
    <w:rsid w:val="00ED1F09"/>
    <w:rsid w:val="00ED404C"/>
    <w:rsid w:val="00ED74D2"/>
    <w:rsid w:val="00ED78A3"/>
    <w:rsid w:val="00EE04AB"/>
    <w:rsid w:val="00EE67AB"/>
    <w:rsid w:val="00EE770C"/>
    <w:rsid w:val="00EF0FFF"/>
    <w:rsid w:val="00EF2998"/>
    <w:rsid w:val="00EF6CB6"/>
    <w:rsid w:val="00F0060F"/>
    <w:rsid w:val="00F00AC2"/>
    <w:rsid w:val="00F00B54"/>
    <w:rsid w:val="00F03202"/>
    <w:rsid w:val="00F03495"/>
    <w:rsid w:val="00F048E7"/>
    <w:rsid w:val="00F062D4"/>
    <w:rsid w:val="00F1090A"/>
    <w:rsid w:val="00F112D0"/>
    <w:rsid w:val="00F11D7F"/>
    <w:rsid w:val="00F20AB3"/>
    <w:rsid w:val="00F24E15"/>
    <w:rsid w:val="00F347A0"/>
    <w:rsid w:val="00F44724"/>
    <w:rsid w:val="00F44F11"/>
    <w:rsid w:val="00F469C4"/>
    <w:rsid w:val="00F46B47"/>
    <w:rsid w:val="00F51D70"/>
    <w:rsid w:val="00F55984"/>
    <w:rsid w:val="00F5617D"/>
    <w:rsid w:val="00F57D98"/>
    <w:rsid w:val="00F610AF"/>
    <w:rsid w:val="00F61EA2"/>
    <w:rsid w:val="00F62CF4"/>
    <w:rsid w:val="00F62FB7"/>
    <w:rsid w:val="00F63C50"/>
    <w:rsid w:val="00F653B4"/>
    <w:rsid w:val="00F70951"/>
    <w:rsid w:val="00F709B1"/>
    <w:rsid w:val="00F74401"/>
    <w:rsid w:val="00F7440C"/>
    <w:rsid w:val="00F75728"/>
    <w:rsid w:val="00F7657F"/>
    <w:rsid w:val="00F76A0D"/>
    <w:rsid w:val="00F83020"/>
    <w:rsid w:val="00F85904"/>
    <w:rsid w:val="00F90557"/>
    <w:rsid w:val="00F921C4"/>
    <w:rsid w:val="00F93EEA"/>
    <w:rsid w:val="00F94CAC"/>
    <w:rsid w:val="00F958D4"/>
    <w:rsid w:val="00F95E80"/>
    <w:rsid w:val="00F96191"/>
    <w:rsid w:val="00F97623"/>
    <w:rsid w:val="00F976AB"/>
    <w:rsid w:val="00FA16EC"/>
    <w:rsid w:val="00FA29A8"/>
    <w:rsid w:val="00FA31D8"/>
    <w:rsid w:val="00FA6E64"/>
    <w:rsid w:val="00FB1254"/>
    <w:rsid w:val="00FC2756"/>
    <w:rsid w:val="00FC27A8"/>
    <w:rsid w:val="00FC4F0A"/>
    <w:rsid w:val="00FD0824"/>
    <w:rsid w:val="00FD0FFB"/>
    <w:rsid w:val="00FD1817"/>
    <w:rsid w:val="00FD1F72"/>
    <w:rsid w:val="00FD2D99"/>
    <w:rsid w:val="00FD3F02"/>
    <w:rsid w:val="00FD522E"/>
    <w:rsid w:val="00FD6311"/>
    <w:rsid w:val="00FE686B"/>
    <w:rsid w:val="00FF074F"/>
    <w:rsid w:val="00FF0BBE"/>
    <w:rsid w:val="00FF2B48"/>
    <w:rsid w:val="00FF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D5CD35"/>
  <w15:docId w15:val="{2FE3BCD5-B9FD-41BB-9E93-004623F2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AFB"/>
    <w:rPr>
      <w:rFonts w:ascii="Verdana" w:hAnsi="Verdana"/>
      <w:sz w:val="22"/>
    </w:rPr>
  </w:style>
  <w:style w:type="paragraph" w:styleId="Heading1">
    <w:name w:val="heading 1"/>
    <w:basedOn w:val="Normal"/>
    <w:next w:val="Normal"/>
    <w:link w:val="Heading1Char"/>
    <w:qFormat/>
    <w:rsid w:val="005C70B1"/>
    <w:pPr>
      <w:outlineLvl w:val="0"/>
    </w:pPr>
    <w:rPr>
      <w:b/>
      <w:szCs w:val="22"/>
    </w:rPr>
  </w:style>
  <w:style w:type="paragraph" w:styleId="Heading2">
    <w:name w:val="heading 2"/>
    <w:basedOn w:val="Normal"/>
    <w:next w:val="Normal"/>
    <w:link w:val="Heading2Char"/>
    <w:qFormat/>
    <w:rsid w:val="00FE686B"/>
    <w:pPr>
      <w:outlineLvl w:val="1"/>
    </w:pPr>
    <w:rPr>
      <w:b/>
      <w:i/>
      <w:szCs w:val="22"/>
    </w:rPr>
  </w:style>
  <w:style w:type="paragraph" w:styleId="Heading3">
    <w:name w:val="heading 3"/>
    <w:basedOn w:val="Normal"/>
    <w:next w:val="Normal"/>
    <w:link w:val="Heading3Char"/>
    <w:autoRedefine/>
    <w:qFormat/>
    <w:rsid w:val="00F51D70"/>
    <w:pPr>
      <w:outlineLvl w:val="2"/>
    </w:pPr>
    <w:rPr>
      <w:b/>
      <w:i/>
      <w:szCs w:val="22"/>
    </w:rPr>
  </w:style>
  <w:style w:type="paragraph" w:styleId="Heading4">
    <w:name w:val="heading 4"/>
    <w:basedOn w:val="Normal"/>
    <w:next w:val="Normal"/>
    <w:qFormat/>
    <w:pPr>
      <w:keepNext/>
      <w:numPr>
        <w:numId w:val="1"/>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A91C44"/>
    <w:rPr>
      <w:szCs w:val="22"/>
    </w:rPr>
  </w:style>
  <w:style w:type="paragraph" w:customStyle="1" w:styleId="Indent">
    <w:name w:val="Indent"/>
    <w:basedOn w:val="Normal"/>
    <w:pPr>
      <w:ind w:left="720" w:right="360"/>
    </w:pPr>
  </w:style>
  <w:style w:type="paragraph" w:styleId="TOC1">
    <w:name w:val="toc 1"/>
    <w:basedOn w:val="Normal"/>
    <w:next w:val="Normal"/>
    <w:autoRedefine/>
    <w:semiHidden/>
    <w:pPr>
      <w:keepNext/>
      <w:tabs>
        <w:tab w:val="left" w:pos="965"/>
        <w:tab w:val="right" w:leader="dot" w:pos="8640"/>
      </w:tabs>
    </w:pPr>
    <w:rPr>
      <w:b/>
      <w:caps/>
    </w:rPr>
  </w:style>
  <w:style w:type="paragraph" w:styleId="TOC2">
    <w:name w:val="toc 2"/>
    <w:basedOn w:val="Normal"/>
    <w:next w:val="Normal"/>
    <w:autoRedefine/>
    <w:semiHidden/>
    <w:pPr>
      <w:ind w:left="245"/>
    </w:pPr>
    <w:rPr>
      <w:b/>
      <w:noProof/>
      <w:sz w:val="20"/>
    </w:rPr>
  </w:style>
  <w:style w:type="paragraph" w:styleId="Title">
    <w:name w:val="Title"/>
    <w:basedOn w:val="Normal"/>
    <w:qFormat/>
    <w:rsid w:val="00EC5634"/>
    <w:pPr>
      <w:jc w:val="center"/>
    </w:pPr>
    <w:rPr>
      <w:b/>
      <w:bCs/>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rPr>
      <w:szCs w:val="24"/>
    </w:rPr>
  </w:style>
  <w:style w:type="paragraph" w:styleId="BodyText">
    <w:name w:val="Body Text"/>
    <w:basedOn w:val="Normal"/>
    <w:rPr>
      <w:i/>
      <w:iCs/>
    </w:rPr>
  </w:style>
  <w:style w:type="paragraph" w:customStyle="1" w:styleId="Changes">
    <w:name w:val="Changes"/>
    <w:basedOn w:val="Normal"/>
    <w:link w:val="ChangesChar"/>
    <w:pPr>
      <w:tabs>
        <w:tab w:val="left" w:pos="2340"/>
      </w:tabs>
      <w:ind w:left="2340" w:hanging="2412"/>
    </w:pPr>
    <w:rPr>
      <w:rFonts w:ascii="Arial" w:hAnsi="Arial"/>
      <w:szCs w:val="24"/>
    </w:rPr>
  </w:style>
  <w:style w:type="character" w:customStyle="1" w:styleId="ChangesChar">
    <w:name w:val="Changes Char"/>
    <w:basedOn w:val="DefaultParagraphFont"/>
    <w:link w:val="Changes"/>
    <w:rPr>
      <w:rFonts w:ascii="Arial" w:hAnsi="Arial"/>
      <w:sz w:val="24"/>
      <w:szCs w:val="24"/>
      <w:lang w:val="en-US" w:eastAsia="en-US" w:bidi="ar-S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character" w:styleId="Emphasis">
    <w:name w:val="Emphasis"/>
    <w:basedOn w:val="DefaultParagraphFont"/>
    <w:qFormat/>
    <w:rPr>
      <w:i/>
      <w:iCs/>
    </w:rPr>
  </w:style>
  <w:style w:type="character" w:customStyle="1" w:styleId="Heading3Char">
    <w:name w:val="Heading 3 Char"/>
    <w:basedOn w:val="DefaultParagraphFont"/>
    <w:link w:val="Heading3"/>
    <w:rsid w:val="00F51D70"/>
    <w:rPr>
      <w:rFonts w:ascii="Verdana" w:hAnsi="Verdana"/>
      <w:b/>
      <w:i/>
      <w:sz w:val="22"/>
      <w:szCs w:val="22"/>
      <w:lang w:val="en-US" w:eastAsia="en-US" w:bidi="ar-SA"/>
    </w:rPr>
  </w:style>
  <w:style w:type="character" w:customStyle="1" w:styleId="Heading2Char">
    <w:name w:val="Heading 2 Char"/>
    <w:basedOn w:val="DefaultParagraphFont"/>
    <w:link w:val="Heading2"/>
    <w:rsid w:val="00FE686B"/>
    <w:rPr>
      <w:rFonts w:ascii="Verdana" w:hAnsi="Verdana"/>
      <w:b/>
      <w:i/>
      <w:sz w:val="22"/>
      <w:szCs w:val="22"/>
    </w:rPr>
  </w:style>
  <w:style w:type="paragraph" w:customStyle="1" w:styleId="BulletList">
    <w:name w:val="Bullet List"/>
    <w:basedOn w:val="Text"/>
    <w:rsid w:val="00FE686B"/>
    <w:pPr>
      <w:numPr>
        <w:numId w:val="5"/>
      </w:numPr>
    </w:pPr>
  </w:style>
  <w:style w:type="paragraph" w:customStyle="1" w:styleId="BulletList2">
    <w:name w:val="Bullet List 2"/>
    <w:basedOn w:val="ListParagraph"/>
    <w:link w:val="BulletList2Char"/>
    <w:rsid w:val="00FE686B"/>
    <w:pPr>
      <w:numPr>
        <w:ilvl w:val="1"/>
        <w:numId w:val="4"/>
      </w:numPr>
    </w:pPr>
    <w:rPr>
      <w:szCs w:val="22"/>
    </w:rPr>
  </w:style>
  <w:style w:type="paragraph" w:styleId="ListBullet">
    <w:name w:val="List Bullet"/>
    <w:basedOn w:val="Normal"/>
    <w:link w:val="ListBulletChar"/>
    <w:rsid w:val="0000746B"/>
    <w:pPr>
      <w:numPr>
        <w:numId w:val="3"/>
      </w:numPr>
    </w:pPr>
  </w:style>
  <w:style w:type="paragraph" w:customStyle="1" w:styleId="Text-Shaded">
    <w:name w:val="Text-Shaded"/>
    <w:basedOn w:val="Text"/>
    <w:rsid w:val="00263E86"/>
    <w:pPr>
      <w:shd w:val="clear" w:color="auto" w:fill="CCCCCC"/>
    </w:pPr>
  </w:style>
  <w:style w:type="character" w:customStyle="1" w:styleId="ListBulletChar">
    <w:name w:val="List Bullet Char"/>
    <w:basedOn w:val="DefaultParagraphFont"/>
    <w:link w:val="ListBullet"/>
    <w:rsid w:val="00263E86"/>
    <w:rPr>
      <w:rFonts w:ascii="Verdana" w:hAnsi="Verdana"/>
      <w:sz w:val="22"/>
    </w:rPr>
  </w:style>
  <w:style w:type="character" w:customStyle="1" w:styleId="BulletList2Char">
    <w:name w:val="Bullet List 2 Char"/>
    <w:basedOn w:val="ListBulletChar"/>
    <w:link w:val="BulletList2"/>
    <w:rsid w:val="00FE686B"/>
    <w:rPr>
      <w:rFonts w:ascii="Verdana" w:hAnsi="Verdana"/>
      <w:sz w:val="22"/>
      <w:szCs w:val="22"/>
      <w:lang w:val="en-US" w:eastAsia="en-US" w:bidi="ar-SA"/>
    </w:rPr>
  </w:style>
  <w:style w:type="paragraph" w:customStyle="1" w:styleId="BulletList3">
    <w:name w:val="Bullet List 3"/>
    <w:basedOn w:val="ListBullet"/>
    <w:rsid w:val="004B203D"/>
    <w:pPr>
      <w:numPr>
        <w:ilvl w:val="1"/>
        <w:numId w:val="2"/>
      </w:numPr>
    </w:pPr>
    <w:rPr>
      <w:i/>
      <w:szCs w:val="22"/>
    </w:rPr>
  </w:style>
  <w:style w:type="paragraph" w:styleId="ListParagraph">
    <w:name w:val="List Paragraph"/>
    <w:basedOn w:val="Normal"/>
    <w:uiPriority w:val="34"/>
    <w:qFormat/>
    <w:rsid w:val="006D04EF"/>
    <w:pPr>
      <w:ind w:left="720"/>
      <w:contextualSpacing/>
    </w:pPr>
  </w:style>
  <w:style w:type="character" w:customStyle="1" w:styleId="Heading1Char">
    <w:name w:val="Heading 1 Char"/>
    <w:basedOn w:val="DefaultParagraphFont"/>
    <w:link w:val="Heading1"/>
    <w:rsid w:val="005C70B1"/>
    <w:rPr>
      <w:rFonts w:ascii="Verdana" w:hAnsi="Verdana"/>
      <w:b/>
      <w:sz w:val="22"/>
      <w:szCs w:val="22"/>
    </w:rPr>
  </w:style>
  <w:style w:type="character" w:customStyle="1" w:styleId="TextChar">
    <w:name w:val="Text Char"/>
    <w:basedOn w:val="DefaultParagraphFont"/>
    <w:link w:val="Text"/>
    <w:rsid w:val="00ED404C"/>
    <w:rPr>
      <w:rFonts w:ascii="Verdana" w:hAnsi="Verdana"/>
      <w:sz w:val="22"/>
      <w:szCs w:val="22"/>
    </w:rPr>
  </w:style>
  <w:style w:type="table" w:styleId="TableGrid">
    <w:name w:val="Table Grid"/>
    <w:basedOn w:val="TableNormal"/>
    <w:uiPriority w:val="59"/>
    <w:rsid w:val="00566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4516EB"/>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78048">
      <w:bodyDiv w:val="1"/>
      <w:marLeft w:val="0"/>
      <w:marRight w:val="0"/>
      <w:marTop w:val="0"/>
      <w:marBottom w:val="0"/>
      <w:divBdr>
        <w:top w:val="none" w:sz="0" w:space="0" w:color="auto"/>
        <w:left w:val="none" w:sz="0" w:space="0" w:color="auto"/>
        <w:bottom w:val="none" w:sz="0" w:space="0" w:color="auto"/>
        <w:right w:val="none" w:sz="0" w:space="0" w:color="auto"/>
      </w:divBdr>
      <w:divsChild>
        <w:div w:id="404768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44B6-61D4-4994-B0EF-66B6ACEF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11671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HIGHLIGHTS – TMEP 4th EDITION – APRIL 2005</vt:lpstr>
    </vt:vector>
  </TitlesOfParts>
  <Company>USPTO</Company>
  <LinksUpToDate>false</LinksUpToDate>
  <CharactersWithSpaces>13668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 TMEP 4th EDITION – APRIL 2005</dc:title>
  <dc:creator>USPTO</dc:creator>
  <cp:lastModifiedBy>Marsh, Sharon</cp:lastModifiedBy>
  <cp:revision>2</cp:revision>
  <cp:lastPrinted>2011-09-20T11:43:00Z</cp:lastPrinted>
  <dcterms:created xsi:type="dcterms:W3CDTF">2016-04-28T14:39:00Z</dcterms:created>
  <dcterms:modified xsi:type="dcterms:W3CDTF">2016-04-28T14:39:00Z</dcterms:modified>
</cp:coreProperties>
</file>