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F9" w:rsidRPr="00F428A5" w:rsidRDefault="007151F9" w:rsidP="007151F9">
      <w:pPr>
        <w:pStyle w:val="Title"/>
        <w:rPr>
          <w:u w:val="single"/>
        </w:rPr>
      </w:pPr>
      <w:r w:rsidRPr="00F428A5">
        <w:rPr>
          <w:u w:val="single"/>
        </w:rPr>
        <w:t xml:space="preserve">Examination Guide </w:t>
      </w:r>
      <w:r w:rsidR="00F62BF8" w:rsidRPr="00F428A5">
        <w:rPr>
          <w:u w:val="single"/>
        </w:rPr>
        <w:t>01</w:t>
      </w:r>
      <w:r w:rsidR="00EB7240">
        <w:rPr>
          <w:u w:val="single"/>
        </w:rPr>
        <w:t>-16</w:t>
      </w:r>
    </w:p>
    <w:p w:rsidR="007151F9" w:rsidRDefault="00C718C6" w:rsidP="007151F9">
      <w:pPr>
        <w:pStyle w:val="Title"/>
      </w:pPr>
      <w:r w:rsidRPr="00C718C6">
        <w:t xml:space="preserve">Examination for Compliance with Section 2(a)’s </w:t>
      </w:r>
      <w:proofErr w:type="spellStart"/>
      <w:r w:rsidRPr="00C718C6">
        <w:t>Scandalous</w:t>
      </w:r>
      <w:r w:rsidR="001F4C82">
        <w:t>ness</w:t>
      </w:r>
      <w:proofErr w:type="spellEnd"/>
      <w:r w:rsidRPr="00C718C6">
        <w:t xml:space="preserve"> and Disparagement Provisions While Constitutionality Remains in Question</w:t>
      </w:r>
    </w:p>
    <w:p w:rsidR="007151F9" w:rsidRDefault="007151F9" w:rsidP="007151F9">
      <w:pPr>
        <w:pStyle w:val="Title"/>
      </w:pPr>
      <w:r w:rsidRPr="000E520A">
        <w:t xml:space="preserve">Issued </w:t>
      </w:r>
      <w:r>
        <w:t>March</w:t>
      </w:r>
      <w:r w:rsidR="00F62BF8">
        <w:t xml:space="preserve"> 10</w:t>
      </w:r>
      <w:r>
        <w:t>, 2016</w:t>
      </w:r>
    </w:p>
    <w:p w:rsidR="008F4415" w:rsidRPr="006C534A" w:rsidRDefault="008F4415" w:rsidP="007151F9">
      <w:pPr>
        <w:pStyle w:val="Title"/>
      </w:pPr>
    </w:p>
    <w:p w:rsidR="003B371B" w:rsidRDefault="000C4920" w:rsidP="007151F9">
      <w:pPr>
        <w:ind w:firstLine="0"/>
      </w:pPr>
      <w:r>
        <w:t xml:space="preserve">Section 2(a) of the Lanham Act, 15 U.S.C. § 2(a), bars registration </w:t>
      </w:r>
      <w:r w:rsidR="007151F9">
        <w:t xml:space="preserve">of marks that </w:t>
      </w:r>
      <w:r w:rsidR="007151F9" w:rsidRPr="007151F9">
        <w:t xml:space="preserve">consist of or </w:t>
      </w:r>
      <w:r w:rsidR="007151F9">
        <w:t xml:space="preserve">comprise </w:t>
      </w:r>
      <w:r>
        <w:t xml:space="preserve">immoral or scandalous </w:t>
      </w:r>
      <w:r w:rsidR="007151F9" w:rsidRPr="007151F9">
        <w:t>matter</w:t>
      </w:r>
      <w:r>
        <w:t xml:space="preserve"> (“the </w:t>
      </w:r>
      <w:proofErr w:type="spellStart"/>
      <w:r>
        <w:t>scandalous</w:t>
      </w:r>
      <w:r w:rsidR="00FA54DD">
        <w:t>ness</w:t>
      </w:r>
      <w:proofErr w:type="spellEnd"/>
      <w:r>
        <w:t xml:space="preserve"> provision”), or matter which may disparage persons, institutions, beliefs, or national symbols, or bring them into contempt or disrepute (“the disparagement provision”).  Both the </w:t>
      </w:r>
      <w:proofErr w:type="spellStart"/>
      <w:r>
        <w:t>scandalous</w:t>
      </w:r>
      <w:r w:rsidR="00F44AB1">
        <w:t>ness</w:t>
      </w:r>
      <w:proofErr w:type="spellEnd"/>
      <w:r>
        <w:t xml:space="preserve"> and disparagement </w:t>
      </w:r>
      <w:bookmarkStart w:id="0" w:name="_GoBack"/>
      <w:bookmarkEnd w:id="0"/>
      <w:r>
        <w:t xml:space="preserve">provisions of Section 2(a) are the subject of active court litigation </w:t>
      </w:r>
      <w:r w:rsidR="008F4415">
        <w:t>involving the</w:t>
      </w:r>
      <w:r w:rsidR="00F44AB1">
        <w:t>ir</w:t>
      </w:r>
      <w:r w:rsidR="008F4415">
        <w:t xml:space="preserve"> constitutionality</w:t>
      </w:r>
      <w:r>
        <w:t xml:space="preserve">.  </w:t>
      </w:r>
      <w:r w:rsidR="00EF2158">
        <w:t xml:space="preserve">The outcome of these pending court actions </w:t>
      </w:r>
      <w:r w:rsidR="00BE621C">
        <w:t xml:space="preserve">is </w:t>
      </w:r>
      <w:r w:rsidR="00EF2158">
        <w:t xml:space="preserve">relevant to the issue of </w:t>
      </w:r>
      <w:proofErr w:type="spellStart"/>
      <w:r w:rsidR="00EF2158">
        <w:t>registrability</w:t>
      </w:r>
      <w:proofErr w:type="spellEnd"/>
      <w:r w:rsidR="00EF2158">
        <w:t xml:space="preserve"> of marks with the USPTO</w:t>
      </w:r>
      <w:r w:rsidR="00411EFB">
        <w:t>.  C</w:t>
      </w:r>
      <w:r w:rsidR="00EF2158">
        <w:t xml:space="preserve">onsistent with normal USPTO procedures, </w:t>
      </w:r>
      <w:r w:rsidR="00411EFB">
        <w:t xml:space="preserve">the USPTO will be suspending action on </w:t>
      </w:r>
      <w:r w:rsidR="00EF2158">
        <w:t>pending applications involving marks subject to refusal under these provisions</w:t>
      </w:r>
      <w:r w:rsidR="00411EFB">
        <w:t xml:space="preserve"> in Section 2(a)</w:t>
      </w:r>
      <w:r w:rsidR="00EF2158">
        <w:t xml:space="preserve">, as discussed below.  </w:t>
      </w:r>
      <w:r w:rsidR="00EF2158" w:rsidRPr="00A73C33">
        <w:rPr>
          <w:i/>
        </w:rPr>
        <w:t>See</w:t>
      </w:r>
      <w:r w:rsidR="00EF2158" w:rsidRPr="00B57F71">
        <w:t xml:space="preserve"> 37 C.F.R. §2.67; TMEP §§716-716.02.</w:t>
      </w:r>
      <w:r w:rsidR="00EF2158">
        <w:t xml:space="preserve">  </w:t>
      </w:r>
    </w:p>
    <w:p w:rsidR="00FA54DD" w:rsidRDefault="009811D5" w:rsidP="00B57F71">
      <w:pPr>
        <w:ind w:firstLine="0"/>
      </w:pPr>
      <w:r>
        <w:t xml:space="preserve">The constitutionality of the </w:t>
      </w:r>
      <w:proofErr w:type="spellStart"/>
      <w:r>
        <w:t>scandalousness</w:t>
      </w:r>
      <w:proofErr w:type="spellEnd"/>
      <w:r>
        <w:t xml:space="preserve"> provision is an issue that the USPTO expects to be decided by the Federal Circuit in </w:t>
      </w:r>
      <w:r>
        <w:rPr>
          <w:i/>
        </w:rPr>
        <w:t>In re Brunetti</w:t>
      </w:r>
      <w:r>
        <w:t xml:space="preserve"> (No. 15-1109).  </w:t>
      </w:r>
      <w:r w:rsidR="00192AA4">
        <w:t xml:space="preserve">The constitutionality of the disparagement provision is an issue in two cases in the federal courts of appeal:  </w:t>
      </w:r>
      <w:r w:rsidR="00192AA4" w:rsidRPr="00192AA4">
        <w:rPr>
          <w:i/>
        </w:rPr>
        <w:t>In re Tam</w:t>
      </w:r>
      <w:r w:rsidR="00192AA4">
        <w:t xml:space="preserve"> (No. </w:t>
      </w:r>
      <w:r w:rsidR="00FA54DD">
        <w:t>1</w:t>
      </w:r>
      <w:r w:rsidR="00192AA4">
        <w:t xml:space="preserve">4-1203, Federal Circuit), and </w:t>
      </w:r>
      <w:r w:rsidR="00192AA4" w:rsidRPr="00192AA4">
        <w:rPr>
          <w:i/>
        </w:rPr>
        <w:t>Pro-Football v. Blackhorse</w:t>
      </w:r>
      <w:r w:rsidR="00192AA4">
        <w:t xml:space="preserve"> (</w:t>
      </w:r>
      <w:r w:rsidR="00FA54DD">
        <w:t>No. 15</w:t>
      </w:r>
      <w:r w:rsidR="00FA54DD">
        <w:noBreakHyphen/>
        <w:t xml:space="preserve">1874, </w:t>
      </w:r>
      <w:r w:rsidR="00192AA4">
        <w:t xml:space="preserve">Fourth Circuit).  </w:t>
      </w:r>
      <w:r w:rsidR="00FA54DD">
        <w:t xml:space="preserve">The </w:t>
      </w:r>
      <w:r w:rsidR="00FA54DD" w:rsidRPr="00FA54DD">
        <w:rPr>
          <w:i/>
        </w:rPr>
        <w:t>Pro-Football</w:t>
      </w:r>
      <w:r w:rsidR="00FA54DD">
        <w:t xml:space="preserve"> </w:t>
      </w:r>
      <w:r w:rsidR="008F4415">
        <w:t xml:space="preserve">appeal </w:t>
      </w:r>
      <w:r w:rsidR="00FA54DD">
        <w:t xml:space="preserve">remains pending </w:t>
      </w:r>
      <w:r w:rsidR="008F4415">
        <w:t xml:space="preserve">before </w:t>
      </w:r>
      <w:r w:rsidR="00FA54DD">
        <w:t xml:space="preserve">the </w:t>
      </w:r>
      <w:r w:rsidR="008F4415">
        <w:t xml:space="preserve">U.S. Court of Appeals for the </w:t>
      </w:r>
      <w:r w:rsidR="00FA54DD">
        <w:t xml:space="preserve">Fourth Circuit.  The </w:t>
      </w:r>
      <w:r w:rsidR="00FA54DD" w:rsidRPr="008F4415">
        <w:rPr>
          <w:i/>
        </w:rPr>
        <w:t>Tam</w:t>
      </w:r>
      <w:r w:rsidR="00FA54DD">
        <w:t xml:space="preserve"> </w:t>
      </w:r>
      <w:r w:rsidR="008F4415">
        <w:t xml:space="preserve">appeal </w:t>
      </w:r>
      <w:r w:rsidR="00FA54DD">
        <w:t xml:space="preserve">was decided by the </w:t>
      </w:r>
      <w:r w:rsidR="000C4920" w:rsidRPr="000C4920">
        <w:t xml:space="preserve">U.S. Court of Appeals for the Federal Circuit </w:t>
      </w:r>
      <w:r w:rsidR="00FA54DD">
        <w:t xml:space="preserve">on </w:t>
      </w:r>
      <w:r w:rsidR="00FA54DD" w:rsidRPr="000C4920">
        <w:t>December 22, 2015</w:t>
      </w:r>
      <w:r w:rsidR="00FA54DD">
        <w:t xml:space="preserve">. </w:t>
      </w:r>
      <w:r w:rsidR="003A3196">
        <w:t xml:space="preserve"> </w:t>
      </w:r>
      <w:r w:rsidR="00FA54DD">
        <w:t xml:space="preserve">The Federal Circuit held </w:t>
      </w:r>
      <w:r w:rsidR="00FA54DD" w:rsidRPr="000C4920">
        <w:t xml:space="preserve">that the </w:t>
      </w:r>
      <w:r w:rsidR="00FA54DD">
        <w:t xml:space="preserve">disparagement </w:t>
      </w:r>
      <w:r w:rsidR="00FA54DD" w:rsidRPr="000C4920">
        <w:t xml:space="preserve">provision is </w:t>
      </w:r>
      <w:r w:rsidR="00007483">
        <w:t xml:space="preserve">facially </w:t>
      </w:r>
      <w:r w:rsidR="00FA54DD" w:rsidRPr="000C4920">
        <w:t>unconstitutional under the First Amendment</w:t>
      </w:r>
      <w:r w:rsidR="00FA54DD">
        <w:t>, abrogating</w:t>
      </w:r>
      <w:r w:rsidR="000C4920" w:rsidRPr="000C4920">
        <w:t xml:space="preserve"> prior circuit precedent </w:t>
      </w:r>
      <w:r w:rsidR="00FA54DD">
        <w:t>that had found the provision constitutional</w:t>
      </w:r>
      <w:r w:rsidR="000C4920" w:rsidRPr="000C4920">
        <w:t xml:space="preserve">.  </w:t>
      </w:r>
      <w:r w:rsidR="000C4920" w:rsidRPr="000C4920">
        <w:rPr>
          <w:i/>
        </w:rPr>
        <w:t>In re Tam</w:t>
      </w:r>
      <w:r w:rsidR="000C4920" w:rsidRPr="000C4920">
        <w:t>, 808 F.3d 1321, 1358, 117 USPQ2d 1001, 1025 (Fed. Cir. 2015) (</w:t>
      </w:r>
      <w:proofErr w:type="spellStart"/>
      <w:r w:rsidR="000C4920" w:rsidRPr="00B54FA8">
        <w:rPr>
          <w:i/>
        </w:rPr>
        <w:t>en</w:t>
      </w:r>
      <w:proofErr w:type="spellEnd"/>
      <w:r w:rsidR="000C4920" w:rsidRPr="00B54FA8">
        <w:rPr>
          <w:i/>
        </w:rPr>
        <w:t xml:space="preserve"> banc</w:t>
      </w:r>
      <w:r w:rsidR="000C4920" w:rsidRPr="000C4920">
        <w:t xml:space="preserve">), as corrected (Feb. 11, 2016).  </w:t>
      </w:r>
      <w:r w:rsidR="003A3196">
        <w:t xml:space="preserve">The </w:t>
      </w:r>
      <w:r w:rsidR="003A3196">
        <w:rPr>
          <w:i/>
        </w:rPr>
        <w:t xml:space="preserve">Tam </w:t>
      </w:r>
      <w:r w:rsidR="003A3196">
        <w:t xml:space="preserve">decision remains subject to potential Supreme Court review.  28 U.SC. §1254; </w:t>
      </w:r>
      <w:r w:rsidR="003A3196">
        <w:rPr>
          <w:i/>
        </w:rPr>
        <w:t xml:space="preserve">see also </w:t>
      </w:r>
      <w:r w:rsidR="003A3196">
        <w:t>Application of Michelle K. Lee to Extend the Time to File a Petition for a Writ of Certiorari, March 9, 2016 (Supreme Court No.15A925).</w:t>
      </w:r>
    </w:p>
    <w:p w:rsidR="000C4920" w:rsidRPr="000C4920" w:rsidRDefault="00A73C33" w:rsidP="000C4920">
      <w:pPr>
        <w:ind w:firstLine="0"/>
      </w:pPr>
      <w:r>
        <w:t xml:space="preserve">The USPTO </w:t>
      </w:r>
      <w:r w:rsidR="009B2683">
        <w:t>continue</w:t>
      </w:r>
      <w:r>
        <w:t>s</w:t>
      </w:r>
      <w:r w:rsidR="009B2683">
        <w:t xml:space="preserve"> to examine applications for compliance with the </w:t>
      </w:r>
      <w:proofErr w:type="spellStart"/>
      <w:r w:rsidR="009B2683">
        <w:t>scandalousness</w:t>
      </w:r>
      <w:proofErr w:type="spellEnd"/>
      <w:r w:rsidR="009B2683">
        <w:t xml:space="preserve"> and disparagement provisions in Section 2(a) according to the existing guidance in the Trademark Manual of Examining Procedure § 1203.  </w:t>
      </w:r>
      <w:r w:rsidR="00394B08">
        <w:t xml:space="preserve">While </w:t>
      </w:r>
      <w:r w:rsidR="009B2683">
        <w:t>the constitutionality of the</w:t>
      </w:r>
      <w:r w:rsidR="00411EFB">
        <w:t xml:space="preserve">se provisions </w:t>
      </w:r>
      <w:r w:rsidR="00007483">
        <w:t>remains in question</w:t>
      </w:r>
      <w:r w:rsidR="009B2683">
        <w:t xml:space="preserve"> and subject to </w:t>
      </w:r>
      <w:r w:rsidR="003A3196">
        <w:t xml:space="preserve">potential </w:t>
      </w:r>
      <w:r w:rsidR="009B2683">
        <w:t xml:space="preserve">Supreme Court review, </w:t>
      </w:r>
      <w:r>
        <w:t xml:space="preserve">for any new </w:t>
      </w:r>
      <w:r w:rsidR="009811D5">
        <w:t>applications</w:t>
      </w:r>
      <w:r>
        <w:t xml:space="preserve"> </w:t>
      </w:r>
      <w:r w:rsidR="009B2683">
        <w:t>the USPTO will issue only advisory refusals on the grounds that a mark consists of or comprises scandalous, immoral, or disparaging matter</w:t>
      </w:r>
      <w:r w:rsidR="003A3196">
        <w:t xml:space="preserve"> under Section 2(a)</w:t>
      </w:r>
      <w:r w:rsidR="009B2683">
        <w:t xml:space="preserve">.  If </w:t>
      </w:r>
      <w:r w:rsidR="008F4415">
        <w:t xml:space="preserve">a mark’s </w:t>
      </w:r>
      <w:proofErr w:type="spellStart"/>
      <w:r w:rsidR="008F4415">
        <w:t>registrability</w:t>
      </w:r>
      <w:proofErr w:type="spellEnd"/>
      <w:r w:rsidR="008F4415">
        <w:t xml:space="preserve"> under these provisions in </w:t>
      </w:r>
      <w:r w:rsidR="009B2683">
        <w:t xml:space="preserve">Section 2(a) is the only issue, the </w:t>
      </w:r>
      <w:r w:rsidR="008F4415">
        <w:t xml:space="preserve">examining attorney will identify the reasons for the advisory refusal and suspend action on the application </w:t>
      </w:r>
      <w:r w:rsidR="009B2683">
        <w:t xml:space="preserve">in the first Office action.  </w:t>
      </w:r>
      <w:r w:rsidR="009811D5">
        <w:t xml:space="preserve">For all applications, including those initially examined before the Federal Circuit’s decision in </w:t>
      </w:r>
      <w:r w:rsidR="009811D5">
        <w:rPr>
          <w:i/>
        </w:rPr>
        <w:t>Tam</w:t>
      </w:r>
      <w:r w:rsidR="009811D5">
        <w:t>, i</w:t>
      </w:r>
      <w:r w:rsidR="009B2683">
        <w:t xml:space="preserve">f </w:t>
      </w:r>
      <w:r w:rsidR="009811D5">
        <w:t xml:space="preserve">the examining attorney made </w:t>
      </w:r>
      <w:r w:rsidR="009B2683">
        <w:t>other requirements or refusals in the first Office action</w:t>
      </w:r>
      <w:r w:rsidR="008F4415">
        <w:t xml:space="preserve">, action on the </w:t>
      </w:r>
      <w:r w:rsidR="00B57F71" w:rsidRPr="00B57F71">
        <w:t xml:space="preserve">application will be </w:t>
      </w:r>
      <w:r w:rsidR="008F4415">
        <w:t xml:space="preserve">suspended </w:t>
      </w:r>
      <w:r w:rsidR="00B57F71" w:rsidRPr="00B57F71">
        <w:t>when the application is in condition for final action</w:t>
      </w:r>
      <w:r w:rsidR="00C47E9D">
        <w:t xml:space="preserve"> on those other requirements or refusals</w:t>
      </w:r>
      <w:r w:rsidR="008F4415">
        <w:t xml:space="preserve">.  Any suspension of an application </w:t>
      </w:r>
      <w:r w:rsidR="00F44AB1">
        <w:t xml:space="preserve">based on </w:t>
      </w:r>
      <w:r w:rsidR="008F4415">
        <w:t xml:space="preserve">the </w:t>
      </w:r>
      <w:proofErr w:type="spellStart"/>
      <w:r w:rsidR="008F4415">
        <w:t>scandalousness</w:t>
      </w:r>
      <w:proofErr w:type="spellEnd"/>
      <w:r w:rsidR="008F4415">
        <w:t xml:space="preserve"> </w:t>
      </w:r>
      <w:r w:rsidR="00C47E9D">
        <w:t xml:space="preserve">provision of Section 2(a) will remain in place until the Federal Circuit issues a decision in </w:t>
      </w:r>
      <w:r w:rsidR="00C47E9D">
        <w:rPr>
          <w:i/>
        </w:rPr>
        <w:t>Brunetti</w:t>
      </w:r>
      <w:r w:rsidR="003A3196">
        <w:t>,</w:t>
      </w:r>
      <w:r w:rsidR="00C47E9D">
        <w:t xml:space="preserve"> </w:t>
      </w:r>
      <w:r w:rsidR="003A3196">
        <w:t xml:space="preserve">after which </w:t>
      </w:r>
      <w:r w:rsidR="00C47E9D">
        <w:t xml:space="preserve">the </w:t>
      </w:r>
      <w:r w:rsidR="003A3196">
        <w:t xml:space="preserve">USPTO will re-evaluate the </w:t>
      </w:r>
      <w:r w:rsidR="00C47E9D">
        <w:t>need for further suspension.  Any suspension of an application</w:t>
      </w:r>
      <w:r w:rsidR="00411EFB">
        <w:t xml:space="preserve"> </w:t>
      </w:r>
      <w:r w:rsidR="00F44AB1">
        <w:t xml:space="preserve">based on </w:t>
      </w:r>
      <w:r w:rsidR="00C47E9D">
        <w:t>the disparagement provision</w:t>
      </w:r>
      <w:r w:rsidR="008F4415">
        <w:t xml:space="preserve"> of Section 2(a) will remain in place </w:t>
      </w:r>
      <w:r w:rsidR="00B57F71" w:rsidRPr="00B57F71">
        <w:t xml:space="preserve">until </w:t>
      </w:r>
      <w:r w:rsidR="009E4DE9">
        <w:t xml:space="preserve">at least </w:t>
      </w:r>
      <w:r w:rsidR="00B57F71" w:rsidRPr="00B57F71">
        <w:t xml:space="preserve">the </w:t>
      </w:r>
      <w:r w:rsidR="00C47E9D">
        <w:t xml:space="preserve">last </w:t>
      </w:r>
      <w:r w:rsidR="00B57F71" w:rsidRPr="00B57F71">
        <w:t xml:space="preserve">of the following occurs:  (1) the period to petition for a writ of certiorari (including any extensions) in </w:t>
      </w:r>
      <w:r w:rsidR="00B57F71" w:rsidRPr="00C47E9D">
        <w:rPr>
          <w:i/>
        </w:rPr>
        <w:t>Tam</w:t>
      </w:r>
      <w:r w:rsidR="00B57F71" w:rsidRPr="00B57F71">
        <w:t xml:space="preserve"> expires without a petition being filed; (2) a petition f</w:t>
      </w:r>
      <w:r w:rsidR="00602C4D">
        <w:t>or certiorari is denied; or (3) </w:t>
      </w:r>
      <w:r w:rsidR="00B57F71" w:rsidRPr="00B57F71">
        <w:t>certiorari is granted and the U.S. Supreme Court issues a decision.</w:t>
      </w:r>
    </w:p>
    <w:sectPr w:rsidR="000C4920" w:rsidRPr="000C4920" w:rsidSect="00A73C3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346E7"/>
    <w:multiLevelType w:val="multilevel"/>
    <w:tmpl w:val="1BF6105C"/>
    <w:lvl w:ilvl="0">
      <w:start w:val="1"/>
      <w:numFmt w:val="upperRoman"/>
      <w:pStyle w:val="Heading1"/>
      <w:lvlText w:val="%1."/>
      <w:lvlJc w:val="center"/>
      <w:pPr>
        <w:tabs>
          <w:tab w:val="num" w:pos="72"/>
        </w:tabs>
        <w:ind w:left="-288" w:firstLine="288"/>
      </w:pPr>
      <w:rPr>
        <w:rFonts w:ascii="Times New Roman" w:hAnsi="Times New Roman" w:cs="Times New Roman" w:hint="default"/>
        <w:b/>
        <w:i w:val="0"/>
        <w:caps/>
        <w:sz w:val="28"/>
        <w:szCs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700"/>
        </w:tabs>
        <w:ind w:left="23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F9"/>
    <w:rsid w:val="00007483"/>
    <w:rsid w:val="0007035B"/>
    <w:rsid w:val="000C4920"/>
    <w:rsid w:val="00192AA4"/>
    <w:rsid w:val="001F4C82"/>
    <w:rsid w:val="00273A1B"/>
    <w:rsid w:val="00394B08"/>
    <w:rsid w:val="003A3196"/>
    <w:rsid w:val="003B371B"/>
    <w:rsid w:val="003D0F23"/>
    <w:rsid w:val="00411EFB"/>
    <w:rsid w:val="00471730"/>
    <w:rsid w:val="004968F3"/>
    <w:rsid w:val="00602C4D"/>
    <w:rsid w:val="006E4C1E"/>
    <w:rsid w:val="007151F9"/>
    <w:rsid w:val="008F4415"/>
    <w:rsid w:val="00914357"/>
    <w:rsid w:val="009811D5"/>
    <w:rsid w:val="009B2683"/>
    <w:rsid w:val="009E4DE9"/>
    <w:rsid w:val="009F7135"/>
    <w:rsid w:val="00A73C33"/>
    <w:rsid w:val="00B54FA8"/>
    <w:rsid w:val="00B57F71"/>
    <w:rsid w:val="00BE621C"/>
    <w:rsid w:val="00C47E9D"/>
    <w:rsid w:val="00C718C6"/>
    <w:rsid w:val="00CA1EAF"/>
    <w:rsid w:val="00CA4A00"/>
    <w:rsid w:val="00EB7240"/>
    <w:rsid w:val="00EE0617"/>
    <w:rsid w:val="00EF2158"/>
    <w:rsid w:val="00F428A5"/>
    <w:rsid w:val="00F44AB1"/>
    <w:rsid w:val="00F62BF8"/>
    <w:rsid w:val="00FA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539AF-3C19-4680-BC47-E575323D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135"/>
    <w:pPr>
      <w:spacing w:after="24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FirstIndent2"/>
    <w:link w:val="Heading1Char"/>
    <w:qFormat/>
    <w:rsid w:val="00CA4A00"/>
    <w:pPr>
      <w:numPr>
        <w:numId w:val="4"/>
      </w:numPr>
      <w:tabs>
        <w:tab w:val="left" w:pos="720"/>
      </w:tabs>
      <w:spacing w:after="0" w:line="480" w:lineRule="auto"/>
      <w:outlineLvl w:val="0"/>
    </w:pPr>
    <w:rPr>
      <w:rFonts w:eastAsia="Times New Roman" w:cs="Arial"/>
      <w:b/>
      <w:bCs/>
      <w:caps/>
      <w:color w:val="000000" w:themeColor="text1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A4A00"/>
    <w:pPr>
      <w:keepNext/>
      <w:numPr>
        <w:ilvl w:val="1"/>
        <w:numId w:val="4"/>
      </w:numPr>
      <w:tabs>
        <w:tab w:val="left" w:pos="1440"/>
      </w:tabs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A4A00"/>
    <w:pPr>
      <w:keepNext/>
      <w:numPr>
        <w:ilvl w:val="2"/>
        <w:numId w:val="4"/>
      </w:numPr>
      <w:outlineLvl w:val="2"/>
    </w:pPr>
    <w:rPr>
      <w:rFonts w:eastAsia="Times New Roman" w:cs="Arial"/>
      <w:b/>
      <w:bCs/>
      <w:sz w:val="28"/>
      <w:szCs w:val="26"/>
    </w:rPr>
  </w:style>
  <w:style w:type="paragraph" w:styleId="Heading4">
    <w:name w:val="heading 4"/>
    <w:basedOn w:val="Normal"/>
    <w:next w:val="BodyTextIndent2"/>
    <w:link w:val="Heading4Char"/>
    <w:autoRedefine/>
    <w:qFormat/>
    <w:rsid w:val="00CA4A00"/>
    <w:pPr>
      <w:keepNext/>
      <w:numPr>
        <w:ilvl w:val="3"/>
        <w:numId w:val="4"/>
      </w:numPr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4A00"/>
    <w:rPr>
      <w:rFonts w:ascii="Times New Roman" w:eastAsia="Times New Roman" w:hAnsi="Times New Roman" w:cs="Arial"/>
      <w:b/>
      <w:bCs/>
      <w:caps/>
      <w:color w:val="000000" w:themeColor="text1"/>
      <w:kern w:val="32"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4A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4A0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A4A00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4A00"/>
  </w:style>
  <w:style w:type="character" w:customStyle="1" w:styleId="Heading2Char">
    <w:name w:val="Heading 2 Char"/>
    <w:basedOn w:val="DefaultParagraphFont"/>
    <w:link w:val="Heading2"/>
    <w:rsid w:val="00CA4A00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A4A00"/>
    <w:rPr>
      <w:rFonts w:ascii="Times New Roman" w:eastAsia="Times New Roman" w:hAnsi="Times New Roman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CA4A0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4A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4A00"/>
  </w:style>
  <w:style w:type="paragraph" w:styleId="Title">
    <w:name w:val="Title"/>
    <w:basedOn w:val="Normal"/>
    <w:link w:val="TitleChar"/>
    <w:qFormat/>
    <w:rsid w:val="007151F9"/>
    <w:pPr>
      <w:spacing w:after="0"/>
      <w:ind w:firstLine="0"/>
      <w:jc w:val="center"/>
      <w:outlineLvl w:val="0"/>
    </w:pPr>
    <w:rPr>
      <w:rFonts w:eastAsia="Times New Roman"/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151F9"/>
    <w:rPr>
      <w:rFonts w:ascii="Times New Roman" w:eastAsia="Times New Roman" w:hAnsi="Times New Roman" w:cs="Times New Roman"/>
      <w:b/>
      <w:bCs/>
      <w:kern w:val="28"/>
      <w:sz w:val="28"/>
      <w:szCs w:val="28"/>
    </w:rPr>
  </w:style>
  <w:style w:type="paragraph" w:styleId="NoSpacing">
    <w:name w:val="No Spacing"/>
    <w:uiPriority w:val="1"/>
    <w:qFormat/>
    <w:rsid w:val="000C4920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A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Hieber, Christina J.</dc:creator>
  <cp:keywords/>
  <dc:description/>
  <cp:lastModifiedBy>Young, Albert</cp:lastModifiedBy>
  <cp:revision>2</cp:revision>
  <cp:lastPrinted>2016-03-10T16:29:00Z</cp:lastPrinted>
  <dcterms:created xsi:type="dcterms:W3CDTF">2016-03-10T21:26:00Z</dcterms:created>
  <dcterms:modified xsi:type="dcterms:W3CDTF">2016-03-10T21:26:00Z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FTHINGID">
    <vt:lpwstr>KW7GQJX90D1NSB</vt:lpwstr>
  </property>
  <property fmtid="{D5CDD505-2E9C-101B-9397-08002B2CF9AE}" pid="3" name="LFORIGNAME">
    <vt:lpwstr>LegalFilesWeb1.tmp</vt:lpwstr>
  </property>
</Properties>
</file>