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AED" w:rsidRDefault="00634AED">
      <w:pPr>
        <w:jc w:val="center"/>
        <w:rPr>
          <w:b/>
          <w:sz w:val="24"/>
        </w:rPr>
      </w:pPr>
      <w:bookmarkStart w:id="0" w:name="_GoBack"/>
      <w:bookmarkEnd w:id="0"/>
      <w:r>
        <w:rPr>
          <w:b/>
          <w:sz w:val="24"/>
        </w:rPr>
        <w:t>NOTICE CONCERNING ALTERNATIVE DISPUTE RESOLUTION (ADR)</w:t>
      </w:r>
    </w:p>
    <w:p w:rsidR="00634AED" w:rsidRDefault="00634AED">
      <w:pPr>
        <w:jc w:val="center"/>
        <w:rPr>
          <w:b/>
          <w:sz w:val="24"/>
        </w:rPr>
      </w:pPr>
    </w:p>
    <w:p w:rsidR="00634AED" w:rsidRDefault="00634AED" w:rsidP="009749D2">
      <w:pPr>
        <w:jc w:val="both"/>
        <w:rPr>
          <w:b/>
          <w:sz w:val="24"/>
        </w:rPr>
      </w:pPr>
      <w:r>
        <w:rPr>
          <w:b/>
          <w:sz w:val="24"/>
        </w:rPr>
        <w:t>The Trademark Trial and Appeal Board encourages parties to consider alternative dispute resolution as a means of settling the issues raised in any opposition or cancellation proceeding.</w:t>
      </w:r>
      <w:r w:rsidR="009749D2">
        <w:rPr>
          <w:b/>
          <w:sz w:val="24"/>
        </w:rPr>
        <w:t xml:space="preserve"> </w:t>
      </w:r>
      <w:r>
        <w:rPr>
          <w:b/>
          <w:sz w:val="24"/>
        </w:rPr>
        <w:t>Although more than 95% of Board proceedings are decided prior to trial (by settlement or by entry of pre-trial judgment), consideration of alternative dispute resolution techniques early in a proceeding might produce a quicker, mutually agreeable resolution of a dispute or might, at least, narrow the scope of discovery or the issues for trial.</w:t>
      </w:r>
      <w:r w:rsidR="009749D2">
        <w:rPr>
          <w:b/>
          <w:sz w:val="24"/>
        </w:rPr>
        <w:t xml:space="preserve"> </w:t>
      </w:r>
      <w:r>
        <w:rPr>
          <w:b/>
          <w:sz w:val="24"/>
        </w:rPr>
        <w:t>In either circumstance, alternative dispute resolution might save parties time and money.</w:t>
      </w:r>
    </w:p>
    <w:p w:rsidR="00634AED" w:rsidRDefault="00634AED" w:rsidP="009749D2">
      <w:pPr>
        <w:jc w:val="both"/>
        <w:rPr>
          <w:b/>
          <w:sz w:val="24"/>
        </w:rPr>
      </w:pPr>
    </w:p>
    <w:p w:rsidR="00634AED" w:rsidRDefault="00634AED" w:rsidP="009749D2">
      <w:pPr>
        <w:jc w:val="both"/>
        <w:rPr>
          <w:b/>
          <w:sz w:val="24"/>
        </w:rPr>
      </w:pPr>
      <w:r>
        <w:rPr>
          <w:b/>
          <w:sz w:val="24"/>
        </w:rPr>
        <w:t>Many non-profit organizations, both inside and outside the intellectual property field, offer alternative dispute resolution services.</w:t>
      </w:r>
      <w:r w:rsidR="009749D2">
        <w:rPr>
          <w:b/>
          <w:sz w:val="24"/>
        </w:rPr>
        <w:t xml:space="preserve"> </w:t>
      </w:r>
      <w:r>
        <w:rPr>
          <w:b/>
          <w:sz w:val="24"/>
        </w:rPr>
        <w:t>Listed below are the names and addresses of organizations that have indicated that they can make arrangements for alternative dispute resolution.</w:t>
      </w:r>
      <w:r w:rsidR="009749D2">
        <w:rPr>
          <w:b/>
          <w:sz w:val="24"/>
        </w:rPr>
        <w:t xml:space="preserve"> </w:t>
      </w:r>
      <w:r>
        <w:rPr>
          <w:b/>
          <w:sz w:val="24"/>
        </w:rPr>
        <w:t>The listings are provided for the convenience of parties involved in cases before the Board; the Board does not sponsor or endorse any particular organization’s alternative dispute resolution services.</w:t>
      </w:r>
    </w:p>
    <w:p w:rsidR="009749D2" w:rsidRDefault="009749D2" w:rsidP="009749D2">
      <w:pPr>
        <w:jc w:val="both"/>
        <w:rPr>
          <w:b/>
          <w:sz w:val="24"/>
        </w:rPr>
      </w:pPr>
    </w:p>
    <w:tbl>
      <w:tblPr>
        <w:tblStyle w:val="TableGrid"/>
        <w:tblW w:w="0" w:type="auto"/>
        <w:tblLayout w:type="fixed"/>
        <w:tblLook w:val="04A0" w:firstRow="1" w:lastRow="0" w:firstColumn="1" w:lastColumn="0" w:noHBand="0" w:noVBand="1"/>
      </w:tblPr>
      <w:tblGrid>
        <w:gridCol w:w="4428"/>
        <w:gridCol w:w="4428"/>
      </w:tblGrid>
      <w:tr w:rsidR="009749D2" w:rsidRPr="009749D2" w:rsidTr="009749D2">
        <w:tc>
          <w:tcPr>
            <w:tcW w:w="4428" w:type="dxa"/>
          </w:tcPr>
          <w:p w:rsidR="009749D2" w:rsidRDefault="009749D2" w:rsidP="009749D2">
            <w:pPr>
              <w:rPr>
                <w:b/>
                <w:sz w:val="24"/>
                <w:szCs w:val="24"/>
              </w:rPr>
            </w:pPr>
            <w:r w:rsidRPr="00F63D1E">
              <w:rPr>
                <w:b/>
                <w:sz w:val="24"/>
                <w:szCs w:val="24"/>
              </w:rPr>
              <w:t>International Trademark Association</w:t>
            </w:r>
          </w:p>
          <w:p w:rsidR="00F63D1E" w:rsidRDefault="00F63D1E" w:rsidP="009749D2">
            <w:pPr>
              <w:rPr>
                <w:b/>
                <w:sz w:val="24"/>
                <w:szCs w:val="24"/>
              </w:rPr>
            </w:pPr>
            <w:r>
              <w:rPr>
                <w:b/>
                <w:sz w:val="24"/>
                <w:szCs w:val="24"/>
              </w:rPr>
              <w:t>655 Third Avenue, 10th Floor</w:t>
            </w:r>
          </w:p>
          <w:p w:rsidR="00F63D1E" w:rsidRPr="00F63D1E" w:rsidRDefault="00F63D1E" w:rsidP="009749D2">
            <w:pPr>
              <w:rPr>
                <w:b/>
                <w:sz w:val="24"/>
                <w:szCs w:val="24"/>
              </w:rPr>
            </w:pPr>
            <w:r>
              <w:rPr>
                <w:b/>
                <w:sz w:val="24"/>
                <w:szCs w:val="24"/>
              </w:rPr>
              <w:t>New York, NY 10017</w:t>
            </w:r>
          </w:p>
          <w:p w:rsidR="009749D2" w:rsidRPr="00F63D1E" w:rsidRDefault="00F63D1E" w:rsidP="009749D2">
            <w:pPr>
              <w:rPr>
                <w:b/>
                <w:sz w:val="24"/>
                <w:szCs w:val="24"/>
              </w:rPr>
            </w:pPr>
            <w:r>
              <w:rPr>
                <w:b/>
                <w:sz w:val="24"/>
                <w:szCs w:val="24"/>
              </w:rPr>
              <w:t>Telephone: (212) 642-1700</w:t>
            </w:r>
          </w:p>
          <w:p w:rsidR="009749D2" w:rsidRPr="00F63D1E" w:rsidRDefault="009749D2" w:rsidP="009749D2">
            <w:pPr>
              <w:rPr>
                <w:b/>
                <w:sz w:val="24"/>
                <w:szCs w:val="24"/>
              </w:rPr>
            </w:pPr>
            <w:r w:rsidRPr="00F63D1E">
              <w:rPr>
                <w:b/>
                <w:sz w:val="24"/>
                <w:szCs w:val="24"/>
              </w:rPr>
              <w:t>Fax: (212) 768-7796</w:t>
            </w:r>
          </w:p>
          <w:p w:rsidR="009749D2" w:rsidRPr="00F63D1E" w:rsidRDefault="00566C38" w:rsidP="009749D2">
            <w:pPr>
              <w:rPr>
                <w:b/>
                <w:sz w:val="24"/>
                <w:szCs w:val="24"/>
              </w:rPr>
            </w:pPr>
            <w:hyperlink r:id="rId6" w:history="1">
              <w:r w:rsidR="00F63D1E" w:rsidRPr="006718FA">
                <w:rPr>
                  <w:rStyle w:val="Hyperlink"/>
                  <w:b/>
                  <w:sz w:val="24"/>
                  <w:szCs w:val="24"/>
                </w:rPr>
                <w:t>http://www.inta.org/Mediation/Pages/Mediation.aspx</w:t>
              </w:r>
            </w:hyperlink>
            <w:r w:rsidR="00F63D1E">
              <w:rPr>
                <w:b/>
                <w:sz w:val="24"/>
                <w:szCs w:val="24"/>
              </w:rPr>
              <w:t xml:space="preserve"> </w:t>
            </w:r>
          </w:p>
          <w:p w:rsidR="009749D2" w:rsidRPr="00F63D1E" w:rsidRDefault="009749D2" w:rsidP="00F63D1E">
            <w:pPr>
              <w:rPr>
                <w:b/>
                <w:sz w:val="24"/>
                <w:szCs w:val="24"/>
              </w:rPr>
            </w:pPr>
            <w:r w:rsidRPr="00F63D1E">
              <w:rPr>
                <w:b/>
                <w:sz w:val="24"/>
                <w:szCs w:val="24"/>
              </w:rPr>
              <w:t xml:space="preserve">e-mail: </w:t>
            </w:r>
            <w:hyperlink r:id="rId7" w:history="1">
              <w:r w:rsidR="00F63D1E" w:rsidRPr="00F63D1E">
                <w:rPr>
                  <w:rStyle w:val="Hyperlink"/>
                  <w:b/>
                  <w:sz w:val="24"/>
                  <w:szCs w:val="24"/>
                </w:rPr>
                <w:t>memberservices@inta.org</w:t>
              </w:r>
            </w:hyperlink>
          </w:p>
        </w:tc>
        <w:tc>
          <w:tcPr>
            <w:tcW w:w="4428" w:type="dxa"/>
          </w:tcPr>
          <w:p w:rsidR="009749D2" w:rsidRDefault="009749D2" w:rsidP="009749D2">
            <w:pPr>
              <w:rPr>
                <w:b/>
                <w:sz w:val="24"/>
              </w:rPr>
            </w:pPr>
            <w:r w:rsidRPr="009749D2">
              <w:rPr>
                <w:b/>
                <w:sz w:val="24"/>
              </w:rPr>
              <w:t>CPR Institute for Dispute Resolution</w:t>
            </w:r>
          </w:p>
          <w:p w:rsidR="00F63D1E" w:rsidRDefault="00F63D1E" w:rsidP="009749D2">
            <w:pPr>
              <w:rPr>
                <w:b/>
                <w:sz w:val="24"/>
              </w:rPr>
            </w:pPr>
            <w:r>
              <w:rPr>
                <w:b/>
                <w:sz w:val="24"/>
              </w:rPr>
              <w:t>30 East 33rd St., 6th Floor</w:t>
            </w:r>
          </w:p>
          <w:p w:rsidR="00F63D1E" w:rsidRPr="009749D2" w:rsidRDefault="00F63D1E" w:rsidP="009749D2">
            <w:pPr>
              <w:rPr>
                <w:b/>
                <w:sz w:val="24"/>
              </w:rPr>
            </w:pPr>
            <w:r>
              <w:rPr>
                <w:b/>
                <w:sz w:val="24"/>
              </w:rPr>
              <w:t>New York, NY 10016</w:t>
            </w:r>
          </w:p>
          <w:p w:rsidR="009749D2" w:rsidRPr="009749D2" w:rsidRDefault="009749D2" w:rsidP="009749D2">
            <w:pPr>
              <w:rPr>
                <w:b/>
                <w:sz w:val="24"/>
              </w:rPr>
            </w:pPr>
            <w:r w:rsidRPr="009749D2">
              <w:rPr>
                <w:b/>
                <w:sz w:val="24"/>
              </w:rPr>
              <w:t>Telephone: (212) 949-6490</w:t>
            </w:r>
          </w:p>
          <w:p w:rsidR="009749D2" w:rsidRPr="009749D2" w:rsidRDefault="009749D2" w:rsidP="009749D2">
            <w:pPr>
              <w:rPr>
                <w:b/>
                <w:sz w:val="24"/>
              </w:rPr>
            </w:pPr>
            <w:r w:rsidRPr="009749D2">
              <w:rPr>
                <w:b/>
                <w:sz w:val="24"/>
              </w:rPr>
              <w:t>Fax: (212) 949-8859</w:t>
            </w:r>
          </w:p>
          <w:p w:rsidR="009749D2" w:rsidRPr="009749D2" w:rsidRDefault="00566C38" w:rsidP="009749D2">
            <w:pPr>
              <w:rPr>
                <w:b/>
                <w:sz w:val="24"/>
              </w:rPr>
            </w:pPr>
            <w:hyperlink r:id="rId8" w:history="1">
              <w:r w:rsidR="00F63D1E" w:rsidRPr="006718FA">
                <w:rPr>
                  <w:rStyle w:val="Hyperlink"/>
                  <w:b/>
                  <w:sz w:val="24"/>
                </w:rPr>
                <w:t>www.cpradr.org</w:t>
              </w:r>
            </w:hyperlink>
            <w:r w:rsidR="00F63D1E">
              <w:rPr>
                <w:b/>
                <w:sz w:val="24"/>
              </w:rPr>
              <w:t xml:space="preserve"> </w:t>
            </w:r>
          </w:p>
          <w:p w:rsidR="009749D2" w:rsidRPr="009749D2" w:rsidRDefault="009749D2" w:rsidP="009749D2">
            <w:pPr>
              <w:rPr>
                <w:b/>
                <w:sz w:val="24"/>
              </w:rPr>
            </w:pPr>
            <w:r w:rsidRPr="009749D2">
              <w:rPr>
                <w:b/>
                <w:sz w:val="24"/>
                <w:lang w:val="fr-FR"/>
              </w:rPr>
              <w:t xml:space="preserve">e-mail: </w:t>
            </w:r>
            <w:hyperlink r:id="rId9" w:history="1">
              <w:r w:rsidRPr="009749D2">
                <w:rPr>
                  <w:rStyle w:val="Hyperlink"/>
                  <w:b/>
                  <w:sz w:val="24"/>
                  <w:lang w:val="fr-FR"/>
                </w:rPr>
                <w:t>info@cpradr.org</w:t>
              </w:r>
            </w:hyperlink>
          </w:p>
        </w:tc>
      </w:tr>
      <w:tr w:rsidR="009749D2" w:rsidRPr="009749D2" w:rsidTr="009749D2">
        <w:tc>
          <w:tcPr>
            <w:tcW w:w="4428" w:type="dxa"/>
          </w:tcPr>
          <w:p w:rsidR="009749D2" w:rsidRPr="009749D2" w:rsidRDefault="009749D2" w:rsidP="009749D2">
            <w:pPr>
              <w:rPr>
                <w:b/>
                <w:sz w:val="24"/>
              </w:rPr>
            </w:pPr>
            <w:r w:rsidRPr="009749D2">
              <w:rPr>
                <w:b/>
                <w:sz w:val="24"/>
              </w:rPr>
              <w:t>American Intellectual Property Law Association (AIPLA)</w:t>
            </w:r>
          </w:p>
          <w:p w:rsidR="00F63D1E" w:rsidRDefault="00F63D1E" w:rsidP="009749D2">
            <w:pPr>
              <w:rPr>
                <w:b/>
                <w:sz w:val="24"/>
              </w:rPr>
            </w:pPr>
            <w:r>
              <w:rPr>
                <w:b/>
                <w:sz w:val="24"/>
              </w:rPr>
              <w:t>1400 Crystal Drive, Suite 600</w:t>
            </w:r>
          </w:p>
          <w:p w:rsidR="00F63D1E" w:rsidRDefault="00F63D1E" w:rsidP="009749D2">
            <w:pPr>
              <w:rPr>
                <w:b/>
                <w:sz w:val="24"/>
              </w:rPr>
            </w:pPr>
            <w:r>
              <w:rPr>
                <w:b/>
                <w:sz w:val="24"/>
              </w:rPr>
              <w:t>Arlington, VA 22202</w:t>
            </w:r>
          </w:p>
          <w:p w:rsidR="009749D2" w:rsidRPr="009749D2" w:rsidRDefault="009749D2" w:rsidP="009749D2">
            <w:pPr>
              <w:rPr>
                <w:b/>
                <w:sz w:val="24"/>
              </w:rPr>
            </w:pPr>
            <w:r w:rsidRPr="009749D2">
              <w:rPr>
                <w:b/>
                <w:sz w:val="24"/>
              </w:rPr>
              <w:t>Telephone: (703) 415-0780</w:t>
            </w:r>
          </w:p>
          <w:p w:rsidR="009749D2" w:rsidRDefault="009749D2" w:rsidP="009749D2">
            <w:pPr>
              <w:rPr>
                <w:b/>
                <w:sz w:val="24"/>
              </w:rPr>
            </w:pPr>
            <w:r w:rsidRPr="009749D2">
              <w:rPr>
                <w:b/>
                <w:sz w:val="24"/>
              </w:rPr>
              <w:t>Fax: (703) 415-0786</w:t>
            </w:r>
          </w:p>
          <w:p w:rsidR="00F63D1E" w:rsidRDefault="00566C38" w:rsidP="009749D2">
            <w:pPr>
              <w:rPr>
                <w:b/>
                <w:sz w:val="24"/>
              </w:rPr>
            </w:pPr>
            <w:hyperlink r:id="rId10" w:history="1">
              <w:r w:rsidR="00F63D1E" w:rsidRPr="006718FA">
                <w:rPr>
                  <w:rStyle w:val="Hyperlink"/>
                  <w:b/>
                  <w:sz w:val="24"/>
                </w:rPr>
                <w:t>https://www.aipla.org/resources2/ADR/Pages/default.aspx</w:t>
              </w:r>
            </w:hyperlink>
            <w:r w:rsidR="00F63D1E">
              <w:rPr>
                <w:b/>
                <w:sz w:val="24"/>
              </w:rPr>
              <w:t xml:space="preserve"> </w:t>
            </w:r>
          </w:p>
          <w:p w:rsidR="00F63D1E" w:rsidRPr="009749D2" w:rsidRDefault="00F63D1E" w:rsidP="009749D2">
            <w:pPr>
              <w:rPr>
                <w:b/>
                <w:sz w:val="24"/>
              </w:rPr>
            </w:pPr>
            <w:r>
              <w:rPr>
                <w:b/>
                <w:sz w:val="24"/>
              </w:rPr>
              <w:t xml:space="preserve">email: </w:t>
            </w:r>
            <w:hyperlink r:id="rId11" w:history="1">
              <w:r w:rsidRPr="006718FA">
                <w:rPr>
                  <w:rStyle w:val="Hyperlink"/>
                  <w:b/>
                  <w:sz w:val="24"/>
                </w:rPr>
                <w:t>aipla@aipla.org</w:t>
              </w:r>
            </w:hyperlink>
            <w:r>
              <w:rPr>
                <w:b/>
                <w:sz w:val="24"/>
              </w:rPr>
              <w:t xml:space="preserve"> </w:t>
            </w:r>
          </w:p>
        </w:tc>
        <w:tc>
          <w:tcPr>
            <w:tcW w:w="4428" w:type="dxa"/>
          </w:tcPr>
          <w:p w:rsidR="009749D2" w:rsidRPr="009749D2" w:rsidRDefault="009749D2" w:rsidP="009749D2">
            <w:pPr>
              <w:rPr>
                <w:b/>
                <w:sz w:val="24"/>
              </w:rPr>
            </w:pPr>
            <w:r w:rsidRPr="009749D2">
              <w:rPr>
                <w:b/>
                <w:sz w:val="24"/>
              </w:rPr>
              <w:t>A</w:t>
            </w:r>
            <w:r w:rsidR="00F63D1E">
              <w:rPr>
                <w:b/>
                <w:sz w:val="24"/>
              </w:rPr>
              <w:t xml:space="preserve">merican Arbitration Association </w:t>
            </w:r>
            <w:r w:rsidRPr="009749D2">
              <w:rPr>
                <w:b/>
                <w:sz w:val="24"/>
              </w:rPr>
              <w:t>(AAA)</w:t>
            </w:r>
            <w:r w:rsidR="00F63D1E">
              <w:rPr>
                <w:b/>
                <w:sz w:val="24"/>
              </w:rPr>
              <w:t xml:space="preserve"> </w:t>
            </w:r>
            <w:r w:rsidR="006206A3">
              <w:rPr>
                <w:b/>
                <w:sz w:val="24"/>
              </w:rPr>
              <w:t xml:space="preserve">International Centre For Dispute Resolution (ICDR) </w:t>
            </w:r>
            <w:r w:rsidRPr="009749D2">
              <w:rPr>
                <w:b/>
                <w:sz w:val="24"/>
              </w:rPr>
              <w:t>Headquarters</w:t>
            </w:r>
          </w:p>
          <w:p w:rsidR="006206A3" w:rsidRDefault="006206A3" w:rsidP="009749D2">
            <w:pPr>
              <w:rPr>
                <w:b/>
                <w:sz w:val="24"/>
              </w:rPr>
            </w:pPr>
            <w:r>
              <w:rPr>
                <w:b/>
                <w:sz w:val="24"/>
              </w:rPr>
              <w:t>120 Broadway, Floor 21</w:t>
            </w:r>
          </w:p>
          <w:p w:rsidR="006206A3" w:rsidRDefault="006206A3" w:rsidP="009749D2">
            <w:pPr>
              <w:rPr>
                <w:b/>
                <w:sz w:val="24"/>
              </w:rPr>
            </w:pPr>
            <w:r>
              <w:rPr>
                <w:b/>
                <w:sz w:val="24"/>
              </w:rPr>
              <w:t>New York, NY 10271</w:t>
            </w:r>
          </w:p>
          <w:p w:rsidR="009749D2" w:rsidRPr="009749D2" w:rsidRDefault="009749D2" w:rsidP="009749D2">
            <w:pPr>
              <w:rPr>
                <w:b/>
                <w:sz w:val="24"/>
              </w:rPr>
            </w:pPr>
            <w:r w:rsidRPr="009749D2">
              <w:rPr>
                <w:b/>
                <w:sz w:val="24"/>
              </w:rPr>
              <w:t>Telephone: (212) 484-3266</w:t>
            </w:r>
          </w:p>
          <w:p w:rsidR="009749D2" w:rsidRDefault="009749D2" w:rsidP="009749D2">
            <w:pPr>
              <w:rPr>
                <w:b/>
                <w:sz w:val="24"/>
              </w:rPr>
            </w:pPr>
            <w:r w:rsidRPr="009749D2">
              <w:rPr>
                <w:b/>
                <w:sz w:val="24"/>
              </w:rPr>
              <w:t>Fax: (212) 307-4387</w:t>
            </w:r>
          </w:p>
          <w:p w:rsidR="00F63D1E" w:rsidRPr="009749D2" w:rsidRDefault="00566C38" w:rsidP="009749D2">
            <w:pPr>
              <w:rPr>
                <w:b/>
                <w:sz w:val="24"/>
              </w:rPr>
            </w:pPr>
            <w:hyperlink r:id="rId12" w:history="1">
              <w:r w:rsidR="00F63D1E" w:rsidRPr="006718FA">
                <w:rPr>
                  <w:rStyle w:val="Hyperlink"/>
                  <w:b/>
                  <w:sz w:val="24"/>
                </w:rPr>
                <w:t>https://www.adr.org/</w:t>
              </w:r>
            </w:hyperlink>
            <w:r w:rsidR="00F63D1E">
              <w:rPr>
                <w:b/>
                <w:sz w:val="24"/>
              </w:rPr>
              <w:t xml:space="preserve"> </w:t>
            </w:r>
          </w:p>
        </w:tc>
      </w:tr>
      <w:tr w:rsidR="009749D2" w:rsidRPr="009749D2" w:rsidTr="009749D2">
        <w:tc>
          <w:tcPr>
            <w:tcW w:w="4428" w:type="dxa"/>
          </w:tcPr>
          <w:p w:rsidR="009749D2" w:rsidRPr="009749D2" w:rsidRDefault="009749D2" w:rsidP="009749D2">
            <w:pPr>
              <w:rPr>
                <w:b/>
                <w:sz w:val="24"/>
              </w:rPr>
            </w:pPr>
            <w:r w:rsidRPr="009749D2">
              <w:rPr>
                <w:b/>
                <w:sz w:val="24"/>
              </w:rPr>
              <w:t>WIPO Arbitration and Mediation Center</w:t>
            </w:r>
          </w:p>
          <w:p w:rsidR="009749D2" w:rsidRPr="009749D2" w:rsidRDefault="009749D2" w:rsidP="009749D2">
            <w:pPr>
              <w:rPr>
                <w:b/>
                <w:sz w:val="24"/>
              </w:rPr>
            </w:pPr>
            <w:r w:rsidRPr="009749D2">
              <w:rPr>
                <w:b/>
                <w:sz w:val="24"/>
              </w:rPr>
              <w:t xml:space="preserve">34, </w:t>
            </w:r>
            <w:proofErr w:type="spellStart"/>
            <w:r w:rsidRPr="009749D2">
              <w:rPr>
                <w:b/>
                <w:sz w:val="24"/>
              </w:rPr>
              <w:t>chemin</w:t>
            </w:r>
            <w:proofErr w:type="spellEnd"/>
            <w:r w:rsidRPr="009749D2">
              <w:rPr>
                <w:b/>
                <w:sz w:val="24"/>
              </w:rPr>
              <w:t xml:space="preserve"> des </w:t>
            </w:r>
            <w:proofErr w:type="spellStart"/>
            <w:r w:rsidRPr="009749D2">
              <w:rPr>
                <w:b/>
                <w:sz w:val="24"/>
              </w:rPr>
              <w:t>Colombettes</w:t>
            </w:r>
            <w:proofErr w:type="spellEnd"/>
          </w:p>
          <w:p w:rsidR="009749D2" w:rsidRPr="009749D2" w:rsidRDefault="00F63D1E" w:rsidP="009749D2">
            <w:pPr>
              <w:rPr>
                <w:b/>
                <w:sz w:val="24"/>
              </w:rPr>
            </w:pPr>
            <w:r>
              <w:rPr>
                <w:b/>
                <w:sz w:val="24"/>
              </w:rPr>
              <w:t>CH-</w:t>
            </w:r>
            <w:r w:rsidR="009749D2">
              <w:rPr>
                <w:b/>
                <w:sz w:val="24"/>
              </w:rPr>
              <w:t>1211 Geneva 20</w:t>
            </w:r>
            <w:r>
              <w:rPr>
                <w:b/>
                <w:sz w:val="24"/>
              </w:rPr>
              <w:t xml:space="preserve">, </w:t>
            </w:r>
            <w:r w:rsidR="009749D2" w:rsidRPr="009749D2">
              <w:rPr>
                <w:b/>
                <w:sz w:val="24"/>
              </w:rPr>
              <w:t>Switzerland</w:t>
            </w:r>
          </w:p>
          <w:p w:rsidR="009749D2" w:rsidRPr="009749D2" w:rsidRDefault="009749D2" w:rsidP="009749D2">
            <w:pPr>
              <w:rPr>
                <w:b/>
                <w:sz w:val="24"/>
              </w:rPr>
            </w:pPr>
            <w:r w:rsidRPr="009749D2">
              <w:rPr>
                <w:b/>
                <w:sz w:val="24"/>
              </w:rPr>
              <w:t>Telephone:  +4122 338 8247</w:t>
            </w:r>
          </w:p>
          <w:p w:rsidR="009749D2" w:rsidRPr="009749D2" w:rsidRDefault="00566C38" w:rsidP="009749D2">
            <w:pPr>
              <w:rPr>
                <w:b/>
                <w:sz w:val="24"/>
              </w:rPr>
            </w:pPr>
            <w:hyperlink r:id="rId13" w:history="1">
              <w:r w:rsidR="009749D2" w:rsidRPr="009749D2">
                <w:rPr>
                  <w:rStyle w:val="Hyperlink"/>
                  <w:b/>
                  <w:sz w:val="24"/>
                </w:rPr>
                <w:t>http://www.wipo.int/amc/en/</w:t>
              </w:r>
            </w:hyperlink>
            <w:r w:rsidR="009749D2" w:rsidRPr="009749D2">
              <w:rPr>
                <w:b/>
                <w:sz w:val="24"/>
              </w:rPr>
              <w:t xml:space="preserve"> </w:t>
            </w:r>
          </w:p>
          <w:p w:rsidR="009749D2" w:rsidRPr="009749D2" w:rsidRDefault="009749D2" w:rsidP="009749D2">
            <w:pPr>
              <w:rPr>
                <w:b/>
                <w:sz w:val="24"/>
              </w:rPr>
            </w:pPr>
            <w:r w:rsidRPr="009749D2">
              <w:rPr>
                <w:b/>
                <w:sz w:val="24"/>
                <w:lang w:val="de-DE"/>
              </w:rPr>
              <w:t xml:space="preserve">e-mail:  </w:t>
            </w:r>
            <w:hyperlink r:id="rId14" w:history="1">
              <w:r w:rsidRPr="009749D2">
                <w:rPr>
                  <w:rStyle w:val="Hyperlink"/>
                  <w:b/>
                  <w:sz w:val="24"/>
                  <w:lang w:val="de-DE"/>
                </w:rPr>
                <w:t>arbiter.mail@wipo.int</w:t>
              </w:r>
            </w:hyperlink>
          </w:p>
        </w:tc>
        <w:tc>
          <w:tcPr>
            <w:tcW w:w="4428" w:type="dxa"/>
          </w:tcPr>
          <w:p w:rsidR="009749D2" w:rsidRPr="009749D2" w:rsidRDefault="009749D2" w:rsidP="009749D2">
            <w:pPr>
              <w:rPr>
                <w:b/>
                <w:sz w:val="24"/>
              </w:rPr>
            </w:pPr>
          </w:p>
        </w:tc>
      </w:tr>
    </w:tbl>
    <w:p w:rsidR="00634AED" w:rsidRDefault="00634AED">
      <w:pPr>
        <w:rPr>
          <w:b/>
          <w:sz w:val="24"/>
        </w:rPr>
      </w:pPr>
    </w:p>
    <w:p w:rsidR="00634AED" w:rsidRDefault="00634AED" w:rsidP="009749D2">
      <w:pPr>
        <w:jc w:val="both"/>
        <w:rPr>
          <w:b/>
          <w:sz w:val="24"/>
        </w:rPr>
      </w:pPr>
      <w:r>
        <w:rPr>
          <w:b/>
          <w:sz w:val="24"/>
        </w:rPr>
        <w:t xml:space="preserve">If parties to a Board proceeding consider using alternative dispute resolution, the Board would like to know; and if the parties actually engage in alternative dispute resolution, the Board would be interested to learn what mechanism (e.g., arbitration, </w:t>
      </w:r>
      <w:r>
        <w:rPr>
          <w:b/>
          <w:sz w:val="24"/>
        </w:rPr>
        <w:lastRenderedPageBreak/>
        <w:t>mediation, etc.) was used and with what general result.</w:t>
      </w:r>
      <w:r w:rsidR="009749D2">
        <w:rPr>
          <w:b/>
          <w:sz w:val="24"/>
        </w:rPr>
        <w:t xml:space="preserve"> </w:t>
      </w:r>
      <w:r>
        <w:rPr>
          <w:b/>
          <w:sz w:val="24"/>
        </w:rPr>
        <w:t>Such a statement from the parties is not required but would be helpful to the Board in assessing the value of alternative dispute resolution to parties involved in Trademark Trial and Appeal Board proceedings.</w:t>
      </w:r>
      <w:r w:rsidR="009749D2">
        <w:rPr>
          <w:b/>
          <w:sz w:val="24"/>
        </w:rPr>
        <w:t xml:space="preserve"> </w:t>
      </w:r>
      <w:r>
        <w:rPr>
          <w:b/>
          <w:sz w:val="24"/>
        </w:rPr>
        <w:t>To report any experience with ADR, please forward a summary of the particulars to the following email address:</w:t>
      </w:r>
      <w:r w:rsidR="009749D2">
        <w:rPr>
          <w:b/>
          <w:sz w:val="24"/>
        </w:rPr>
        <w:t xml:space="preserve"> </w:t>
      </w:r>
      <w:r w:rsidRPr="00687747">
        <w:rPr>
          <w:b/>
          <w:i/>
          <w:sz w:val="24"/>
        </w:rPr>
        <w:t>TTAB_Settlement_comments@uspto.gov</w:t>
      </w:r>
      <w:r>
        <w:rPr>
          <w:b/>
          <w:sz w:val="24"/>
        </w:rPr>
        <w:t>.</w:t>
      </w:r>
    </w:p>
    <w:sectPr w:rsidR="00634AED" w:rsidSect="00C77CCD">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D1E" w:rsidRDefault="00F63D1E">
      <w:r>
        <w:separator/>
      </w:r>
    </w:p>
  </w:endnote>
  <w:endnote w:type="continuationSeparator" w:id="0">
    <w:p w:rsidR="00F63D1E" w:rsidRDefault="00F63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CB6" w:rsidRDefault="00495CB6">
    <w:pPr>
      <w:pStyle w:val="Footer"/>
    </w:pPr>
    <w:r>
      <w:t>July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D1E" w:rsidRDefault="00F63D1E">
      <w:r>
        <w:separator/>
      </w:r>
    </w:p>
  </w:footnote>
  <w:footnote w:type="continuationSeparator" w:id="0">
    <w:p w:rsidR="00F63D1E" w:rsidRDefault="00F63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TrailerType" w:val="0"/>
    <w:docVar w:name="zzmpFixedDOC_ID" w:val="886843.1"/>
  </w:docVars>
  <w:rsids>
    <w:rsidRoot w:val="006A4EA4"/>
    <w:rsid w:val="0013611C"/>
    <w:rsid w:val="00240053"/>
    <w:rsid w:val="00311947"/>
    <w:rsid w:val="0039370B"/>
    <w:rsid w:val="003F0D20"/>
    <w:rsid w:val="00495CB6"/>
    <w:rsid w:val="00566C38"/>
    <w:rsid w:val="005B32D8"/>
    <w:rsid w:val="005E24D2"/>
    <w:rsid w:val="006206A3"/>
    <w:rsid w:val="00634AED"/>
    <w:rsid w:val="006413DF"/>
    <w:rsid w:val="00687747"/>
    <w:rsid w:val="006A4EA4"/>
    <w:rsid w:val="00714D5E"/>
    <w:rsid w:val="007418C7"/>
    <w:rsid w:val="009749D2"/>
    <w:rsid w:val="00A41B2F"/>
    <w:rsid w:val="00B016AC"/>
    <w:rsid w:val="00BA692D"/>
    <w:rsid w:val="00BB3402"/>
    <w:rsid w:val="00C77CCD"/>
    <w:rsid w:val="00C84C74"/>
    <w:rsid w:val="00CA070F"/>
    <w:rsid w:val="00D74824"/>
    <w:rsid w:val="00DE63FE"/>
    <w:rsid w:val="00E96FA7"/>
    <w:rsid w:val="00EF45FC"/>
    <w:rsid w:val="00F103A6"/>
    <w:rsid w:val="00F63D1E"/>
    <w:rsid w:val="00F76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8B63025-2EE1-4204-9D9F-36CF816B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CCD"/>
    <w:pPr>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7CCD"/>
    <w:pPr>
      <w:tabs>
        <w:tab w:val="center" w:pos="4320"/>
        <w:tab w:val="right" w:pos="8640"/>
      </w:tabs>
    </w:pPr>
  </w:style>
  <w:style w:type="character" w:customStyle="1" w:styleId="HeaderChar">
    <w:name w:val="Header Char"/>
    <w:basedOn w:val="DefaultParagraphFont"/>
    <w:link w:val="Header"/>
    <w:uiPriority w:val="99"/>
    <w:semiHidden/>
    <w:locked/>
    <w:rsid w:val="00E96FA7"/>
    <w:rPr>
      <w:rFonts w:cs="Times New Roman"/>
      <w:sz w:val="20"/>
      <w:szCs w:val="20"/>
    </w:rPr>
  </w:style>
  <w:style w:type="paragraph" w:styleId="Footer">
    <w:name w:val="footer"/>
    <w:basedOn w:val="Normal"/>
    <w:link w:val="FooterChar"/>
    <w:uiPriority w:val="99"/>
    <w:rsid w:val="00C77CCD"/>
    <w:pPr>
      <w:tabs>
        <w:tab w:val="center" w:pos="4320"/>
        <w:tab w:val="right" w:pos="8640"/>
      </w:tabs>
    </w:pPr>
  </w:style>
  <w:style w:type="character" w:customStyle="1" w:styleId="FooterChar">
    <w:name w:val="Footer Char"/>
    <w:basedOn w:val="DefaultParagraphFont"/>
    <w:link w:val="Footer"/>
    <w:uiPriority w:val="99"/>
    <w:semiHidden/>
    <w:locked/>
    <w:rsid w:val="00E96FA7"/>
    <w:rPr>
      <w:rFonts w:cs="Times New Roman"/>
      <w:sz w:val="20"/>
      <w:szCs w:val="20"/>
    </w:rPr>
  </w:style>
  <w:style w:type="character" w:customStyle="1" w:styleId="zzmpTrailerItem">
    <w:name w:val="zzmpTrailerItem"/>
    <w:basedOn w:val="DefaultParagraphFont"/>
    <w:uiPriority w:val="99"/>
    <w:rsid w:val="00C77CCD"/>
    <w:rPr>
      <w:rFonts w:ascii="Times New Roman" w:hAnsi="Times New Roman" w:cs="Times New Roman"/>
      <w:noProof/>
      <w:color w:val="auto"/>
      <w:spacing w:val="0"/>
      <w:position w:val="0"/>
      <w:sz w:val="16"/>
      <w:u w:val="none"/>
      <w:effect w:val="none"/>
      <w:vertAlign w:val="baseline"/>
    </w:rPr>
  </w:style>
  <w:style w:type="character" w:styleId="Hyperlink">
    <w:name w:val="Hyperlink"/>
    <w:basedOn w:val="DefaultParagraphFont"/>
    <w:uiPriority w:val="99"/>
    <w:rsid w:val="00C77CCD"/>
    <w:rPr>
      <w:rFonts w:cs="Times New Roman"/>
      <w:color w:val="0000FF"/>
      <w:u w:val="single"/>
    </w:rPr>
  </w:style>
  <w:style w:type="table" w:styleId="TableGrid">
    <w:name w:val="Table Grid"/>
    <w:basedOn w:val="TableNormal"/>
    <w:uiPriority w:val="59"/>
    <w:locked/>
    <w:rsid w:val="00974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63D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5737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radr.org" TargetMode="External"/><Relationship Id="rId13" Type="http://schemas.openxmlformats.org/officeDocument/2006/relationships/hyperlink" Target="http://www.wipo.int/amc/en/" TargetMode="External"/><Relationship Id="rId3" Type="http://schemas.openxmlformats.org/officeDocument/2006/relationships/webSettings" Target="webSettings.xml"/><Relationship Id="rId7" Type="http://schemas.openxmlformats.org/officeDocument/2006/relationships/hyperlink" Target="mailto:memberservices@inta.org" TargetMode="External"/><Relationship Id="rId12" Type="http://schemas.openxmlformats.org/officeDocument/2006/relationships/hyperlink" Target="https://www.adr.or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inta.org/Mediation/Pages/Mediation.aspx" TargetMode="External"/><Relationship Id="rId11" Type="http://schemas.openxmlformats.org/officeDocument/2006/relationships/hyperlink" Target="mailto:aipla@aipla.org"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aipla.org/resources2/ADR/Pages/default.aspx" TargetMode="External"/><Relationship Id="rId4" Type="http://schemas.openxmlformats.org/officeDocument/2006/relationships/footnotes" Target="footnotes.xml"/><Relationship Id="rId9" Type="http://schemas.openxmlformats.org/officeDocument/2006/relationships/hyperlink" Target="mailto:info@cpradr.org" TargetMode="External"/><Relationship Id="rId14" Type="http://schemas.openxmlformats.org/officeDocument/2006/relationships/hyperlink" Target="mailto:arbiter.mail@wip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NOTICE CONCERNING ALTERNATIVE DISPUTE RESOLUTION (ADR)</vt:lpstr>
    </vt:vector>
  </TitlesOfParts>
  <Company>USPTO</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CONCERNING ALTERNATIVE DISPUTE RESOLUTION (ADR)</dc:title>
  <dc:creator>Mary Frances Bruce</dc:creator>
  <cp:lastModifiedBy>Brown, Latoya</cp:lastModifiedBy>
  <cp:revision>2</cp:revision>
  <cp:lastPrinted>2011-02-09T22:11:00Z</cp:lastPrinted>
  <dcterms:created xsi:type="dcterms:W3CDTF">2021-01-08T16:08:00Z</dcterms:created>
  <dcterms:modified xsi:type="dcterms:W3CDTF">2021-01-08T16:08:00Z</dcterms:modified>
</cp:coreProperties>
</file>